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y registro de evidencias</w:t>
      </w:r>
    </w:p>
    <w:p>
      <w:pPr>
        <w:pStyle w:val="Subtitle"/>
      </w:pPr>
      <w:r>
        <w:t>Casos propuestos para la aplicación Android y la validación de la maqueta</w:t>
      </w:r>
    </w:p>
    <w:p>
      <w:r>
        <w:t>Proyecto: VITAIROS Industrial AI  |  Asignatura: DSY1105</w:t>
      </w:r>
    </w:p>
    <w:p>
      <w:r>
        <w:t>Equipo: Chiguin Chiang · Lizandro Godoy  |  Versión: 0.1 · 20/10/2026</w:t>
      </w:r>
    </w:p>
    <w:p>
      <w:r>
        <w:t>Estado: documento técnico preliminar; sujeto a revisión del equipo y validación empresarial.</w:t>
      </w:r>
    </w:p>
    <w:p>
      <w:pPr>
        <w:pStyle w:val="Heading1"/>
      </w:pPr>
      <w:r>
        <w:t>1. Objetivo y alcance</w:t>
      </w:r>
    </w:p>
    <w:p>
      <w:r>
        <w:t>Definir casos reproducibles para verificar el MVP académico y asociar resultados a la ERS. Los casos siguientes están PREPARADOS, no ejecutados: no se inventan aprobaciones ni capturas.</w:t>
      </w:r>
    </w:p>
    <w:p>
      <w:pPr>
        <w:pStyle w:val="Heading1"/>
      </w:pPr>
      <w:r>
        <w:t>2. Matriz de pruebas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Requisito</w:t>
            </w:r>
          </w:p>
        </w:tc>
        <w:tc>
          <w:tcPr>
            <w:tcW w:type="dxa" w:w="2160"/>
          </w:tcPr>
          <w:p>
            <w:r>
              <w:t>Procedimiento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</w:tr>
      <w:tr>
        <w:tc>
          <w:tcPr>
            <w:tcW w:type="dxa" w:w="2160"/>
          </w:tcPr>
          <w:p>
            <w:r>
              <w:t>CP-01</w:t>
            </w:r>
          </w:p>
        </w:tc>
        <w:tc>
          <w:tcPr>
            <w:tcW w:type="dxa" w:w="2160"/>
          </w:tcPr>
          <w:p>
            <w:r>
              <w:t>RF-01</w:t>
            </w:r>
          </w:p>
        </w:tc>
        <w:tc>
          <w:tcPr>
            <w:tcW w:type="dxa" w:w="2160"/>
          </w:tcPr>
          <w:p>
            <w:r>
              <w:t>Ingresar y cerrar sesión con usuario ficticio</w:t>
            </w:r>
          </w:p>
        </w:tc>
        <w:tc>
          <w:tcPr>
            <w:tcW w:type="dxa" w:w="2160"/>
          </w:tcPr>
          <w:p>
            <w:r>
              <w:t>Ingreso permitido y cierre vuelve a LOGIN</w:t>
            </w:r>
          </w:p>
        </w:tc>
      </w:tr>
      <w:tr>
        <w:tc>
          <w:tcPr>
            <w:tcW w:type="dxa" w:w="2160"/>
          </w:tcPr>
          <w:p>
            <w:r>
              <w:t>CP-02</w:t>
            </w:r>
          </w:p>
        </w:tc>
        <w:tc>
          <w:tcPr>
            <w:tcW w:type="dxa" w:w="2160"/>
          </w:tcPr>
          <w:p>
            <w:r>
              <w:t>RF-02/03/04/05</w:t>
            </w:r>
          </w:p>
        </w:tc>
        <w:tc>
          <w:tcPr>
            <w:tcW w:type="dxa" w:w="2160"/>
          </w:tcPr>
          <w:p>
            <w:r>
              <w:t>Crear reporte con tipo, proceso y metadata</w:t>
            </w:r>
          </w:p>
        </w:tc>
        <w:tc>
          <w:tcPr>
            <w:tcW w:type="dxa" w:w="2160"/>
          </w:tcPr>
          <w:p>
            <w:r>
              <w:t>ID y fecha únicos; campos obligatorios validados</w:t>
            </w:r>
          </w:p>
        </w:tc>
      </w:tr>
      <w:tr>
        <w:tc>
          <w:tcPr>
            <w:tcW w:type="dxa" w:w="2160"/>
          </w:tcPr>
          <w:p>
            <w:r>
              <w:t>CP-03</w:t>
            </w:r>
          </w:p>
        </w:tc>
        <w:tc>
          <w:tcPr>
            <w:tcW w:type="dxa" w:w="2160"/>
          </w:tcPr>
          <w:p>
            <w:r>
              <w:t>RF-06/07/08</w:t>
            </w:r>
          </w:p>
        </w:tc>
        <w:tc>
          <w:tcPr>
            <w:tcW w:type="dxa" w:w="2160"/>
          </w:tcPr>
          <w:p>
            <w:r>
              <w:t>Capturar foto, elegir imagen y PDF</w:t>
            </w:r>
          </w:p>
        </w:tc>
        <w:tc>
          <w:tcPr>
            <w:tcW w:type="dxa" w:w="2160"/>
          </w:tcPr>
          <w:p>
            <w:r>
              <w:t>Adjuntos aceptados y previsualizables según alcance</w:t>
            </w:r>
          </w:p>
        </w:tc>
      </w:tr>
      <w:tr>
        <w:tc>
          <w:tcPr>
            <w:tcW w:type="dxa" w:w="2160"/>
          </w:tcPr>
          <w:p>
            <w:r>
              <w:t>CP-04</w:t>
            </w:r>
          </w:p>
        </w:tc>
        <w:tc>
          <w:tcPr>
            <w:tcW w:type="dxa" w:w="2160"/>
          </w:tcPr>
          <w:p>
            <w:r>
              <w:t>RF-09/10</w:t>
            </w:r>
          </w:p>
        </w:tc>
        <w:tc>
          <w:tcPr>
            <w:tcW w:type="dxa" w:w="2160"/>
          </w:tcPr>
          <w:p>
            <w:r>
              <w:t>Adjuntar archivos inválidos o &gt;10 MB; superar 5</w:t>
            </w:r>
          </w:p>
        </w:tc>
        <w:tc>
          <w:tcPr>
            <w:tcW w:type="dxa" w:w="2160"/>
          </w:tcPr>
          <w:p>
            <w:r>
              <w:t>Validaciones y mensajes correctos</w:t>
            </w:r>
          </w:p>
        </w:tc>
      </w:tr>
      <w:tr>
        <w:tc>
          <w:tcPr>
            <w:tcW w:type="dxa" w:w="2160"/>
          </w:tcPr>
          <w:p>
            <w:r>
              <w:t>CP-05</w:t>
            </w:r>
          </w:p>
        </w:tc>
        <w:tc>
          <w:tcPr>
            <w:tcW w:type="dxa" w:w="2160"/>
          </w:tcPr>
          <w:p>
            <w:r>
              <w:t>RF-11</w:t>
            </w:r>
          </w:p>
        </w:tc>
        <w:tc>
          <w:tcPr>
            <w:tcW w:type="dxa" w:w="2160"/>
          </w:tcPr>
          <w:p>
            <w:r>
              <w:t>Revisar, quitar y reemplazar adjuntos</w:t>
            </w:r>
          </w:p>
        </w:tc>
        <w:tc>
          <w:tcPr>
            <w:tcW w:type="dxa" w:w="2160"/>
          </w:tcPr>
          <w:p>
            <w:r>
              <w:t>Vista previa consistente</w:t>
            </w:r>
          </w:p>
        </w:tc>
      </w:tr>
      <w:tr>
        <w:tc>
          <w:tcPr>
            <w:tcW w:type="dxa" w:w="2160"/>
          </w:tcPr>
          <w:p>
            <w:r>
              <w:t>CP-06</w:t>
            </w:r>
          </w:p>
        </w:tc>
        <w:tc>
          <w:tcPr>
            <w:tcW w:type="dxa" w:w="2160"/>
          </w:tcPr>
          <w:p>
            <w:r>
              <w:t>RF-13/25</w:t>
            </w:r>
          </w:p>
        </w:tc>
        <w:tc>
          <w:tcPr>
            <w:tcW w:type="dxa" w:w="2160"/>
          </w:tcPr>
          <w:p>
            <w:r>
              <w:t>Guardar offline, cerrar y reabrir</w:t>
            </w:r>
          </w:p>
        </w:tc>
        <w:tc>
          <w:tcPr>
            <w:tcW w:type="dxa" w:w="2160"/>
          </w:tcPr>
          <w:p>
            <w:r>
              <w:t>Borrador y reportes persisten</w:t>
            </w:r>
          </w:p>
        </w:tc>
      </w:tr>
      <w:tr>
        <w:tc>
          <w:tcPr>
            <w:tcW w:type="dxa" w:w="2160"/>
          </w:tcPr>
          <w:p>
            <w:r>
              <w:t>CP-07</w:t>
            </w:r>
          </w:p>
        </w:tc>
        <w:tc>
          <w:tcPr>
            <w:tcW w:type="dxa" w:w="2160"/>
          </w:tcPr>
          <w:p>
            <w:r>
              <w:t>RF-14/15</w:t>
            </w:r>
          </w:p>
        </w:tc>
        <w:tc>
          <w:tcPr>
            <w:tcW w:type="dxa" w:w="2160"/>
          </w:tcPr>
          <w:p>
            <w:r>
              <w:t>Guardar en cola y consultar estados</w:t>
            </w:r>
          </w:p>
        </w:tc>
        <w:tc>
          <w:tcPr>
            <w:tcW w:type="dxa" w:w="2160"/>
          </w:tcPr>
          <w:p>
            <w:r>
              <w:t>Estados y pendientes visibles</w:t>
            </w:r>
          </w:p>
        </w:tc>
      </w:tr>
      <w:tr>
        <w:tc>
          <w:tcPr>
            <w:tcW w:type="dxa" w:w="2160"/>
          </w:tcPr>
          <w:p>
            <w:r>
              <w:t>CP-08</w:t>
            </w:r>
          </w:p>
        </w:tc>
        <w:tc>
          <w:tcPr>
            <w:tcW w:type="dxa" w:w="2160"/>
          </w:tcPr>
          <w:p>
            <w:r>
              <w:t>RF-16/18/19</w:t>
            </w:r>
          </w:p>
        </w:tc>
        <w:tc>
          <w:tcPr>
            <w:tcW w:type="dxa" w:w="2160"/>
          </w:tcPr>
          <w:p>
            <w:r>
              <w:t>Forzar fallo de envío simulado</w:t>
            </w:r>
          </w:p>
        </w:tc>
        <w:tc>
          <w:tcPr>
            <w:tcW w:type="dxa" w:w="2160"/>
          </w:tcPr>
          <w:p>
            <w:r>
              <w:t>Intento inicial + 3 reintentos; error y reintento manual</w:t>
            </w:r>
          </w:p>
        </w:tc>
      </w:tr>
      <w:tr>
        <w:tc>
          <w:tcPr>
            <w:tcW w:type="dxa" w:w="2160"/>
          </w:tcPr>
          <w:p>
            <w:r>
              <w:t>CP-09</w:t>
            </w:r>
          </w:p>
        </w:tc>
        <w:tc>
          <w:tcPr>
            <w:tcW w:type="dxa" w:w="2160"/>
          </w:tcPr>
          <w:p>
            <w:r>
              <w:t>RF-17</w:t>
            </w:r>
          </w:p>
        </w:tc>
        <w:tc>
          <w:tcPr>
            <w:tcW w:type="dxa" w:w="2160"/>
          </w:tcPr>
          <w:p>
            <w:r>
              <w:t>Simular recuperación de conexión</w:t>
            </w:r>
          </w:p>
        </w:tc>
        <w:tc>
          <w:tcPr>
            <w:tcW w:type="dxa" w:w="2160"/>
          </w:tcPr>
          <w:p>
            <w:r>
              <w:t>Pendientes vuelven a procesarse</w:t>
            </w:r>
          </w:p>
        </w:tc>
      </w:tr>
      <w:tr>
        <w:tc>
          <w:tcPr>
            <w:tcW w:type="dxa" w:w="2160"/>
          </w:tcPr>
          <w:p>
            <w:r>
              <w:t>CP-10</w:t>
            </w:r>
          </w:p>
        </w:tc>
        <w:tc>
          <w:tcPr>
            <w:tcW w:type="dxa" w:w="2160"/>
          </w:tcPr>
          <w:p>
            <w:r>
              <w:t>RF-20/21</w:t>
            </w:r>
          </w:p>
        </w:tc>
        <w:tc>
          <w:tcPr>
            <w:tcW w:type="dxa" w:w="2160"/>
          </w:tcPr>
          <w:p>
            <w:r>
              <w:t>Editar y eliminar pendientes</w:t>
            </w:r>
          </w:p>
        </w:tc>
        <w:tc>
          <w:tcPr>
            <w:tcW w:type="dxa" w:w="2160"/>
          </w:tcPr>
          <w:p>
            <w:r>
              <w:t>Conserva ID; solicita confirmación al eliminar</w:t>
            </w:r>
          </w:p>
        </w:tc>
      </w:tr>
      <w:tr>
        <w:tc>
          <w:tcPr>
            <w:tcW w:type="dxa" w:w="2160"/>
          </w:tcPr>
          <w:p>
            <w:r>
              <w:t>CP-11</w:t>
            </w:r>
          </w:p>
        </w:tc>
        <w:tc>
          <w:tcPr>
            <w:tcW w:type="dxa" w:w="2160"/>
          </w:tcPr>
          <w:p>
            <w:r>
              <w:t>RF-22/23/24</w:t>
            </w:r>
          </w:p>
        </w:tc>
        <w:tc>
          <w:tcPr>
            <w:tcW w:type="dxa" w:w="2160"/>
          </w:tcPr>
          <w:p>
            <w:r>
              <w:t>Consultar historial, detalle y avisos</w:t>
            </w:r>
          </w:p>
        </w:tc>
        <w:tc>
          <w:tcPr>
            <w:tcW w:type="dxa" w:w="2160"/>
          </w:tcPr>
          <w:p>
            <w:r>
              <w:t>Eventos, timestamps y mensajes coherentes</w:t>
            </w:r>
          </w:p>
        </w:tc>
      </w:tr>
      <w:tr>
        <w:tc>
          <w:tcPr>
            <w:tcW w:type="dxa" w:w="2160"/>
          </w:tcPr>
          <w:p>
            <w:r>
              <w:t>CP-12</w:t>
            </w:r>
          </w:p>
        </w:tc>
        <w:tc>
          <w:tcPr>
            <w:tcW w:type="dxa" w:w="2160"/>
          </w:tcPr>
          <w:p>
            <w:r>
              <w:t>RNF-08</w:t>
            </w:r>
          </w:p>
        </w:tc>
        <w:tc>
          <w:tcPr>
            <w:tcW w:type="dxa" w:w="2160"/>
          </w:tcPr>
          <w:p>
            <w:r>
              <w:t>Guardar 10 reportes pendientes y reabrir</w:t>
            </w:r>
          </w:p>
        </w:tc>
        <w:tc>
          <w:tcPr>
            <w:tcW w:type="dxa" w:w="2160"/>
          </w:tcPr>
          <w:p>
            <w:r>
              <w:t>No se pierden registros</w:t>
            </w:r>
          </w:p>
        </w:tc>
      </w:tr>
      <w:tr>
        <w:tc>
          <w:tcPr>
            <w:tcW w:type="dxa" w:w="2160"/>
          </w:tcPr>
          <w:p>
            <w:r>
              <w:t>CP-13</w:t>
            </w:r>
          </w:p>
        </w:tc>
        <w:tc>
          <w:tcPr>
            <w:tcW w:type="dxa" w:w="2160"/>
          </w:tcPr>
          <w:p>
            <w:r>
              <w:t>RNF-01</w:t>
            </w:r>
          </w:p>
        </w:tc>
        <w:tc>
          <w:tcPr>
            <w:tcW w:type="dxa" w:w="2160"/>
          </w:tcPr>
          <w:p>
            <w:r>
              <w:t>Instalar y ejecutar en Android API 26</w:t>
            </w:r>
          </w:p>
        </w:tc>
        <w:tc>
          <w:tcPr>
            <w:tcW w:type="dxa" w:w="2160"/>
          </w:tcPr>
          <w:p>
            <w:r>
              <w:t>La app abre y permite el flujo principal</w:t>
            </w:r>
          </w:p>
        </w:tc>
      </w:tr>
      <w:tr>
        <w:tc>
          <w:tcPr>
            <w:tcW w:type="dxa" w:w="2160"/>
          </w:tcPr>
          <w:p>
            <w:r>
              <w:t>CP-14</w:t>
            </w:r>
          </w:p>
        </w:tc>
        <w:tc>
          <w:tcPr>
            <w:tcW w:type="dxa" w:w="2160"/>
          </w:tcPr>
          <w:p>
            <w:r>
              <w:t>RNF-05/07</w:t>
            </w:r>
          </w:p>
        </w:tc>
        <w:tc>
          <w:tcPr>
            <w:tcW w:type="dxa" w:w="2160"/>
          </w:tcPr>
          <w:p>
            <w:r>
              <w:t>Revisar datos usados en demostración</w:t>
            </w:r>
          </w:p>
        </w:tc>
        <w:tc>
          <w:tcPr>
            <w:tcW w:type="dxa" w:w="2160"/>
          </w:tcPr>
          <w:p>
            <w:r>
              <w:t>Sin datos reales ni secretos productivos</w:t>
            </w:r>
          </w:p>
        </w:tc>
      </w:tr>
      <w:tr>
        <w:tc>
          <w:tcPr>
            <w:tcW w:type="dxa" w:w="2160"/>
          </w:tcPr>
          <w:p>
            <w:r>
              <w:t>CP-15</w:t>
            </w:r>
          </w:p>
        </w:tc>
        <w:tc>
          <w:tcPr>
            <w:tcW w:type="dxa" w:w="2160"/>
          </w:tcPr>
          <w:p>
            <w:r>
              <w:t>Validación maqueta</w:t>
            </w:r>
          </w:p>
        </w:tc>
        <w:tc>
          <w:tcPr>
            <w:tcW w:type="dxa" w:w="2160"/>
          </w:tcPr>
          <w:p>
            <w:r>
              <w:t>Recorrer index.html con la empresa</w:t>
            </w:r>
          </w:p>
        </w:tc>
        <w:tc>
          <w:tcPr>
            <w:tcW w:type="dxa" w:w="2160"/>
          </w:tcPr>
          <w:p>
            <w:r>
              <w:t>Observaciones y aprobación registradas</w:t>
            </w:r>
          </w:p>
        </w:tc>
      </w:tr>
    </w:tbl>
    <w:p>
      <w:pPr>
        <w:pStyle w:val="Heading1"/>
      </w:pPr>
      <w:r>
        <w:t>3. Registro de ejecución</w:t>
      </w:r>
    </w:p>
    <w:p>
      <w:r>
        <w:t>Para cada caso registrar: fecha, dispositivo/API, versión/commit, ejecutor, resultado (Aprobado/Fallido/Bloqueado/No ejecutado), evidencia (captura/video/log), incidencia y observaciones.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Estado inicial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2160"/>
          </w:tcPr>
          <w:p>
            <w:r>
              <w:t>CP-01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CP-02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CP-03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CP-04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CP-05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CP-06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CP-07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CP-08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CP-09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CP-10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CP-11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CP-12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CP-13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CP-14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CP-15</w:t>
            </w:r>
          </w:p>
        </w:tc>
        <w:tc>
          <w:tcPr>
            <w:tcW w:type="dxa" w:w="2160"/>
          </w:tcPr>
          <w:p>
            <w:r>
              <w:t>No ejecutado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</w:tbl>
    <w:p>
      <w:pPr>
        <w:pStyle w:val="Heading1"/>
      </w:pPr>
      <w:r>
        <w:t>4. Criterios de cierre</w:t>
      </w:r>
    </w:p>
    <w:p>
      <w:pPr>
        <w:pStyle w:val="ListBullet"/>
      </w:pPr>
      <w:r>
        <w:t>No marcar pruebas como aprobadas sin ejecutarlas en la app Android o el navegador, según corresponda.</w:t>
      </w:r>
    </w:p>
    <w:p>
      <w:pPr>
        <w:pStyle w:val="ListBullet"/>
      </w:pPr>
      <w:r>
        <w:t>Adjuntar capturas y videos sin información real de trabajadores o empresas.</w:t>
      </w:r>
    </w:p>
    <w:p>
      <w:pPr>
        <w:pStyle w:val="ListBullet"/>
      </w:pPr>
      <w:r>
        <w:t>Vincular defectos con tarjetas Trello y commits/PR de corrección.</w:t>
      </w:r>
    </w:p>
    <w:p>
      <w:pPr>
        <w:pStyle w:val="ListBullet"/>
      </w:pPr>
      <w:r>
        <w:t>Solicitar validación formal de VITAIROS para el prototipo, separada de la evaluación académica.</w:t>
      </w:r>
    </w:p>
    <w:sectPr w:rsidR="00FC693F" w:rsidRPr="0006063C" w:rsidSect="00034616">
      <w:pgSz w:w="12240" w:h="15840"/>
      <w:pgMar w:top="1080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31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E60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31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