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color w:val="333333"/>
          <w:sz w:val="17"/>
          <w:szCs w:val="17"/>
        </w:rPr>
        <w:t xml:space="preserve">PROYECTO DE PRÁCTICA EMPRESARIAL · PLATAFORMA WEB OFICIAL DE ASOBARES CAPÍTULO QUINDÍO</w:t>
      </w:r>
    </w:p>
    <w:p>
      <w:pPr>
        <w:spacing w:after="200" w:before="0"/>
      </w:pPr>
      <w:r>
        <w:rPr>
          <w:rFonts w:ascii="Times New Roman" w:cs="Times New Roman" w:eastAsia="Times New Roman" w:hAnsi="Times New Roman"/>
          <w:b/>
          <w:bCs/>
          <w:sz w:val="30"/>
          <w:szCs w:val="30"/>
        </w:rPr>
        <w:t xml:space="preserve">ANEXO F. Manual de usuario del panel de administración</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681"/>
      </w:tblGrid>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Elaboró</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Juan José Sua Gómez, Programa de Ingeniería de Software, Universidad Alexander von Humboldt</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Dirigido a</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Dirección ejecutiva, secretaría y practicantes de Asobares Capítulo Quindío</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Requisito verificado</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RNF-14, operación autónoma del panel por personal no técnico</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Capturas</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Once capturas del panel real, tomadas el 18 de agosto de 2026 sobre la base de demostración</w:t>
            </w:r>
          </w:p>
        </w:tc>
      </w:tr>
      <w:tr>
        <w:trPr>
          <w:cantSplit/>
        </w:trPr>
        <w:tc>
          <w:tcPr>
            <w:tcW w:type="dxa" w:w="2300"/>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b/>
                <w:bCs/>
                <w:sz w:val="19"/>
                <w:szCs w:val="19"/>
              </w:rPr>
              <w:t xml:space="preserve">Versión</w:t>
            </w:r>
          </w:p>
        </w:tc>
        <w:tc>
          <w:tcPr>
            <w:tcW w:type="dxa" w:w="6681"/>
            <w:tcBorders>
              <w:top w:val="none" w:color="FFFFFF" w:sz="0"/>
              <w:left w:val="none" w:color="FFFFFF" w:sz="0"/>
              <w:bottom w:val="single" w:color="BFBFBF" w:sz="4"/>
              <w:right w:val="none" w:color="FFFFFF" w:sz="0"/>
            </w:tcBorders>
            <w:tcMar>
              <w:top w:type="dxa" w:w="50"/>
              <w:left w:type="dxa" w:w="60"/>
              <w:bottom w:type="dxa" w:w="50"/>
              <w:right w:type="dxa" w:w="60"/>
            </w:tcMar>
          </w:tcPr>
          <w:p>
            <w:pPr>
              <w:spacing w:after="0" w:before="0"/>
            </w:pPr>
            <w:r>
              <w:rPr>
                <w:rFonts w:ascii="Times New Roman" w:cs="Times New Roman" w:eastAsia="Times New Roman" w:hAnsi="Times New Roman"/>
                <w:sz w:val="19"/>
                <w:szCs w:val="19"/>
              </w:rPr>
              <w:t xml:space="preserve">1.3, 27 de agosto de 2026</w:t>
            </w:r>
          </w:p>
        </w:tc>
      </w:tr>
    </w:tbl>
    <w:p>
      <w:pPr>
        <w:spacing w:after="120" w:before="0"/>
      </w:pPr>
    </w:p>
    <w:p>
      <w:pPr>
        <w:pStyle w:val="Heading2"/>
        <w:keepNext/>
        <w:spacing w:after="100" w:before="280" w:line="276"/>
      </w:pPr>
      <w:r>
        <w:rPr>
          <w:rFonts w:ascii="Times New Roman" w:cs="Times New Roman" w:eastAsia="Times New Roman" w:hAnsi="Times New Roman"/>
          <w:b/>
          <w:bCs/>
          <w:color w:val="000000"/>
          <w:sz w:val="24"/>
          <w:szCs w:val="24"/>
        </w:rPr>
        <w:t xml:space="preserve">Presentación</w:t>
      </w:r>
    </w:p>
    <w:p>
      <w:pPr>
        <w:spacing w:after="120" w:before="0" w:line="276"/>
        <w:jc w:val="both"/>
      </w:pPr>
      <w:r>
        <w:rPr>
          <w:rFonts w:ascii="Times New Roman" w:cs="Times New Roman" w:eastAsia="Times New Roman" w:hAnsi="Times New Roman"/>
          <w:sz w:val="22"/>
          <w:szCs w:val="22"/>
        </w:rPr>
        <w:t xml:space="preserve">Este manual describe cómo usar el panel de administración de la plataforma web de Asobares Capítulo Quindío. Está dirigido a la dirección ejecutiva, a la secretaría y a los practicantes del capítulo, y no exige conocimientos técnicos.</w:t>
      </w:r>
    </w:p>
    <w:p>
      <w:pPr>
        <w:spacing w:after="120" w:before="0" w:line="276"/>
        <w:jc w:val="both"/>
      </w:pPr>
      <w:r>
        <w:rPr>
          <w:rFonts w:ascii="Times New Roman" w:cs="Times New Roman" w:eastAsia="Times New Roman" w:hAnsi="Times New Roman"/>
          <w:sz w:val="22"/>
          <w:szCs w:val="22"/>
        </w:rPr>
        <w:t xml:space="preserve">Las once imágenes son capturas del panel real, tomadas el 18 de agosto de 2026 sobre la base de datos de demostración, en tema claro y a 1440 píxeles de ancho. Ninguna contiene datos de personas reales: todos los establecimientos y nombres que aparecen son ficticios.</w:t>
      </w:r>
    </w:p>
    <w:p>
      <w:pPr>
        <w:pStyle w:val="Heading2"/>
        <w:keepNext/>
        <w:spacing w:after="100" w:before="280" w:line="276"/>
      </w:pPr>
      <w:r>
        <w:rPr>
          <w:rFonts w:ascii="Times New Roman" w:cs="Times New Roman" w:eastAsia="Times New Roman" w:hAnsi="Times New Roman"/>
          <w:b/>
          <w:bCs/>
          <w:color w:val="000000"/>
          <w:sz w:val="24"/>
          <w:szCs w:val="24"/>
        </w:rPr>
        <w:t xml:space="preserve">1. Antes de empezar</w:t>
      </w:r>
    </w:p>
    <w:p>
      <w:pPr>
        <w:pStyle w:val="Heading3"/>
        <w:keepNext/>
        <w:spacing w:after="100" w:before="200" w:line="276"/>
      </w:pPr>
      <w:r>
        <w:rPr>
          <w:rFonts w:ascii="Times New Roman" w:cs="Times New Roman" w:eastAsia="Times New Roman" w:hAnsi="Times New Roman"/>
          <w:b/>
          <w:bCs/>
          <w:color w:val="000000"/>
          <w:sz w:val="22"/>
          <w:szCs w:val="22"/>
        </w:rPr>
        <w:t xml:space="preserve">1.1 Cómo entrar</w:t>
      </w:r>
    </w:p>
    <w:p>
      <w:pPr>
        <w:pStyle w:val="ListParagraph"/>
        <w:numPr>
          <w:ilvl w:val="0"/>
          <w:numId w:val="2"/>
        </w:numPr>
        <w:spacing w:after="60" w:before="0" w:line="276"/>
        <w:jc w:val="both"/>
      </w:pPr>
      <w:r>
        <w:rPr>
          <w:rFonts w:ascii="Times New Roman" w:cs="Times New Roman" w:eastAsia="Times New Roman" w:hAnsi="Times New Roman"/>
          <w:sz w:val="22"/>
          <w:szCs w:val="22"/>
        </w:rPr>
        <w:t xml:space="preserve">Abra la dirección </w:t>
      </w:r>
      <w:r>
        <w:rPr>
          <w:rFonts w:ascii="Consolas" w:cs="Consolas" w:eastAsia="Consolas" w:hAnsi="Consolas"/>
          <w:sz w:val="19"/>
          <w:szCs w:val="19"/>
        </w:rPr>
        <w:t xml:space="preserve">/admin</w:t>
      </w:r>
      <w:r>
        <w:rPr>
          <w:rFonts w:ascii="Times New Roman" w:cs="Times New Roman" w:eastAsia="Times New Roman" w:hAnsi="Times New Roman"/>
          <w:sz w:val="22"/>
          <w:szCs w:val="22"/>
        </w:rPr>
        <w:t xml:space="preserve"> en el navegador.</w:t>
      </w:r>
    </w:p>
    <w:p>
      <w:pPr>
        <w:pStyle w:val="ListParagraph"/>
        <w:numPr>
          <w:ilvl w:val="0"/>
          <w:numId w:val="2"/>
        </w:numPr>
        <w:spacing w:after="60" w:before="0" w:line="276"/>
        <w:jc w:val="both"/>
      </w:pPr>
      <w:r>
        <w:rPr>
          <w:rFonts w:ascii="Times New Roman" w:cs="Times New Roman" w:eastAsia="Times New Roman" w:hAnsi="Times New Roman"/>
          <w:sz w:val="22"/>
          <w:szCs w:val="22"/>
        </w:rPr>
        <w:t xml:space="preserve">Escriba su correo y su contraseña.</w:t>
      </w:r>
    </w:p>
    <w:p>
      <w:pPr>
        <w:pStyle w:val="ListParagraph"/>
        <w:numPr>
          <w:ilvl w:val="0"/>
          <w:numId w:val="2"/>
        </w:numPr>
        <w:spacing w:after="140" w:before="0" w:line="276"/>
        <w:jc w:val="both"/>
      </w:pPr>
      <w:r>
        <w:rPr>
          <w:rFonts w:ascii="Times New Roman" w:cs="Times New Roman" w:eastAsia="Times New Roman" w:hAnsi="Times New Roman"/>
          <w:sz w:val="22"/>
          <w:szCs w:val="22"/>
        </w:rPr>
        <w:t xml:space="preserve">El sistema le pedirá un código de seis dígitos que llega a su correo. Escríbalo.</w:t>
      </w:r>
    </w:p>
    <w:p>
      <w:pPr>
        <w:keepNext/>
        <w:spacing w:after="60" w:before="120"/>
        <w:jc w:val="center"/>
      </w:pPr>
      <w:r>
        <w:drawing>
          <wp:inline distT="0" distB="0" distL="0" distR="0">
            <wp:extent cx="48482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48225" cy="30289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9"/>
          <w:szCs w:val="19"/>
        </w:rPr>
        <w:t xml:space="preserve">Figura F1. Pantalla de acceso al panel.</w:t>
      </w:r>
    </w:p>
    <w:p>
      <w:pPr>
        <w:spacing w:after="120" w:before="0" w:line="276"/>
        <w:jc w:val="both"/>
      </w:pPr>
      <w:r>
        <w:rPr>
          <w:rFonts w:ascii="Times New Roman" w:cs="Times New Roman" w:eastAsia="Times New Roman" w:hAnsi="Times New Roman"/>
          <w:sz w:val="22"/>
          <w:szCs w:val="22"/>
        </w:rPr>
        <w:t xml:space="preserve">El código por correo no es opcional. Es una exigencia de seguridad del proyecto: protege los datos personales de los asociados, de los candidatos a empleo y de quienes escriben al gremio. Si nunca ha configurado el segundo factor, el sistema lo guía la primera vez.</w:t>
      </w:r>
    </w:p>
    <w:p>
      <w:pPr>
        <w:pBdr>
          <w:left w:val="single" w:color="666666" w:sz="18" w:space="6"/>
        </w:pBdr>
        <w:shd w:fill="F2F2F2" w:color="auto" w:val="clear"/>
        <w:spacing w:after="160" w:before="60" w:line="276"/>
        <w:ind w:left="200" w:right="200"/>
        <w:jc w:val="both"/>
      </w:pPr>
      <w:r>
        <w:rPr>
          <w:rFonts w:ascii="Times New Roman" w:cs="Times New Roman" w:eastAsia="Times New Roman" w:hAnsi="Times New Roman"/>
          <w:b/>
          <w:bCs/>
          <w:sz w:val="22"/>
          <w:szCs w:val="22"/>
        </w:rPr>
        <w:t xml:space="preserve">Nota. </w:t>
      </w:r>
      <w:r>
        <w:rPr>
          <w:rFonts w:ascii="Times New Roman" w:cs="Times New Roman" w:eastAsia="Times New Roman" w:hAnsi="Times New Roman"/>
          <w:sz w:val="22"/>
          <w:szCs w:val="22"/>
        </w:rPr>
        <w:t xml:space="preserve">Si no le llega el código, revise la carpeta de correo no deseado. Si sigue sin llegar, avise a quien administre la plataforma: puede ser que el servicio de correo no esté configurado en ese servidor, y existe otra forma de obtenerlo.</w:t>
      </w:r>
    </w:p>
    <w:p>
      <w:pPr>
        <w:pStyle w:val="Heading3"/>
        <w:keepNext/>
        <w:spacing w:after="100" w:before="200" w:line="276"/>
      </w:pPr>
      <w:r>
        <w:rPr>
          <w:rFonts w:ascii="Times New Roman" w:cs="Times New Roman" w:eastAsia="Times New Roman" w:hAnsi="Times New Roman"/>
          <w:b/>
          <w:bCs/>
          <w:color w:val="000000"/>
          <w:sz w:val="22"/>
          <w:szCs w:val="22"/>
        </w:rPr>
        <w:t xml:space="preserve">1.2 Los dos tipos de cuenta</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4"/>
        <w:gridCol w:w="2694"/>
        <w:gridCol w:w="3233"/>
      </w:tblGrid>
      <w:tr>
        <w:trPr>
          <w:cantSplit/>
          <w:tblHeader/>
        </w:trPr>
        <w:tc>
          <w:tcPr>
            <w:tcW w:type="dxa" w:w="305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Permiso</w:t>
            </w:r>
          </w:p>
        </w:tc>
        <w:tc>
          <w:tcPr>
            <w:tcW w:type="dxa" w:w="26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Dirección (superadministrador)</w:t>
            </w:r>
          </w:p>
        </w:tc>
        <w:tc>
          <w:tcPr>
            <w:tcW w:type="dxa" w:w="323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Secretaría (subadministrador)</w:t>
            </w:r>
          </w:p>
        </w:tc>
      </w:tr>
      <w:tr>
        <w:trPr>
          <w:cantSplit/>
          <w:tblHeader w:val="false"/>
        </w:trPr>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Ver todo el panel</w:t>
            </w:r>
          </w:p>
        </w:tc>
        <w:tc>
          <w:tcPr>
            <w:tcW w:type="dxa" w:w="269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Sí</w:t>
            </w:r>
          </w:p>
        </w:tc>
        <w:tc>
          <w:tcPr>
            <w:tcW w:type="dxa" w:w="323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Sí, salvo Cartera, Transacciones y Usuarios</w:t>
            </w:r>
          </w:p>
        </w:tc>
      </w:tr>
      <w:tr>
        <w:trPr>
          <w:cantSplit/>
          <w:tblHeader w:val="false"/>
        </w:trPr>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Redactar contenido</w:t>
            </w:r>
          </w:p>
        </w:tc>
        <w:tc>
          <w:tcPr>
            <w:tcW w:type="dxa" w:w="269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Sí</w:t>
            </w:r>
          </w:p>
        </w:tc>
        <w:tc>
          <w:tcPr>
            <w:tcW w:type="dxa" w:w="323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Sí</w:t>
            </w:r>
          </w:p>
        </w:tc>
      </w:tr>
      <w:tr>
        <w:trPr>
          <w:cantSplit/>
          <w:tblHeader w:val="false"/>
        </w:trPr>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Publicar en el sitio</w:t>
            </w:r>
          </w:p>
        </w:tc>
        <w:tc>
          <w:tcPr>
            <w:tcW w:type="dxa" w:w="269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Sí</w:t>
            </w:r>
          </w:p>
        </w:tc>
        <w:tc>
          <w:tcPr>
            <w:tcW w:type="dxa" w:w="323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 queda pendiente de aprobación</w:t>
            </w:r>
          </w:p>
        </w:tc>
      </w:tr>
      <w:tr>
        <w:trPr>
          <w:cantSplit/>
          <w:tblHeader w:val="false"/>
        </w:trPr>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Aprobar lo que redactó otra persona</w:t>
            </w:r>
          </w:p>
        </w:tc>
        <w:tc>
          <w:tcPr>
            <w:tcW w:type="dxa" w:w="269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Sí</w:t>
            </w:r>
          </w:p>
        </w:tc>
        <w:tc>
          <w:tcPr>
            <w:tcW w:type="dxa" w:w="323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Solo en las Bolsas</w:t>
            </w:r>
          </w:p>
        </w:tc>
      </w:tr>
      <w:tr>
        <w:trPr>
          <w:cantSplit/>
          <w:tblHeader w:val="false"/>
        </w:trPr>
        <w:tc>
          <w:tcPr>
            <w:tcW w:type="dxa" w:w="305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Cambiar la configuración del sitio</w:t>
            </w:r>
          </w:p>
        </w:tc>
        <w:tc>
          <w:tcPr>
            <w:tcW w:type="dxa" w:w="2694"/>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Sí</w:t>
            </w:r>
          </w:p>
        </w:tc>
        <w:tc>
          <w:tcPr>
            <w:tcW w:type="dxa" w:w="323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w:t>
            </w:r>
          </w:p>
        </w:tc>
      </w:tr>
    </w:tbl>
    <w:p>
      <w:pPr>
        <w:spacing w:after="80" w:before="0"/>
      </w:pPr>
    </w:p>
    <w:p>
      <w:pPr>
        <w:spacing w:after="120" w:before="0" w:line="276"/>
        <w:jc w:val="both"/>
      </w:pPr>
      <w:r>
        <w:rPr>
          <w:rFonts w:ascii="Times New Roman" w:cs="Times New Roman" w:eastAsia="Times New Roman" w:hAnsi="Times New Roman"/>
          <w:sz w:val="22"/>
          <w:szCs w:val="22"/>
        </w:rPr>
        <w:t xml:space="preserve">Esta separación es deliberada y es uno de los requisitos centrales del proyecto: la secretaría redacta y la dirección publica. No es una restricción del formulario que se pueda saltar; está implementada en el servidor. Si la secretaría marca «Publicado» y guarda, el registro queda igualmente en «Pendiente de aprobación».</w:t>
      </w:r>
    </w:p>
    <w:p>
      <w:pPr>
        <w:pStyle w:val="Heading3"/>
        <w:keepNext/>
        <w:spacing w:after="100" w:before="200" w:line="276"/>
      </w:pPr>
      <w:r>
        <w:rPr>
          <w:rFonts w:ascii="Times New Roman" w:cs="Times New Roman" w:eastAsia="Times New Roman" w:hAnsi="Times New Roman"/>
          <w:b/>
          <w:bCs/>
          <w:color w:val="000000"/>
          <w:sz w:val="22"/>
          <w:szCs w:val="22"/>
        </w:rPr>
        <w:t xml:space="preserve">1.3 Cómo está organizado el menú</w:t>
      </w:r>
    </w:p>
    <w:p>
      <w:pPr>
        <w:keepNext/>
        <w:spacing w:after="60" w:before="120"/>
        <w:jc w:val="center"/>
      </w:pPr>
      <w:r>
        <w:drawing>
          <wp:inline distT="0" distB="0" distL="0" distR="0">
            <wp:extent cx="12573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57300" cy="32956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9"/>
          <w:szCs w:val="19"/>
        </w:rPr>
        <w:t xml:space="preserve">Figura F2. Menú lateral completo, con la sesión de la Dirección.</w:t>
      </w:r>
    </w:p>
    <w:tbl>
      <w:tblPr>
        <w:tblW w:type="dxa" w:w="898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7"/>
        <w:gridCol w:w="4491"/>
        <w:gridCol w:w="3053"/>
      </w:tblGrid>
      <w:tr>
        <w:trPr>
          <w:cantSplit/>
          <w:tblHeader/>
        </w:trPr>
        <w:tc>
          <w:tcPr>
            <w:tcW w:type="dxa" w:w="143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Grupo</w:t>
            </w:r>
          </w:p>
        </w:tc>
        <w:tc>
          <w:tcPr>
            <w:tcW w:type="dxa" w:w="449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Qué contiene</w:t>
            </w:r>
          </w:p>
        </w:tc>
        <w:tc>
          <w:tcPr>
            <w:tcW w:type="dxa" w:w="305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Para qué</w:t>
            </w:r>
          </w:p>
        </w:tc>
      </w:tr>
      <w:tr>
        <w:trPr>
          <w:cantSplit/>
          <w:tblHeader w:val="false"/>
        </w:trPr>
        <w:tc>
          <w:tcPr>
            <w:tcW w:type="dxa" w:w="14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Contenido</w:t>
            </w:r>
          </w:p>
        </w:tc>
        <w:tc>
          <w:tcPr>
            <w:tcW w:type="dxa" w:w="44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Asociados, Eventos, Noticias, Iniciativas, Requisitos de apertura</w:t>
            </w:r>
          </w:p>
        </w:tc>
        <w:tc>
          <w:tcPr>
            <w:tcW w:type="dxa" w:w="305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Lo que se ve en el sitio público</w:t>
            </w:r>
          </w:p>
        </w:tc>
      </w:tr>
      <w:tr>
        <w:trPr>
          <w:cantSplit/>
          <w:tblHeader w:val="false"/>
        </w:trPr>
        <w:tc>
          <w:tcPr>
            <w:tcW w:type="dxa" w:w="14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Gremio</w:t>
            </w:r>
          </w:p>
        </w:tc>
        <w:tc>
          <w:tcPr>
            <w:tcW w:type="dxa" w:w="44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Aliados, Beneficios, Cartera, Transacciones</w:t>
            </w:r>
          </w:p>
        </w:tc>
        <w:tc>
          <w:tcPr>
            <w:tcW w:type="dxa" w:w="305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Afiliación, convenios y recaudo</w:t>
            </w:r>
          </w:p>
        </w:tc>
      </w:tr>
      <w:tr>
        <w:trPr>
          <w:cantSplit/>
          <w:tblHeader w:val="false"/>
        </w:trPr>
        <w:tc>
          <w:tcPr>
            <w:tcW w:type="dxa" w:w="14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Bolsas</w:t>
            </w:r>
          </w:p>
        </w:tc>
        <w:tc>
          <w:tcPr>
            <w:tcW w:type="dxa" w:w="44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Vacantes, Artistas, Proveedores, Banco de talento</w:t>
            </w:r>
          </w:p>
        </w:tc>
        <w:tc>
          <w:tcPr>
            <w:tcW w:type="dxa" w:w="305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Lo que publican terceros y el gremio modera</w:t>
            </w:r>
          </w:p>
        </w:tc>
      </w:tr>
      <w:tr>
        <w:trPr>
          <w:cantSplit/>
          <w:tblHeader w:val="false"/>
        </w:trPr>
        <w:tc>
          <w:tcPr>
            <w:tcW w:type="dxa" w:w="14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Bandejas</w:t>
            </w:r>
          </w:p>
        </w:tc>
        <w:tc>
          <w:tcPr>
            <w:tcW w:type="dxa" w:w="44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Inscripciones, Mensajes y PQR, Postulaciones</w:t>
            </w:r>
          </w:p>
        </w:tc>
        <w:tc>
          <w:tcPr>
            <w:tcW w:type="dxa" w:w="305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Lo que llega desde el sitio y hay que atender</w:t>
            </w:r>
          </w:p>
        </w:tc>
      </w:tr>
      <w:tr>
        <w:trPr>
          <w:cantSplit/>
          <w:tblHeader w:val="false"/>
        </w:trPr>
        <w:tc>
          <w:tcPr>
            <w:tcW w:type="dxa" w:w="1437"/>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Configuración</w:t>
            </w:r>
          </w:p>
        </w:tc>
        <w:tc>
          <w:tcPr>
            <w:tcW w:type="dxa" w:w="4491"/>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Municipios, Categorías, Usuarios, Ajustes del sitio, Bitácora</w:t>
            </w:r>
          </w:p>
        </w:tc>
        <w:tc>
          <w:tcPr>
            <w:tcW w:type="dxa" w:w="3053"/>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Los cimientos; se modifican poco</w:t>
            </w:r>
          </w:p>
        </w:tc>
      </w:tr>
    </w:tbl>
    <w:p>
      <w:pPr>
        <w:spacing w:after="80" w:before="0"/>
      </w:pPr>
    </w:p>
    <w:p>
      <w:pPr>
        <w:spacing w:after="120" w:before="0" w:line="276"/>
        <w:jc w:val="both"/>
      </w:pPr>
      <w:r>
        <w:rPr>
          <w:rFonts w:ascii="Times New Roman" w:cs="Times New Roman" w:eastAsia="Times New Roman" w:hAnsi="Times New Roman"/>
          <w:sz w:val="22"/>
          <w:szCs w:val="22"/>
        </w:rPr>
        <w:t xml:space="preserve">Regla práctica: si se pregunta dónde está algo, piense en si es algo que usted publica (Contenido), algo que le llega (Bandejas) o algo que otro publicó y usted revisa (Bolsas).</w:t>
      </w:r>
    </w:p>
    <w:p>
      <w:pPr>
        <w:pStyle w:val="Heading2"/>
        <w:keepNext/>
        <w:spacing w:after="100" w:before="280" w:line="276"/>
      </w:pPr>
      <w:r>
        <w:rPr>
          <w:rFonts w:ascii="Times New Roman" w:cs="Times New Roman" w:eastAsia="Times New Roman" w:hAnsi="Times New Roman"/>
          <w:b/>
          <w:bCs/>
          <w:color w:val="000000"/>
          <w:sz w:val="24"/>
          <w:szCs w:val="24"/>
        </w:rPr>
        <w:t xml:space="preserve">2. Publicar un asociado nuevo</w:t>
      </w:r>
    </w:p>
    <w:p>
      <w:pPr>
        <w:spacing w:after="120" w:before="0" w:line="276"/>
        <w:jc w:val="both"/>
      </w:pPr>
      <w:r>
        <w:rPr>
          <w:rFonts w:ascii="Times New Roman" w:cs="Times New Roman" w:eastAsia="Times New Roman" w:hAnsi="Times New Roman"/>
          <w:sz w:val="22"/>
          <w:szCs w:val="22"/>
        </w:rPr>
        <w:t xml:space="preserve">Es la tarea más frecuente, porque el gremio crece mes a mes.</w:t>
      </w:r>
    </w:p>
    <w:p>
      <w:pPr>
        <w:pStyle w:val="ListParagraph"/>
        <w:numPr>
          <w:ilvl w:val="0"/>
          <w:numId w:val="3"/>
        </w:numPr>
        <w:spacing w:after="60" w:before="0" w:line="276"/>
        <w:jc w:val="both"/>
      </w:pPr>
      <w:r>
        <w:rPr>
          <w:rFonts w:ascii="Times New Roman" w:cs="Times New Roman" w:eastAsia="Times New Roman" w:hAnsi="Times New Roman"/>
          <w:sz w:val="22"/>
          <w:szCs w:val="22"/>
        </w:rPr>
        <w:t xml:space="preserve">Contenido, Asociados, Crear.</w:t>
      </w:r>
    </w:p>
    <w:p>
      <w:pPr>
        <w:pStyle w:val="ListParagraph"/>
        <w:numPr>
          <w:ilvl w:val="0"/>
          <w:numId w:val="3"/>
        </w:numPr>
        <w:spacing w:after="60" w:before="0" w:line="276"/>
        <w:jc w:val="both"/>
      </w:pPr>
      <w:r>
        <w:rPr>
          <w:rFonts w:ascii="Times New Roman" w:cs="Times New Roman" w:eastAsia="Times New Roman" w:hAnsi="Times New Roman"/>
          <w:sz w:val="22"/>
          <w:szCs w:val="22"/>
        </w:rPr>
        <w:t xml:space="preserve">Llene el nombre, el municipio y la categoría (bar, gastrobar, café, discoteca).</w:t>
      </w:r>
    </w:p>
    <w:p>
      <w:pPr>
        <w:pStyle w:val="ListParagraph"/>
        <w:numPr>
          <w:ilvl w:val="0"/>
          <w:numId w:val="3"/>
        </w:numPr>
        <w:spacing w:after="60" w:before="0" w:line="276"/>
        <w:jc w:val="both"/>
      </w:pPr>
      <w:r>
        <w:rPr>
          <w:rFonts w:ascii="Times New Roman" w:cs="Times New Roman" w:eastAsia="Times New Roman" w:hAnsi="Times New Roman"/>
          <w:sz w:val="22"/>
          <w:szCs w:val="22"/>
        </w:rPr>
        <w:t xml:space="preserve">Suba la foto de portada. No se preocupe por el tamaño ni el formato: el sistema convierte y optimiza las imágenes.</w:t>
      </w:r>
    </w:p>
    <w:p>
      <w:pPr>
        <w:pStyle w:val="ListParagraph"/>
        <w:numPr>
          <w:ilvl w:val="0"/>
          <w:numId w:val="3"/>
        </w:numPr>
        <w:spacing w:after="60" w:before="0" w:line="276"/>
        <w:jc w:val="both"/>
      </w:pPr>
      <w:r>
        <w:rPr>
          <w:rFonts w:ascii="Times New Roman" w:cs="Times New Roman" w:eastAsia="Times New Roman" w:hAnsi="Times New Roman"/>
          <w:sz w:val="22"/>
          <w:szCs w:val="22"/>
        </w:rPr>
        <w:t xml:space="preserve">Distinga los dos bloques de contacto. El contacto público aparece en la ficha que ve todo el mundo; el contacto interno solo lo ve el equipo del gremio y nunca aparece en el sitio.</w:t>
      </w:r>
    </w:p>
    <w:p>
      <w:pPr>
        <w:pStyle w:val="ListParagraph"/>
        <w:numPr>
          <w:ilvl w:val="0"/>
          <w:numId w:val="3"/>
        </w:numPr>
        <w:spacing w:after="140" w:before="0" w:line="276"/>
        <w:jc w:val="both"/>
      </w:pPr>
      <w:r>
        <w:rPr>
          <w:rFonts w:ascii="Times New Roman" w:cs="Times New Roman" w:eastAsia="Times New Roman" w:hAnsi="Times New Roman"/>
          <w:sz w:val="22"/>
          <w:szCs w:val="22"/>
        </w:rPr>
        <w:t xml:space="preserve">En «Publicación», escoja el estado y guarde.</w:t>
      </w:r>
    </w:p>
    <w:p>
      <w:pPr>
        <w:keepNext/>
        <w:spacing w:after="60" w:before="120"/>
        <w:jc w:val="center"/>
      </w:pPr>
      <w:r>
        <w:drawing>
          <wp:inline distT="0" distB="0" distL="0" distR="0">
            <wp:extent cx="27908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90825" cy="32956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9"/>
          <w:szCs w:val="19"/>
        </w:rPr>
        <w:t xml:space="preserve">Figura F3. Formulario de asociado: arriba lo que ve el público, abajo los datos internos del gremio.</w:t>
      </w:r>
    </w:p>
    <w:p>
      <w:pPr>
        <w:pBdr>
          <w:left w:val="single" w:color="666666" w:sz="18" w:space="6"/>
        </w:pBdr>
        <w:shd w:fill="F2F2F2" w:color="auto" w:val="clear"/>
        <w:spacing w:after="160" w:before="60" w:line="276"/>
        <w:ind w:left="200" w:right="200"/>
        <w:jc w:val="both"/>
      </w:pPr>
      <w:r>
        <w:rPr>
          <w:rFonts w:ascii="Times New Roman" w:cs="Times New Roman" w:eastAsia="Times New Roman" w:hAnsi="Times New Roman"/>
          <w:b/>
          <w:bCs/>
          <w:sz w:val="22"/>
          <w:szCs w:val="22"/>
        </w:rPr>
        <w:t xml:space="preserve">Nota. </w:t>
      </w:r>
      <w:r>
        <w:rPr>
          <w:rFonts w:ascii="Times New Roman" w:cs="Times New Roman" w:eastAsia="Times New Roman" w:hAnsi="Times New Roman"/>
          <w:sz w:val="22"/>
          <w:szCs w:val="22"/>
        </w:rPr>
        <w:t xml:space="preserve">El propietario decide qué se publica de su establecimiento. Es un acuerdo con la directiva y una obligación legal: antes de publicar datos de un establecimiento hay que tener su autorización. El bloque de contacto interno existe para guardar lo que el propietario no autorizó mostrar.</w:t>
      </w:r>
    </w:p>
    <w:p>
      <w:pPr>
        <w:spacing w:after="120" w:before="0" w:line="276"/>
        <w:jc w:val="both"/>
      </w:pPr>
      <w:r>
        <w:rPr>
          <w:rFonts w:ascii="Times New Roman" w:cs="Times New Roman" w:eastAsia="Times New Roman" w:hAnsi="Times New Roman"/>
          <w:sz w:val="22"/>
          <w:szCs w:val="22"/>
        </w:rPr>
        <w:t xml:space="preserve">Si usted es secretaría, al guardar el registro queda en «Pendiente de aprobación» y la dirección recibe un aviso. Es el comportamiento esperado, no un error.</w:t>
      </w:r>
    </w:p>
    <w:p>
      <w:pPr>
        <w:pStyle w:val="Heading2"/>
        <w:keepNext/>
        <w:spacing w:after="100" w:before="280" w:line="276"/>
      </w:pPr>
      <w:r>
        <w:rPr>
          <w:rFonts w:ascii="Times New Roman" w:cs="Times New Roman" w:eastAsia="Times New Roman" w:hAnsi="Times New Roman"/>
          <w:b/>
          <w:bCs/>
          <w:color w:val="000000"/>
          <w:sz w:val="24"/>
          <w:szCs w:val="24"/>
        </w:rPr>
        <w:t xml:space="preserve">3. Publicar un evento y recibir inscripciones</w:t>
      </w:r>
    </w:p>
    <w:p>
      <w:pPr>
        <w:pStyle w:val="ListParagraph"/>
        <w:numPr>
          <w:ilvl w:val="0"/>
          <w:numId w:val="4"/>
        </w:numPr>
        <w:spacing w:after="60" w:before="0" w:line="276"/>
        <w:jc w:val="both"/>
      </w:pPr>
      <w:r>
        <w:rPr>
          <w:rFonts w:ascii="Times New Roman" w:cs="Times New Roman" w:eastAsia="Times New Roman" w:hAnsi="Times New Roman"/>
          <w:sz w:val="22"/>
          <w:szCs w:val="22"/>
        </w:rPr>
        <w:t xml:space="preserve">Contenido, Eventos, Crear.</w:t>
      </w:r>
    </w:p>
    <w:p>
      <w:pPr>
        <w:pStyle w:val="ListParagraph"/>
        <w:numPr>
          <w:ilvl w:val="0"/>
          <w:numId w:val="4"/>
        </w:numPr>
        <w:spacing w:after="60" w:before="0" w:line="276"/>
        <w:jc w:val="both"/>
      </w:pPr>
      <w:r>
        <w:rPr>
          <w:rFonts w:ascii="Times New Roman" w:cs="Times New Roman" w:eastAsia="Times New Roman" w:hAnsi="Times New Roman"/>
          <w:sz w:val="22"/>
          <w:szCs w:val="22"/>
        </w:rPr>
        <w:t xml:space="preserve">Fecha, hora, lugar y descripción.</w:t>
      </w:r>
    </w:p>
    <w:p>
      <w:pPr>
        <w:pStyle w:val="ListParagraph"/>
        <w:numPr>
          <w:ilvl w:val="0"/>
          <w:numId w:val="4"/>
        </w:numPr>
        <w:spacing w:after="60" w:before="0" w:line="276"/>
        <w:jc w:val="both"/>
      </w:pPr>
      <w:r>
        <w:rPr>
          <w:rFonts w:ascii="Times New Roman" w:cs="Times New Roman" w:eastAsia="Times New Roman" w:hAnsi="Times New Roman"/>
          <w:sz w:val="22"/>
          <w:szCs w:val="22"/>
        </w:rPr>
        <w:t xml:space="preserve">Aforo: si escribe un número, el sistema cierra las inscripciones al llenarse y avisa a quien llegue tarde. Si lo deja vacío, no hay límite.</w:t>
      </w:r>
    </w:p>
    <w:p>
      <w:pPr>
        <w:pStyle w:val="ListParagraph"/>
        <w:numPr>
          <w:ilvl w:val="0"/>
          <w:numId w:val="4"/>
        </w:numPr>
        <w:spacing w:after="140" w:before="0" w:line="276"/>
        <w:jc w:val="both"/>
      </w:pPr>
      <w:r>
        <w:rPr>
          <w:rFonts w:ascii="Times New Roman" w:cs="Times New Roman" w:eastAsia="Times New Roman" w:hAnsi="Times New Roman"/>
          <w:sz w:val="22"/>
          <w:szCs w:val="22"/>
        </w:rPr>
        <w:t xml:space="preserve">Valor: si el evento tiene costo, quien se inscriba pasa por la pasarela de pago. Si es gratuito, se inscribe directamente.</w:t>
      </w:r>
    </w:p>
    <w:p>
      <w:pPr>
        <w:keepNext/>
        <w:spacing w:after="60" w:before="120"/>
        <w:jc w:val="center"/>
      </w:pPr>
      <w:r>
        <w:drawing>
          <wp:inline distT="0" distB="0" distL="0" distR="0">
            <wp:extent cx="37909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90950" cy="32956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9"/>
          <w:szCs w:val="19"/>
        </w:rPr>
        <w:t xml:space="preserve">Figura F4. Formulario de evento, con el bloque de inscripción, cupos y precio.</w:t>
      </w:r>
    </w:p>
    <w:p>
      <w:pPr>
        <w:spacing w:after="120" w:before="0" w:line="276"/>
        <w:jc w:val="both"/>
      </w:pPr>
      <w:r>
        <w:rPr>
          <w:rFonts w:ascii="Times New Roman" w:cs="Times New Roman" w:eastAsia="Times New Roman" w:hAnsi="Times New Roman"/>
          <w:sz w:val="22"/>
          <w:szCs w:val="22"/>
        </w:rPr>
        <w:t xml:space="preserve">Las inscripciones llegan a Bandejas, Inscripciones, con el estado de pago de cada una.</w:t>
      </w:r>
    </w:p>
    <w:p>
      <w:pPr>
        <w:pBdr>
          <w:left w:val="single" w:color="666666" w:sz="18" w:space="6"/>
        </w:pBdr>
        <w:shd w:fill="F2F2F2" w:color="auto" w:val="clear"/>
        <w:spacing w:after="160" w:before="60" w:line="276"/>
        <w:ind w:left="200" w:right="200"/>
        <w:jc w:val="both"/>
      </w:pPr>
      <w:r>
        <w:rPr>
          <w:rFonts w:ascii="Times New Roman" w:cs="Times New Roman" w:eastAsia="Times New Roman" w:hAnsi="Times New Roman"/>
          <w:b/>
          <w:bCs/>
          <w:sz w:val="22"/>
          <w:szCs w:val="22"/>
        </w:rPr>
        <w:t xml:space="preserve">Nota. </w:t>
      </w:r>
      <w:r>
        <w:rPr>
          <w:rFonts w:ascii="Times New Roman" w:cs="Times New Roman" w:eastAsia="Times New Roman" w:hAnsi="Times New Roman"/>
          <w:sz w:val="22"/>
          <w:szCs w:val="22"/>
        </w:rPr>
        <w:t xml:space="preserve">Solo se publican eventos del gremio (ferias, congresos y capacitaciones propias). Es una regla editorial acordada con la directiva: los eventos de bares individuales no se publican y los eventos nacionales se enlazan al registro de Asobares Colombia.</w:t>
      </w:r>
    </w:p>
    <w:p>
      <w:pPr>
        <w:pStyle w:val="Heading2"/>
        <w:keepNext/>
        <w:spacing w:after="100" w:before="280" w:line="276"/>
      </w:pPr>
      <w:r>
        <w:rPr>
          <w:rFonts w:ascii="Times New Roman" w:cs="Times New Roman" w:eastAsia="Times New Roman" w:hAnsi="Times New Roman"/>
          <w:b/>
          <w:bCs/>
          <w:color w:val="000000"/>
          <w:sz w:val="24"/>
          <w:szCs w:val="24"/>
        </w:rPr>
        <w:t xml:space="preserve">4. Mantener la guía normativa</w:t>
      </w:r>
    </w:p>
    <w:p>
      <w:pPr>
        <w:spacing w:after="120" w:before="0" w:line="276"/>
        <w:jc w:val="both"/>
      </w:pPr>
      <w:r>
        <w:rPr>
          <w:rFonts w:ascii="Times New Roman" w:cs="Times New Roman" w:eastAsia="Times New Roman" w:hAnsi="Times New Roman"/>
          <w:sz w:val="22"/>
          <w:szCs w:val="22"/>
        </w:rPr>
        <w:t xml:space="preserve">Es el módulo más valioso del sitio y el que más se desactualiza si nadie lo cuida.</w:t>
      </w:r>
    </w:p>
    <w:p>
      <w:pPr>
        <w:pStyle w:val="ListParagraph"/>
        <w:numPr>
          <w:ilvl w:val="0"/>
          <w:numId w:val="5"/>
        </w:numPr>
        <w:spacing w:after="60" w:before="0" w:line="276"/>
        <w:jc w:val="both"/>
      </w:pPr>
      <w:r>
        <w:rPr>
          <w:rFonts w:ascii="Times New Roman" w:cs="Times New Roman" w:eastAsia="Times New Roman" w:hAnsi="Times New Roman"/>
          <w:sz w:val="22"/>
          <w:szCs w:val="22"/>
        </w:rPr>
        <w:t xml:space="preserve">Contenido, Requisitos de apertura.</w:t>
      </w:r>
    </w:p>
    <w:p>
      <w:pPr>
        <w:pStyle w:val="ListParagraph"/>
        <w:numPr>
          <w:ilvl w:val="0"/>
          <w:numId w:val="5"/>
        </w:numPr>
        <w:spacing w:after="60" w:before="0" w:line="276"/>
        <w:jc w:val="both"/>
      </w:pPr>
      <w:r>
        <w:rPr>
          <w:rFonts w:ascii="Times New Roman" w:cs="Times New Roman" w:eastAsia="Times New Roman" w:hAnsi="Times New Roman"/>
          <w:sz w:val="22"/>
          <w:szCs w:val="22"/>
        </w:rPr>
        <w:t xml:space="preserve">Cada trámite pertenece a un municipio y lleva entidad responsable, pasos, costo aproximado, fuente, fecha de verificación, vigencia y el formato descargable.</w:t>
      </w:r>
    </w:p>
    <w:p>
      <w:pPr>
        <w:pStyle w:val="ListParagraph"/>
        <w:numPr>
          <w:ilvl w:val="0"/>
          <w:numId w:val="5"/>
        </w:numPr>
        <w:spacing w:after="140" w:before="0" w:line="276"/>
        <w:jc w:val="both"/>
      </w:pPr>
      <w:r>
        <w:rPr>
          <w:rFonts w:ascii="Times New Roman" w:cs="Times New Roman" w:eastAsia="Times New Roman" w:hAnsi="Times New Roman"/>
          <w:sz w:val="22"/>
          <w:szCs w:val="22"/>
        </w:rPr>
        <w:t xml:space="preserve">Suba el formato oficial como archivo adjunto.</w:t>
      </w:r>
    </w:p>
    <w:p>
      <w:pPr>
        <w:keepNext/>
        <w:spacing w:after="60" w:before="120"/>
        <w:jc w:val="center"/>
      </w:pPr>
      <w:r>
        <w:drawing>
          <wp:inline distT="0" distB="0" distL="0" distR="0">
            <wp:extent cx="37052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05225" cy="32956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9"/>
          <w:szCs w:val="19"/>
        </w:rPr>
        <w:t xml:space="preserve">Figura F5. Ficha de un trámite de la guía normativa con su formato descargable.</w:t>
      </w:r>
    </w:p>
    <w:p>
      <w:pPr>
        <w:spacing w:after="120" w:before="0" w:line="276"/>
        <w:jc w:val="both"/>
      </w:pPr>
      <w:r>
        <w:rPr>
          <w:rFonts w:ascii="Times New Roman" w:cs="Times New Roman" w:eastAsia="Times New Roman" w:hAnsi="Times New Roman"/>
          <w:sz w:val="22"/>
          <w:szCs w:val="22"/>
        </w:rPr>
        <w:t xml:space="preserve">Al reemplazar un formato antiguo por uno nuevo, los enlaces que ya circulan siguen funcionando. Un trámite cuya vigencia venció deja de mostrarse en el sitio de forma automática.</w:t>
      </w:r>
    </w:p>
    <w:p>
      <w:pPr>
        <w:pStyle w:val="Heading3"/>
        <w:keepNext/>
        <w:spacing w:after="100" w:before="200" w:line="276"/>
      </w:pPr>
      <w:r>
        <w:rPr>
          <w:rFonts w:ascii="Times New Roman" w:cs="Times New Roman" w:eastAsia="Times New Roman" w:hAnsi="Times New Roman"/>
          <w:b/>
          <w:bCs/>
          <w:color w:val="000000"/>
          <w:sz w:val="22"/>
          <w:szCs w:val="22"/>
        </w:rPr>
        <w:t xml:space="preserve">4.1 Cómo saber si la guía se usa</w:t>
      </w:r>
    </w:p>
    <w:p>
      <w:pPr>
        <w:spacing w:after="120" w:before="0" w:line="276"/>
        <w:jc w:val="both"/>
      </w:pPr>
      <w:r>
        <w:rPr>
          <w:rFonts w:ascii="Times New Roman" w:cs="Times New Roman" w:eastAsia="Times New Roman" w:hAnsi="Times New Roman"/>
          <w:sz w:val="22"/>
          <w:szCs w:val="22"/>
        </w:rPr>
        <w:t xml:space="preserve">Observatorio, Consultas de la guía muestra cuántas personas consultaron cada municipio y cuántos formatos se descargaron. Ese registro no guarda ningún dato de quién consultó; es un conteo anónimo. Sirve para saber qué municipio priorizar y para tener una cifra concreta que presentar a una alcaldía.</w:t>
      </w:r>
    </w:p>
    <w:p>
      <w:pPr>
        <w:pStyle w:val="Heading2"/>
        <w:keepNext/>
        <w:spacing w:after="100" w:before="280" w:line="276"/>
      </w:pPr>
      <w:r>
        <w:rPr>
          <w:rFonts w:ascii="Times New Roman" w:cs="Times New Roman" w:eastAsia="Times New Roman" w:hAnsi="Times New Roman"/>
          <w:b/>
          <w:bCs/>
          <w:color w:val="000000"/>
          <w:sz w:val="24"/>
          <w:szCs w:val="24"/>
        </w:rPr>
        <w:t xml:space="preserve">5. Aprobar lo que redactó otra persona</w:t>
      </w:r>
    </w:p>
    <w:p>
      <w:pPr>
        <w:spacing w:after="120" w:before="0" w:line="276"/>
        <w:jc w:val="both"/>
      </w:pPr>
      <w:r>
        <w:rPr>
          <w:rFonts w:ascii="Times New Roman" w:cs="Times New Roman" w:eastAsia="Times New Roman" w:hAnsi="Times New Roman"/>
          <w:sz w:val="22"/>
          <w:szCs w:val="22"/>
        </w:rPr>
        <w:t xml:space="preserve">Solo dirección.</w:t>
      </w:r>
    </w:p>
    <w:p>
      <w:pPr>
        <w:spacing w:after="120" w:before="0" w:line="276"/>
        <w:jc w:val="both"/>
      </w:pPr>
      <w:r>
        <w:rPr>
          <w:rFonts w:ascii="Times New Roman" w:cs="Times New Roman" w:eastAsia="Times New Roman" w:hAnsi="Times New Roman"/>
          <w:sz w:val="22"/>
          <w:szCs w:val="22"/>
        </w:rPr>
        <w:t xml:space="preserve">Cuando la secretaría redacta algo, usted recibe un aviso en la campana de la parte superior derecha.</w:t>
      </w:r>
    </w:p>
    <w:p>
      <w:pPr>
        <w:pStyle w:val="ListParagraph"/>
        <w:numPr>
          <w:ilvl w:val="0"/>
          <w:numId w:val="6"/>
        </w:numPr>
        <w:spacing w:after="60" w:before="0" w:line="276"/>
        <w:jc w:val="both"/>
      </w:pPr>
      <w:r>
        <w:rPr>
          <w:rFonts w:ascii="Times New Roman" w:cs="Times New Roman" w:eastAsia="Times New Roman" w:hAnsi="Times New Roman"/>
          <w:sz w:val="22"/>
          <w:szCs w:val="22"/>
        </w:rPr>
        <w:t xml:space="preserve">Pulse la campana y luego «Revisar».</w:t>
      </w:r>
    </w:p>
    <w:p>
      <w:pPr>
        <w:pStyle w:val="ListParagraph"/>
        <w:numPr>
          <w:ilvl w:val="0"/>
          <w:numId w:val="6"/>
        </w:numPr>
        <w:spacing w:after="60" w:before="0" w:line="276"/>
        <w:jc w:val="both"/>
      </w:pPr>
      <w:r>
        <w:rPr>
          <w:rFonts w:ascii="Times New Roman" w:cs="Times New Roman" w:eastAsia="Times New Roman" w:hAnsi="Times New Roman"/>
          <w:sz w:val="22"/>
          <w:szCs w:val="22"/>
        </w:rPr>
        <w:t xml:space="preserve">O entre al Escritorio: la primera banda muestra todo lo pendiente, ordenado, con lo más antiguo marcado como urgente.</w:t>
      </w:r>
    </w:p>
    <w:p>
      <w:pPr>
        <w:pStyle w:val="ListParagraph"/>
        <w:numPr>
          <w:ilvl w:val="0"/>
          <w:numId w:val="6"/>
        </w:numPr>
        <w:spacing w:after="140" w:before="0" w:line="276"/>
        <w:jc w:val="both"/>
      </w:pPr>
      <w:r>
        <w:rPr>
          <w:rFonts w:ascii="Times New Roman" w:cs="Times New Roman" w:eastAsia="Times New Roman" w:hAnsi="Times New Roman"/>
          <w:sz w:val="22"/>
          <w:szCs w:val="22"/>
        </w:rPr>
        <w:t xml:space="preserve">En la fila del registro, use «Aprobar y publicar» o «Devolver a borrador».</w:t>
      </w:r>
    </w:p>
    <w:p>
      <w:pPr>
        <w:keepNext/>
        <w:spacing w:after="60" w:before="120"/>
        <w:jc w:val="center"/>
      </w:pPr>
      <w:r>
        <w:drawing>
          <wp:inline distT="0" distB="0" distL="0" distR="0">
            <wp:extent cx="48482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48225" cy="30289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9"/>
          <w:szCs w:val="19"/>
        </w:rPr>
        <w:t xml:space="preserve">Figura F6. Tablero: la banda de pendientes solo muestra lo que le corresponde aprobar a quien entró.</w:t>
      </w:r>
    </w:p>
    <w:p>
      <w:pPr>
        <w:keepNext/>
        <w:spacing w:after="60" w:before="120"/>
        <w:jc w:val="center"/>
      </w:pPr>
      <w:r>
        <w:drawing>
          <wp:inline distT="0" distB="0" distL="0" distR="0">
            <wp:extent cx="48482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48225" cy="30289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9"/>
          <w:szCs w:val="19"/>
        </w:rPr>
        <w:t xml:space="preserve">Figura F7. Solo la fila pendiente ofrece «Aprobar y publicar»; las ya publicadas solo se pueden devolver.</w:t>
      </w:r>
    </w:p>
    <w:p>
      <w:pPr>
        <w:spacing w:after="120" w:before="0" w:line="276"/>
        <w:jc w:val="both"/>
      </w:pPr>
      <w:r>
        <w:rPr>
          <w:rFonts w:ascii="Times New Roman" w:cs="Times New Roman" w:eastAsia="Times New Roman" w:hAnsi="Times New Roman"/>
          <w:sz w:val="22"/>
          <w:szCs w:val="22"/>
        </w:rPr>
        <w:t xml:space="preserve">Si devuelve algo, el motivo es obligatorio: quien lo redactó recibe ese motivo y puede corregir sin adivinar.</w:t>
      </w:r>
    </w:p>
    <w:p>
      <w:pPr>
        <w:pStyle w:val="Heading2"/>
        <w:keepNext/>
        <w:spacing w:after="100" w:before="280" w:line="276"/>
      </w:pPr>
      <w:r>
        <w:rPr>
          <w:rFonts w:ascii="Times New Roman" w:cs="Times New Roman" w:eastAsia="Times New Roman" w:hAnsi="Times New Roman"/>
          <w:b/>
          <w:bCs/>
          <w:color w:val="000000"/>
          <w:sz w:val="24"/>
          <w:szCs w:val="24"/>
        </w:rPr>
        <w:t xml:space="preserve">6. Moderar las bolsas</w:t>
      </w:r>
    </w:p>
    <w:p>
      <w:pPr>
        <w:spacing w:after="120" w:before="0" w:line="276"/>
        <w:jc w:val="both"/>
      </w:pPr>
      <w:r>
        <w:rPr>
          <w:rFonts w:ascii="Times New Roman" w:cs="Times New Roman" w:eastAsia="Times New Roman" w:hAnsi="Times New Roman"/>
          <w:sz w:val="22"/>
          <w:szCs w:val="22"/>
        </w:rPr>
        <w:t xml:space="preserve">Las vacantes, los artistas y los proveedores no los crea el gremio: los publica quien tiene la necesidad, y el gremio aprueba o devuelve.</w:t>
      </w:r>
    </w:p>
    <w:p>
      <w:pPr>
        <w:pStyle w:val="ListParagraph"/>
        <w:numPr>
          <w:ilvl w:val="0"/>
          <w:numId w:val="7"/>
        </w:numPr>
        <w:spacing w:after="60" w:before="0" w:line="276"/>
        <w:jc w:val="both"/>
      </w:pPr>
      <w:r>
        <w:rPr>
          <w:rFonts w:ascii="Times New Roman" w:cs="Times New Roman" w:eastAsia="Times New Roman" w:hAnsi="Times New Roman"/>
          <w:sz w:val="22"/>
          <w:szCs w:val="22"/>
        </w:rPr>
        <w:t xml:space="preserve">Bolsas, Vacantes. Las publica el asociado desde su portal. Usted aprueba o devuelve con motivo. Puede aprobar varias a la vez seleccionándolas.</w:t>
      </w:r>
    </w:p>
    <w:p>
      <w:pPr>
        <w:pStyle w:val="ListParagraph"/>
        <w:numPr>
          <w:ilvl w:val="0"/>
          <w:numId w:val="7"/>
        </w:numPr>
        <w:spacing w:after="60" w:before="0" w:line="276"/>
        <w:jc w:val="both"/>
      </w:pPr>
      <w:r>
        <w:rPr>
          <w:rFonts w:ascii="Times New Roman" w:cs="Times New Roman" w:eastAsia="Times New Roman" w:hAnsi="Times New Roman"/>
          <w:sz w:val="22"/>
          <w:szCs w:val="22"/>
        </w:rPr>
        <w:t xml:space="preserve">Bolsas, Artistas y Proveedores. Entran por un formulario público. Al aprobar, el sistema avisa por correo a quien se inscribió.</w:t>
      </w:r>
    </w:p>
    <w:p>
      <w:pPr>
        <w:pStyle w:val="ListParagraph"/>
        <w:numPr>
          <w:ilvl w:val="0"/>
          <w:numId w:val="7"/>
        </w:numPr>
        <w:spacing w:after="140" w:before="0" w:line="276"/>
        <w:jc w:val="both"/>
      </w:pPr>
      <w:r>
        <w:rPr>
          <w:rFonts w:ascii="Times New Roman" w:cs="Times New Roman" w:eastAsia="Times New Roman" w:hAnsi="Times New Roman"/>
          <w:sz w:val="22"/>
          <w:szCs w:val="22"/>
        </w:rPr>
        <w:t xml:space="preserve">Bandejas, Postulaciones. Los candidatos a las vacantes. Aquí solo se consultan: quien gestiona los candidatos es el establecimiento dueño de la vacante, no el gremio.</w:t>
      </w:r>
    </w:p>
    <w:p>
      <w:pPr>
        <w:keepNext/>
        <w:spacing w:after="60" w:before="120"/>
        <w:jc w:val="center"/>
      </w:pPr>
      <w:r>
        <w:drawing>
          <wp:inline distT="0" distB="0" distL="0" distR="0">
            <wp:extent cx="48482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48225" cy="30289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9"/>
          <w:szCs w:val="19"/>
        </w:rPr>
        <w:t xml:space="preserve">Figura F8. Aprobación en lote: seleccione las vacantes y abra las acciones.</w:t>
      </w:r>
    </w:p>
    <w:p>
      <w:pPr>
        <w:pBdr>
          <w:left w:val="single" w:color="666666" w:sz="18" w:space="6"/>
        </w:pBdr>
        <w:shd w:fill="F2F2F2" w:color="auto" w:val="clear"/>
        <w:spacing w:after="160" w:before="60" w:line="276"/>
        <w:ind w:left="200" w:right="200"/>
        <w:jc w:val="both"/>
      </w:pPr>
      <w:r>
        <w:rPr>
          <w:rFonts w:ascii="Times New Roman" w:cs="Times New Roman" w:eastAsia="Times New Roman" w:hAnsi="Times New Roman"/>
          <w:b/>
          <w:bCs/>
          <w:sz w:val="22"/>
          <w:szCs w:val="22"/>
        </w:rPr>
        <w:t xml:space="preserve">Nota. </w:t>
      </w:r>
      <w:r>
        <w:rPr>
          <w:rFonts w:ascii="Times New Roman" w:cs="Times New Roman" w:eastAsia="Times New Roman" w:hAnsi="Times New Roman"/>
          <w:sz w:val="22"/>
          <w:szCs w:val="22"/>
        </w:rPr>
        <w:t xml:space="preserve">Ni la secretaría ni la dirección editan la vacante de un establecimiento. Aprobarla o devolverla, sí; cambiarle el texto, no. El contenido es del asociado.</w:t>
      </w:r>
    </w:p>
    <w:p>
      <w:pPr>
        <w:spacing w:after="120" w:before="0" w:line="276"/>
        <w:jc w:val="both"/>
      </w:pPr>
      <w:r>
        <w:rPr>
          <w:rFonts w:ascii="Times New Roman" w:cs="Times New Roman" w:eastAsia="Times New Roman" w:hAnsi="Times New Roman"/>
          <w:sz w:val="22"/>
          <w:szCs w:val="22"/>
        </w:rPr>
        <w:t xml:space="preserve">Los datos personales de las bolsas se eliminan automáticamente: las postulaciones y los perfiles del banco de talento se borran al vencer el plazo de conservación, como exige la Ley 1581 de 2012. Cada eliminación queda anotada en la Bitácora.</w:t>
      </w:r>
    </w:p>
    <w:p>
      <w:pPr>
        <w:pStyle w:val="Heading2"/>
        <w:keepNext/>
        <w:spacing w:after="100" w:before="280" w:line="276"/>
      </w:pPr>
      <w:r>
        <w:rPr>
          <w:rFonts w:ascii="Times New Roman" w:cs="Times New Roman" w:eastAsia="Times New Roman" w:hAnsi="Times New Roman"/>
          <w:b/>
          <w:bCs/>
          <w:color w:val="000000"/>
          <w:sz w:val="24"/>
          <w:szCs w:val="24"/>
        </w:rPr>
        <w:t xml:space="preserve">7. Atender mensajes y PQR</w:t>
      </w:r>
    </w:p>
    <w:p>
      <w:pPr>
        <w:spacing w:after="120" w:before="0" w:line="276"/>
        <w:jc w:val="both"/>
      </w:pPr>
      <w:r>
        <w:rPr>
          <w:rFonts w:ascii="Times New Roman" w:cs="Times New Roman" w:eastAsia="Times New Roman" w:hAnsi="Times New Roman"/>
          <w:sz w:val="22"/>
          <w:szCs w:val="22"/>
        </w:rPr>
        <w:t xml:space="preserve">Bandejas, Mensajes y PQR reúne todo lo que llega por el sitio: contacto general, solicitudes de afiliación, postulaciones de aliados y PQR.</w:t>
      </w:r>
    </w:p>
    <w:p>
      <w:pPr>
        <w:spacing w:after="120" w:before="0" w:line="276"/>
        <w:jc w:val="both"/>
      </w:pPr>
      <w:r>
        <w:rPr>
          <w:rFonts w:ascii="Times New Roman" w:cs="Times New Roman" w:eastAsia="Times New Roman" w:hAnsi="Times New Roman"/>
          <w:sz w:val="22"/>
          <w:szCs w:val="22"/>
        </w:rPr>
        <w:t xml:space="preserve">Las PQR reciben un radicado automático con el formato </w:t>
      </w:r>
      <w:r>
        <w:rPr>
          <w:rFonts w:ascii="Consolas" w:cs="Consolas" w:eastAsia="Consolas" w:hAnsi="Consolas"/>
          <w:sz w:val="19"/>
          <w:szCs w:val="19"/>
        </w:rPr>
        <w:t xml:space="preserve">PQR-2026-0001</w:t>
      </w:r>
      <w:r>
        <w:rPr>
          <w:rFonts w:ascii="Times New Roman" w:cs="Times New Roman" w:eastAsia="Times New Roman" w:hAnsi="Times New Roman"/>
          <w:sz w:val="22"/>
          <w:szCs w:val="22"/>
        </w:rPr>
        <w:t xml:space="preserve">, consecutivo y sin saltos, y el remitente recibe acuse por correo. Esto importa porque las PQR tienen plazos legales de respuesta y el radicado es la prueba de la fecha.</w:t>
      </w:r>
    </w:p>
    <w:p>
      <w:pPr>
        <w:spacing w:after="120" w:before="0" w:line="276"/>
        <w:jc w:val="both"/>
      </w:pPr>
      <w:r>
        <w:rPr>
          <w:rFonts w:ascii="Times New Roman" w:cs="Times New Roman" w:eastAsia="Times New Roman" w:hAnsi="Times New Roman"/>
          <w:sz w:val="22"/>
          <w:szCs w:val="22"/>
        </w:rPr>
        <w:t xml:space="preserve">Al responder, use «Marcar respondido»: pide una nota que queda como constancia de qué se contestó y cuándo.</w:t>
      </w:r>
    </w:p>
    <w:p>
      <w:pPr>
        <w:keepNext/>
        <w:spacing w:after="60" w:before="120"/>
        <w:jc w:val="center"/>
      </w:pPr>
      <w:r>
        <w:drawing>
          <wp:inline distT="0" distB="0" distL="0" distR="0">
            <wp:extent cx="48482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48225" cy="30289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9"/>
          <w:szCs w:val="19"/>
        </w:rPr>
        <w:t xml:space="preserve">Figura F9. Bandeja de mensajes con el panel de filtros abierto.</w:t>
      </w:r>
    </w:p>
    <w:p>
      <w:pPr>
        <w:pStyle w:val="Heading2"/>
        <w:keepNext/>
        <w:spacing w:after="100" w:before="280" w:line="276"/>
      </w:pPr>
      <w:r>
        <w:rPr>
          <w:rFonts w:ascii="Times New Roman" w:cs="Times New Roman" w:eastAsia="Times New Roman" w:hAnsi="Times New Roman"/>
          <w:b/>
          <w:bCs/>
          <w:color w:val="000000"/>
          <w:sz w:val="24"/>
          <w:szCs w:val="24"/>
        </w:rPr>
        <w:t xml:space="preserve">8. Cartera y pagos</w:t>
      </w:r>
    </w:p>
    <w:p>
      <w:pPr>
        <w:spacing w:after="120" w:before="0" w:line="276"/>
        <w:jc w:val="both"/>
      </w:pPr>
      <w:r>
        <w:rPr>
          <w:rFonts w:ascii="Times New Roman" w:cs="Times New Roman" w:eastAsia="Times New Roman" w:hAnsi="Times New Roman"/>
          <w:sz w:val="22"/>
          <w:szCs w:val="22"/>
        </w:rPr>
        <w:t xml:space="preserve">Solo dirección.</w:t>
      </w:r>
    </w:p>
    <w:p>
      <w:pPr>
        <w:pStyle w:val="Heading3"/>
        <w:keepNext/>
        <w:spacing w:after="100" w:before="200" w:line="276"/>
      </w:pPr>
      <w:r>
        <w:rPr>
          <w:rFonts w:ascii="Times New Roman" w:cs="Times New Roman" w:eastAsia="Times New Roman" w:hAnsi="Times New Roman"/>
          <w:b/>
          <w:bCs/>
          <w:color w:val="000000"/>
          <w:sz w:val="22"/>
          <w:szCs w:val="22"/>
        </w:rPr>
        <w:t xml:space="preserve">8.1 Subir el estado de cuenta del mes</w:t>
      </w:r>
    </w:p>
    <w:p>
      <w:pPr>
        <w:pStyle w:val="ListParagraph"/>
        <w:numPr>
          <w:ilvl w:val="0"/>
          <w:numId w:val="8"/>
        </w:numPr>
        <w:spacing w:after="60" w:before="0" w:line="276"/>
        <w:jc w:val="both"/>
      </w:pPr>
      <w:r>
        <w:rPr>
          <w:rFonts w:ascii="Times New Roman" w:cs="Times New Roman" w:eastAsia="Times New Roman" w:hAnsi="Times New Roman"/>
          <w:sz w:val="22"/>
          <w:szCs w:val="22"/>
        </w:rPr>
        <w:t xml:space="preserve">Gremio, Cartera, «Descargar plantilla». Descarga un archivo con el estado actual y las columnas exactas.</w:t>
      </w:r>
    </w:p>
    <w:p>
      <w:pPr>
        <w:pStyle w:val="ListParagraph"/>
        <w:numPr>
          <w:ilvl w:val="0"/>
          <w:numId w:val="8"/>
        </w:numPr>
        <w:spacing w:after="60" w:before="0" w:line="276"/>
        <w:jc w:val="both"/>
      </w:pPr>
      <w:r>
        <w:rPr>
          <w:rFonts w:ascii="Times New Roman" w:cs="Times New Roman" w:eastAsia="Times New Roman" w:hAnsi="Times New Roman"/>
          <w:sz w:val="22"/>
          <w:szCs w:val="22"/>
        </w:rPr>
        <w:t xml:space="preserve">Entregue el archivo a la contadora o llénelo usted.</w:t>
      </w:r>
    </w:p>
    <w:p>
      <w:pPr>
        <w:pStyle w:val="ListParagraph"/>
        <w:numPr>
          <w:ilvl w:val="0"/>
          <w:numId w:val="8"/>
        </w:numPr>
        <w:spacing w:after="60" w:before="0" w:line="276"/>
        <w:jc w:val="both"/>
      </w:pPr>
      <w:r>
        <w:rPr>
          <w:rFonts w:ascii="Times New Roman" w:cs="Times New Roman" w:eastAsia="Times New Roman" w:hAnsi="Times New Roman"/>
          <w:sz w:val="22"/>
          <w:szCs w:val="22"/>
        </w:rPr>
        <w:t xml:space="preserve">«Importar CSV de la contadora», suba el archivo y confirme.</w:t>
      </w:r>
    </w:p>
    <w:p>
      <w:pPr>
        <w:pStyle w:val="ListParagraph"/>
        <w:numPr>
          <w:ilvl w:val="0"/>
          <w:numId w:val="8"/>
        </w:numPr>
        <w:spacing w:after="140" w:before="0" w:line="276"/>
        <w:jc w:val="both"/>
      </w:pPr>
      <w:r>
        <w:rPr>
          <w:rFonts w:ascii="Times New Roman" w:cs="Times New Roman" w:eastAsia="Times New Roman" w:hAnsi="Times New Roman"/>
          <w:sz w:val="22"/>
          <w:szCs w:val="22"/>
        </w:rPr>
        <w:t xml:space="preserve">Aparece un resumen de cuántos estados se actualizaron. Si una fila viene mal, el sistema indica cuál y por qué, y las demás sí entran. Un error no invalida toda la carga.</w:t>
      </w:r>
    </w:p>
    <w:p>
      <w:pPr>
        <w:keepNext/>
        <w:spacing w:after="60" w:before="120"/>
        <w:jc w:val="center"/>
      </w:pPr>
      <w:r>
        <w:drawing>
          <wp:inline distT="0" distB="0" distL="0" distR="0">
            <wp:extent cx="48482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48225" cy="30289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9"/>
          <w:szCs w:val="19"/>
        </w:rPr>
        <w:t xml:space="preserve">Figura F10. La importación aplica las filas correctas y explica, una por una, las que rechazó.</w:t>
      </w:r>
    </w:p>
    <w:p>
      <w:pPr>
        <w:spacing w:after="120" w:before="0" w:line="276"/>
        <w:jc w:val="both"/>
      </w:pPr>
      <w:r>
        <w:rPr>
          <w:rFonts w:ascii="Times New Roman" w:cs="Times New Roman" w:eastAsia="Times New Roman" w:hAnsi="Times New Roman"/>
          <w:sz w:val="22"/>
          <w:szCs w:val="22"/>
        </w:rPr>
        <w:t xml:space="preserve">El importador tolera lo que llega en la práctica: encabezados con tildes y mayúsculas, montos como </w:t>
      </w:r>
      <w:r>
        <w:rPr>
          <w:rFonts w:ascii="Consolas" w:cs="Consolas" w:eastAsia="Consolas" w:hAnsi="Consolas"/>
          <w:sz w:val="19"/>
          <w:szCs w:val="19"/>
        </w:rPr>
        <w:t xml:space="preserve">$1.250.000</w:t>
      </w:r>
      <w:r>
        <w:rPr>
          <w:rFonts w:ascii="Times New Roman" w:cs="Times New Roman" w:eastAsia="Times New Roman" w:hAnsi="Times New Roman"/>
          <w:sz w:val="22"/>
          <w:szCs w:val="22"/>
        </w:rPr>
        <w:t xml:space="preserve"> y fechas en cualquiera de los dos formatos comunes.</w:t>
      </w:r>
    </w:p>
    <w:p>
      <w:pPr>
        <w:spacing w:after="120" w:before="0" w:line="276"/>
        <w:jc w:val="both"/>
      </w:pPr>
      <w:r>
        <w:rPr>
          <w:rFonts w:ascii="Times New Roman" w:cs="Times New Roman" w:eastAsia="Times New Roman" w:hAnsi="Times New Roman"/>
          <w:sz w:val="22"/>
          <w:szCs w:val="22"/>
        </w:rPr>
        <w:t xml:space="preserve">Cargada la cartera, el asociado entra a </w:t>
      </w:r>
      <w:r>
        <w:rPr>
          <w:rFonts w:ascii="Consolas" w:cs="Consolas" w:eastAsia="Consolas" w:hAnsi="Consolas"/>
          <w:sz w:val="19"/>
          <w:szCs w:val="19"/>
        </w:rPr>
        <w:t xml:space="preserve">/mi-cuenta</w:t>
      </w:r>
      <w:r>
        <w:rPr>
          <w:rFonts w:ascii="Times New Roman" w:cs="Times New Roman" w:eastAsia="Times New Roman" w:hAnsi="Times New Roman"/>
          <w:sz w:val="22"/>
          <w:szCs w:val="22"/>
        </w:rPr>
        <w:t xml:space="preserve">, ve cuántos meses debe y por qué valor, y paga allí mismo. Ese fue el objetivo planteado por la dirección ejecutiva: que el asociado sepa cuánto debe sin tener que llamar a la oficina.</w:t>
      </w:r>
    </w:p>
    <w:p>
      <w:pPr>
        <w:pStyle w:val="Heading3"/>
        <w:keepNext/>
        <w:spacing w:after="100" w:before="200" w:line="276"/>
      </w:pPr>
      <w:r>
        <w:rPr>
          <w:rFonts w:ascii="Times New Roman" w:cs="Times New Roman" w:eastAsia="Times New Roman" w:hAnsi="Times New Roman"/>
          <w:b/>
          <w:bCs/>
          <w:color w:val="000000"/>
          <w:sz w:val="22"/>
          <w:szCs w:val="22"/>
        </w:rPr>
        <w:t xml:space="preserve">8.2 Consultar los pagos</w:t>
      </w:r>
    </w:p>
    <w:p>
      <w:pPr>
        <w:spacing w:after="120" w:before="0" w:line="276"/>
        <w:jc w:val="both"/>
      </w:pPr>
      <w:r>
        <w:rPr>
          <w:rFonts w:ascii="Times New Roman" w:cs="Times New Roman" w:eastAsia="Times New Roman" w:hAnsi="Times New Roman"/>
          <w:sz w:val="22"/>
          <w:szCs w:val="22"/>
        </w:rPr>
        <w:t xml:space="preserve">Gremio, Transacciones, en solo lectura: referencia, fecha, valor y estado. No se editan a mano a propósito: un pago es un hecho registrado por la pasarela, no un dato editable.</w:t>
      </w:r>
    </w:p>
    <w:p>
      <w:pPr>
        <w:pStyle w:val="Heading2"/>
        <w:keepNext/>
        <w:spacing w:after="100" w:before="280" w:line="276"/>
      </w:pPr>
      <w:r>
        <w:rPr>
          <w:rFonts w:ascii="Times New Roman" w:cs="Times New Roman" w:eastAsia="Times New Roman" w:hAnsi="Times New Roman"/>
          <w:b/>
          <w:bCs/>
          <w:color w:val="000000"/>
          <w:sz w:val="24"/>
          <w:szCs w:val="24"/>
        </w:rPr>
        <w:t xml:space="preserve">9. Configuración</w:t>
      </w:r>
    </w:p>
    <w:p>
      <w:pPr>
        <w:spacing w:after="120" w:before="0" w:line="276"/>
        <w:jc w:val="both"/>
      </w:pPr>
      <w:r>
        <w:rPr>
          <w:rFonts w:ascii="Times New Roman" w:cs="Times New Roman" w:eastAsia="Times New Roman" w:hAnsi="Times New Roman"/>
          <w:sz w:val="22"/>
          <w:szCs w:val="22"/>
        </w:rPr>
        <w:t xml:space="preserve">Solo dirección. Se modifica poco.</w:t>
      </w:r>
    </w:p>
    <w:p>
      <w:pPr>
        <w:pStyle w:val="ListParagraph"/>
        <w:numPr>
          <w:ilvl w:val="0"/>
          <w:numId w:val="7"/>
        </w:numPr>
        <w:spacing w:after="60" w:before="0" w:line="276"/>
        <w:jc w:val="both"/>
      </w:pPr>
      <w:r>
        <w:rPr>
          <w:rFonts w:ascii="Times New Roman" w:cs="Times New Roman" w:eastAsia="Times New Roman" w:hAnsi="Times New Roman"/>
          <w:sz w:val="22"/>
          <w:szCs w:val="22"/>
        </w:rPr>
        <w:t xml:space="preserve">Ajustes del sitio: datos de contacto, redes sociales y textos que aparecen en todo el sitio. Cambiarlos aquí los cambia en todas partes. Ningún dato del sitio está escrito en el código; fue un requisito explícito del cronograma.</w:t>
      </w:r>
    </w:p>
    <w:p>
      <w:pPr>
        <w:pStyle w:val="ListParagraph"/>
        <w:numPr>
          <w:ilvl w:val="0"/>
          <w:numId w:val="7"/>
        </w:numPr>
        <w:spacing w:after="60" w:before="0" w:line="276"/>
        <w:jc w:val="both"/>
      </w:pPr>
      <w:r>
        <w:rPr>
          <w:rFonts w:ascii="Times New Roman" w:cs="Times New Roman" w:eastAsia="Times New Roman" w:hAnsi="Times New Roman"/>
          <w:sz w:val="22"/>
          <w:szCs w:val="22"/>
        </w:rPr>
        <w:t xml:space="preserve">Usuarios: dar de alta a quien entra al panel y con qué rol. Las contraseñas deben ser robustas; el sistema rechaza las débiles.</w:t>
      </w:r>
    </w:p>
    <w:p>
      <w:pPr>
        <w:pStyle w:val="ListParagraph"/>
        <w:numPr>
          <w:ilvl w:val="0"/>
          <w:numId w:val="7"/>
        </w:numPr>
        <w:spacing w:after="60" w:before="0" w:line="276"/>
        <w:jc w:val="both"/>
      </w:pPr>
      <w:r>
        <w:rPr>
          <w:rFonts w:ascii="Times New Roman" w:cs="Times New Roman" w:eastAsia="Times New Roman" w:hAnsi="Times New Roman"/>
          <w:sz w:val="22"/>
          <w:szCs w:val="22"/>
        </w:rPr>
        <w:t xml:space="preserve">Municipios y Categorías: las listas de las que se alimentan los formularios.</w:t>
      </w:r>
    </w:p>
    <w:p>
      <w:pPr>
        <w:pStyle w:val="ListParagraph"/>
        <w:numPr>
          <w:ilvl w:val="0"/>
          <w:numId w:val="7"/>
        </w:numPr>
        <w:spacing w:after="140" w:before="0" w:line="276"/>
        <w:jc w:val="both"/>
      </w:pPr>
      <w:r>
        <w:rPr>
          <w:rFonts w:ascii="Times New Roman" w:cs="Times New Roman" w:eastAsia="Times New Roman" w:hAnsi="Times New Roman"/>
          <w:sz w:val="22"/>
          <w:szCs w:val="22"/>
        </w:rPr>
        <w:t xml:space="preserve">Bitácora: quién hizo qué y cuándo. Consúltela cuando algo cambió y no sepa quién lo cambió.</w:t>
      </w:r>
    </w:p>
    <w:p>
      <w:pPr>
        <w:keepNext/>
        <w:spacing w:after="60" w:before="120"/>
        <w:jc w:val="center"/>
      </w:pPr>
      <w:r>
        <w:drawing>
          <wp:inline distT="0" distB="0" distL="0" distR="0">
            <wp:extent cx="48482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48225" cy="3028950"/>
                    </a:xfrm>
                    <a:prstGeom prst="rect">
                      <a:avLst/>
                    </a:prstGeom>
                  </pic:spPr>
                </pic:pic>
              </a:graphicData>
            </a:graphic>
          </wp:inline>
        </w:drawing>
      </w:r>
    </w:p>
    <w:p>
      <w:pPr>
        <w:spacing w:after="200" w:before="0"/>
        <w:jc w:val="center"/>
      </w:pPr>
      <w:r>
        <w:rPr>
          <w:rFonts w:ascii="Times New Roman" w:cs="Times New Roman" w:eastAsia="Times New Roman" w:hAnsi="Times New Roman"/>
          <w:i/>
          <w:iCs/>
          <w:sz w:val="19"/>
          <w:szCs w:val="19"/>
        </w:rPr>
        <w:t xml:space="preserve">Figura F11. Bitácora: quién hizo qué y cuándo.</w:t>
      </w:r>
    </w:p>
    <w:p>
      <w:pPr>
        <w:pStyle w:val="Heading2"/>
        <w:keepNext/>
        <w:spacing w:after="100" w:before="280" w:line="276"/>
      </w:pPr>
      <w:r>
        <w:rPr>
          <w:rFonts w:ascii="Times New Roman" w:cs="Times New Roman" w:eastAsia="Times New Roman" w:hAnsi="Times New Roman"/>
          <w:b/>
          <w:bCs/>
          <w:color w:val="000000"/>
          <w:sz w:val="24"/>
          <w:szCs w:val="24"/>
        </w:rPr>
        <w:t xml:space="preserve">10. Preguntas frecuentes</w:t>
      </w:r>
    </w:p>
    <w:p>
      <w:pPr>
        <w:spacing w:after="120" w:before="0" w:line="276"/>
        <w:jc w:val="both"/>
      </w:pPr>
      <w:r>
        <w:rPr>
          <w:rFonts w:ascii="Times New Roman" w:cs="Times New Roman" w:eastAsia="Times New Roman" w:hAnsi="Times New Roman"/>
          <w:b/>
          <w:bCs/>
          <w:sz w:val="22"/>
          <w:szCs w:val="22"/>
        </w:rPr>
        <w:t xml:space="preserve">Publiqué algo y no aparece en el sitio.</w:t>
      </w:r>
      <w:r>
        <w:rPr>
          <w:rFonts w:ascii="Times New Roman" w:cs="Times New Roman" w:eastAsia="Times New Roman" w:hAnsi="Times New Roman"/>
          <w:sz w:val="22"/>
          <w:szCs w:val="22"/>
        </w:rPr>
        <w:t xml:space="preserve"> Si usted es secretaría, quedó pendiente de aprobación: avise a la dirección. Si es dirección, revise que el estado sea «Publicado» y no «Borrador».</w:t>
      </w:r>
    </w:p>
    <w:p>
      <w:pPr>
        <w:spacing w:after="120" w:before="0" w:line="276"/>
        <w:jc w:val="both"/>
      </w:pPr>
      <w:r>
        <w:rPr>
          <w:rFonts w:ascii="Times New Roman" w:cs="Times New Roman" w:eastAsia="Times New Roman" w:hAnsi="Times New Roman"/>
          <w:b/>
          <w:bCs/>
          <w:sz w:val="22"/>
          <w:szCs w:val="22"/>
        </w:rPr>
        <w:t xml:space="preserve">Me equivoqué al publicar.</w:t>
      </w:r>
      <w:r>
        <w:rPr>
          <w:rFonts w:ascii="Times New Roman" w:cs="Times New Roman" w:eastAsia="Times New Roman" w:hAnsi="Times New Roman"/>
          <w:sz w:val="22"/>
          <w:szCs w:val="22"/>
        </w:rPr>
        <w:t xml:space="preserve"> Cambie el estado a «Borrador» y guarde. Sale del sitio de inmediato.</w:t>
      </w:r>
    </w:p>
    <w:p>
      <w:pPr>
        <w:spacing w:after="120" w:before="0" w:line="276"/>
        <w:jc w:val="both"/>
      </w:pPr>
      <w:r>
        <w:rPr>
          <w:rFonts w:ascii="Times New Roman" w:cs="Times New Roman" w:eastAsia="Times New Roman" w:hAnsi="Times New Roman"/>
          <w:b/>
          <w:bCs/>
          <w:sz w:val="22"/>
          <w:szCs w:val="22"/>
        </w:rPr>
        <w:t xml:space="preserve">Se me perdió un mensaje.</w:t>
      </w:r>
      <w:r>
        <w:rPr>
          <w:rFonts w:ascii="Times New Roman" w:cs="Times New Roman" w:eastAsia="Times New Roman" w:hAnsi="Times New Roman"/>
          <w:sz w:val="22"/>
          <w:szCs w:val="22"/>
        </w:rPr>
        <w:t xml:space="preserve"> No se pierde: todo lo que entra por el sitio queda en Bandejas. Use los filtros por tipo y por fecha. Tenga en cuenta que los mensajes antiguos ya respondidos se eliminan por la política de datos.</w:t>
      </w:r>
    </w:p>
    <w:p>
      <w:pPr>
        <w:spacing w:after="120" w:before="0" w:line="276"/>
        <w:jc w:val="both"/>
      </w:pPr>
      <w:r>
        <w:rPr>
          <w:rFonts w:ascii="Times New Roman" w:cs="Times New Roman" w:eastAsia="Times New Roman" w:hAnsi="Times New Roman"/>
          <w:b/>
          <w:bCs/>
          <w:sz w:val="22"/>
          <w:szCs w:val="22"/>
        </w:rPr>
        <w:t xml:space="preserve">¿Puedo borrar un asociado?</w:t>
      </w:r>
      <w:r>
        <w:rPr>
          <w:rFonts w:ascii="Times New Roman" w:cs="Times New Roman" w:eastAsia="Times New Roman" w:hAnsi="Times New Roman"/>
          <w:sz w:val="22"/>
          <w:szCs w:val="22"/>
        </w:rPr>
        <w:t xml:space="preserve"> Puede, pero casi siempre es mejor despublicarlo: pasarlo a «Borrador» lo saca del sitio y conserva su historial de pagos. Borrarlo elimina también lo asociado a él.</w:t>
      </w:r>
    </w:p>
    <w:p>
      <w:pPr>
        <w:spacing w:after="120" w:before="0" w:line="276"/>
        <w:jc w:val="both"/>
      </w:pPr>
      <w:r>
        <w:rPr>
          <w:rFonts w:ascii="Times New Roman" w:cs="Times New Roman" w:eastAsia="Times New Roman" w:hAnsi="Times New Roman"/>
          <w:b/>
          <w:bCs/>
          <w:sz w:val="22"/>
          <w:szCs w:val="22"/>
        </w:rPr>
        <w:t xml:space="preserve">¿Cómo cambio el tema claro u oscuro?</w:t>
      </w:r>
      <w:r>
        <w:rPr>
          <w:rFonts w:ascii="Times New Roman" w:cs="Times New Roman" w:eastAsia="Times New Roman" w:hAnsi="Times New Roman"/>
          <w:sz w:val="22"/>
          <w:szCs w:val="22"/>
        </w:rPr>
        <w:t xml:space="preserve"> En la parte superior derecha. Su elección se recuerda y aplica también al sitio público.</w:t>
      </w:r>
    </w:p>
    <w:p>
      <w:pPr>
        <w:pStyle w:val="Heading2"/>
        <w:keepNext/>
        <w:spacing w:after="100" w:before="280" w:line="276"/>
      </w:pPr>
      <w:r>
        <w:rPr>
          <w:rFonts w:ascii="Times New Roman" w:cs="Times New Roman" w:eastAsia="Times New Roman" w:hAnsi="Times New Roman"/>
          <w:b/>
          <w:bCs/>
          <w:color w:val="000000"/>
          <w:sz w:val="24"/>
          <w:szCs w:val="24"/>
        </w:rPr>
        <w:t xml:space="preserve">11. Vigencia de este manual</w:t>
      </w:r>
    </w:p>
    <w:p>
      <w:pPr>
        <w:spacing w:after="120" w:before="0" w:line="276"/>
        <w:jc w:val="both"/>
      </w:pPr>
      <w:r>
        <w:rPr>
          <w:rFonts w:ascii="Times New Roman" w:cs="Times New Roman" w:eastAsia="Times New Roman" w:hAnsi="Times New Roman"/>
          <w:sz w:val="22"/>
          <w:szCs w:val="22"/>
        </w:rPr>
        <w:t xml:space="preserve">Las capturas corresponden a la versión del panel publicada en el repositorio al 18 de agosto de 2026. Cualquier cambio de interfaz obliga a repetir la captura correspondiente. La versión de referencia de este manual se mantiene en el archivo </w:t>
      </w:r>
      <w:r>
        <w:rPr>
          <w:rFonts w:ascii="Consolas" w:cs="Consolas" w:eastAsia="Consolas" w:hAnsi="Consolas"/>
          <w:sz w:val="19"/>
          <w:szCs w:val="19"/>
        </w:rPr>
        <w:t xml:space="preserve">docs/ingenieria/manual-de-usuario.md</w:t>
      </w:r>
      <w:r>
        <w:rPr>
          <w:rFonts w:ascii="Times New Roman" w:cs="Times New Roman" w:eastAsia="Times New Roman" w:hAnsi="Times New Roman"/>
          <w:sz w:val="22"/>
          <w:szCs w:val="22"/>
        </w:rPr>
        <w:t xml:space="preserve"> del repositorio, junto a las capturas; cuando cambie la interfaz se actualiza allí y se vuelve a generar este anexo.</w:t>
      </w:r>
    </w:p>
    <w:p>
      <w:pPr>
        <w:spacing w:after="120" w:before="0" w:line="276"/>
        <w:jc w:val="both"/>
      </w:pPr>
      <w:r>
        <w:rPr>
          <w:rFonts w:ascii="Times New Roman" w:cs="Times New Roman" w:eastAsia="Times New Roman" w:hAnsi="Times New Roman"/>
          <w:sz w:val="22"/>
          <w:szCs w:val="22"/>
        </w:rPr>
        <w:t xml:space="preserve">El criterio contractual de este entregable no es que el manual exista, sino que, al terminar la sesión de capacitación de la semana 8, el personal del gremio publique un asociado, un evento y una noticia sin ayuda. Lo que falle en esa sesión es lo que habrá que reescribir aquí. La constancia de esa sesión es el Acta 02.</w:t>
      </w:r>
    </w:p>
    <w:sectPr>
      <w:headerReference w:type="default" r:id="rId7"/>
      <w:footerReference w:type="default" r:id="rId8"/>
      <w:pgSz w:w="12240" w:h="15840" w:orient="portrait"/>
      <w:pgMar w:top="2740" w:right="1559" w:bottom="1100" w:left="1700" w:header="3"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33333"/>
        <w:sz w:val="17"/>
        <w:szCs w:val="17"/>
      </w:rPr>
      <w:t xml:space="preserve">Anexo F. Manual de usuario del panel de administración · Página </w:t>
    </w:r>
    <w:r>
      <w:rPr>
        <w:rFonts w:ascii="Times New Roman" w:cs="Times New Roman" w:eastAsia="Times New Roman" w:hAnsi="Times New Roman"/>
        <w:color w:val="333333"/>
        <w:sz w:val="17"/>
        <w:szCs w:val="17"/>
      </w:rPr>
      <w:fldChar w:fldCharType="begin"/>
      <w:instrText xml:space="preserve">PAGE</w:instrText>
      <w:fldChar w:fldCharType="separate"/>
      <w:fldChar w:fldCharType="end"/>
    </w:r>
    <w:r>
      <w:rPr>
        <w:rFonts w:ascii="Times New Roman" w:cs="Times New Roman" w:eastAsia="Times New Roman" w:hAnsi="Times New Roman"/>
        <w:color w:val="333333"/>
        <w:sz w:val="17"/>
        <w:szCs w:val="17"/>
      </w:rPr>
      <w:t xml:space="preserve"> de </w:t>
    </w:r>
    <w:r>
      <w:rPr>
        <w:rFonts w:ascii="Times New Roman" w:cs="Times New Roman" w:eastAsia="Times New Roman" w:hAnsi="Times New Roman"/>
        <w:color w:val="33333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4"/>
    </w:pPr>
    <w:r>
      <w:drawing>
        <wp:anchor distT="0" distB="0" distL="0" distR="0" simplePos="0" allowOverlap="1" behindDoc="1" locked="1" layoutInCell="1" relativeHeight="1752600">
          <wp:simplePos x="0" y="0"/>
          <wp:positionH relativeFrom="page">
            <wp:posOffset>0</wp:posOffset>
          </wp:positionH>
          <wp:positionV relativeFrom="page">
            <wp:posOffset>0</wp:posOffset>
          </wp:positionV>
          <wp:extent cx="7772400" cy="17526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7526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abstractNum w:abstractNumId="6" w15:restartNumberingAfterBreak="0">
    <w:multiLevelType w:val="hybridMultilevel"/>
    <w:lvl w:ilvl="0" w15:tentative="1">
      <w:start w:val="1"/>
      <w:numFmt w:val="decimal"/>
      <w:lvlText w:val="%1."/>
      <w:lvlJc w:val="left"/>
      <w:pPr>
        <w:ind w:left="560" w:hanging="320"/>
      </w:pPr>
    </w:lvl>
  </w:abstractNum>
  <w:abstractNum w:abstractNumId="7" w15:restartNumberingAfterBreak="0">
    <w:multiLevelType w:val="hybridMultilevel"/>
    <w:lvl w:ilvl="0" w15:tentative="1">
      <w:start w:val="1"/>
      <w:numFmt w:val="decimal"/>
      <w:lvlText w:val="%1."/>
      <w:lvlJc w:val="left"/>
      <w:pPr>
        <w:ind w:left="560" w:hanging="320"/>
      </w:pPr>
    </w:lvl>
  </w:abstractNum>
  <w:abstractNum w:abstractNumId="8"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00" w:before="2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daba1fae824bc5cb9b528cb71244cd38869e50.png"/><Relationship Id="rId10" Type="http://schemas.openxmlformats.org/officeDocument/2006/relationships/image" Target="media/2ce80c7ffccfd1cdc64e14a50db40b37298a3919.png"/><Relationship Id="rId11" Type="http://schemas.openxmlformats.org/officeDocument/2006/relationships/image" Target="media/ece53a61594f87075c74629c9fc742353e7b0d2a.png"/><Relationship Id="rId12" Type="http://schemas.openxmlformats.org/officeDocument/2006/relationships/image" Target="media/50b8b8a7689cdc5fd31fdb4f896752cd4d4bb206.png"/><Relationship Id="rId13" Type="http://schemas.openxmlformats.org/officeDocument/2006/relationships/image" Target="media/67debf4281cc86f7c6785bcefb3eedf00e0c20b9.png"/><Relationship Id="rId14" Type="http://schemas.openxmlformats.org/officeDocument/2006/relationships/image" Target="media/93ccee2f1a2273e88df63aa79dcccb5a7c0238db.png"/><Relationship Id="rId15" Type="http://schemas.openxmlformats.org/officeDocument/2006/relationships/image" Target="media/e284ec02ae4b0c42c6355d890539a0bf056221ac.png"/><Relationship Id="rId16" Type="http://schemas.openxmlformats.org/officeDocument/2006/relationships/image" Target="media/177abb723bc3b917480026784bd8eff38afa049f.png"/><Relationship Id="rId17" Type="http://schemas.openxmlformats.org/officeDocument/2006/relationships/image" Target="media/fb56066edb4f0f26ab1453f67b3a4cbd8893a64d.png"/><Relationship Id="rId18" Type="http://schemas.openxmlformats.org/officeDocument/2006/relationships/image" Target="media/6a8ebce396450224b3e87bd7e879bad61a2b8a08.png"/><Relationship Id="rId19" Type="http://schemas.openxmlformats.org/officeDocument/2006/relationships/image" Target="media/bd8d65d7e40ec13b9179e43d7b02ad00cbb772e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8e4603612b886ee27f009f83225cda354c1f18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F. Manual de usuario del panel de administración</dc:title>
  <dc:subject>Práctica empresarial en Asobares Capítulo Quindío, Universidad Alexander von Humboldt</dc:subject>
  <dc:creator>Juan José Sua Gómez</dc:creator>
  <cp:lastModifiedBy>Juan José Sua Gómez</cp:lastModifiedBy>
  <cp:revision>1</cp:revision>
  <dcterms:created xsi:type="dcterms:W3CDTF">2026-08-27T19:01:52.956Z</dcterms:created>
  <dcterms:modified xsi:type="dcterms:W3CDTF">2026-08-27T19:01:52.956Z</dcterms:modified>
</cp:coreProperties>
</file>

<file path=docProps/custom.xml><?xml version="1.0" encoding="utf-8"?>
<Properties xmlns="http://schemas.openxmlformats.org/officeDocument/2006/custom-properties" xmlns:vt="http://schemas.openxmlformats.org/officeDocument/2006/docPropsVTypes"/>
</file>