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60"/>
      </w:pPr>
      <w:r>
        <w:rPr>
          <w:b/>
          <w:bCs/>
          <w:color w:val="1A1A1A"/>
          <w:sz w:val="34"/>
          <w:szCs w:val="34"/>
        </w:rPr>
        <w:t xml:space="preserve">Informe de avance — Persona 1</w:t>
      </w:r>
    </w:p>
    <w:p>
      <w:pPr>
        <w:pStyle w:val="Heading2"/>
        <w:pBdr>
          <w:bottom w:val="single" w:color="D4D4D4" w:sz="6" w:space="6"/>
        </w:pBdr>
        <w:spacing w:after="160" w:before="360"/>
      </w:pPr>
      <w:r>
        <w:rPr>
          <w:b/>
          <w:bCs/>
          <w:color w:val="C0392B"/>
          <w:sz w:val="25"/>
          <w:szCs w:val="25"/>
        </w:rPr>
        <w:t xml:space="preserve">Frente A: plataforma, administración y producción</w:t>
      </w:r>
    </w:p>
    <w:p>
      <w:pPr>
        <w:spacing w:after="140" w:line="288"/>
        <w:jc w:val="both"/>
      </w:pPr>
      <w:r>
        <w:rPr>
          <w:b/>
          <w:bCs/>
          <w:color w:val="1A1A1A"/>
          <w:sz w:val="20"/>
          <w:szCs w:val="20"/>
        </w:rPr>
        <w:t xml:space="preserve">Proyecto:</w:t>
      </w:r>
      <w:r>
        <w:rPr>
          <w:color w:val="1A1A1A"/>
          <w:sz w:val="20"/>
          <w:szCs w:val="20"/>
        </w:rPr>
        <w:t xml:space="preserve"> Plataforma Web ASOBARES Capítulo Quindío</w:t>
      </w:r>
    </w:p>
    <w:p>
      <w:pPr>
        <w:spacing w:after="140" w:line="288"/>
        <w:jc w:val="both"/>
      </w:pPr>
      <w:r>
        <w:rPr>
          <w:b/>
          <w:bCs/>
          <w:color w:val="1A1A1A"/>
          <w:sz w:val="20"/>
          <w:szCs w:val="20"/>
        </w:rPr>
        <w:t xml:space="preserve">Practicante:</w:t>
      </w:r>
      <w:r>
        <w:rPr>
          <w:color w:val="1A1A1A"/>
          <w:sz w:val="20"/>
          <w:szCs w:val="20"/>
        </w:rPr>
        <w:t xml:space="preserve"> Juan José Sua Gómez · </w:t>
      </w:r>
      <w:r>
        <w:rPr>
          <w:rFonts w:ascii="Consolas" w:cs="Consolas" w:eastAsia="Consolas" w:hAnsi="Consolas"/>
          <w:color w:val="3A3A3A"/>
          <w:sz w:val="17"/>
          <w:szCs w:val="17"/>
        </w:rPr>
        <w:t xml:space="preserve">jjsua_542@unihumboldt.edu.co</w:t>
      </w:r>
    </w:p>
    <w:p>
      <w:pPr>
        <w:spacing w:after="140" w:line="288"/>
        <w:jc w:val="both"/>
      </w:pPr>
      <w:r>
        <w:rPr>
          <w:b/>
          <w:bCs/>
          <w:color w:val="1A1A1A"/>
          <w:sz w:val="20"/>
          <w:szCs w:val="20"/>
        </w:rPr>
        <w:t xml:space="preserve">Docente asesor:</w:t>
      </w:r>
      <w:r>
        <w:rPr>
          <w:color w:val="1A1A1A"/>
          <w:sz w:val="20"/>
          <w:szCs w:val="20"/>
        </w:rPr>
        <w:t xml:space="preserve"> César Augusto Granada</w:t>
      </w:r>
    </w:p>
    <w:p>
      <w:pPr>
        <w:spacing w:after="140" w:line="288"/>
        <w:jc w:val="both"/>
      </w:pPr>
      <w:r>
        <w:rPr>
          <w:b/>
          <w:bCs/>
          <w:color w:val="1A1A1A"/>
          <w:sz w:val="20"/>
          <w:szCs w:val="20"/>
        </w:rPr>
        <w:t xml:space="preserve">Tutora empresarial:</w:t>
      </w:r>
      <w:r>
        <w:rPr>
          <w:color w:val="1A1A1A"/>
          <w:sz w:val="20"/>
          <w:szCs w:val="20"/>
        </w:rPr>
        <w:t xml:space="preserve"> Natalia Gutiérrez · ASOBARES Capítulo Quindío</w:t>
      </w:r>
    </w:p>
    <w:p>
      <w:pPr>
        <w:spacing w:after="140" w:line="288"/>
        <w:jc w:val="both"/>
      </w:pPr>
      <w:r>
        <w:rPr>
          <w:b/>
          <w:bCs/>
          <w:color w:val="1A1A1A"/>
          <w:sz w:val="20"/>
          <w:szCs w:val="20"/>
        </w:rPr>
        <w:t xml:space="preserve">Periodo que cubre:</w:t>
      </w:r>
      <w:r>
        <w:rPr>
          <w:color w:val="1A1A1A"/>
          <w:sz w:val="20"/>
          <w:szCs w:val="20"/>
        </w:rPr>
        <w:t xml:space="preserve"> 10 – 21 de agosto de 2026 · cierre del corte 2</w:t>
      </w:r>
    </w:p>
    <w:p>
      <w:pPr>
        <w:spacing w:after="140" w:line="288"/>
        <w:jc w:val="both"/>
      </w:pPr>
      <w:r>
        <w:rPr>
          <w:b/>
          <w:bCs/>
          <w:color w:val="1A1A1A"/>
          <w:sz w:val="20"/>
          <w:szCs w:val="20"/>
        </w:rPr>
        <w:t xml:space="preserve">Repositorio:</w:t>
      </w:r>
      <w:r>
        <w:rPr>
          <w:color w:val="1A1A1A"/>
          <w:sz w:val="20"/>
          <w:szCs w:val="20"/>
        </w:rPr>
        <w:t xml:space="preserve"> </w:t>
      </w:r>
      <w:r>
        <w:rPr>
          <w:rFonts w:ascii="Consolas" w:cs="Consolas" w:eastAsia="Consolas" w:hAnsi="Consolas"/>
          <w:color w:val="3A3A3A"/>
          <w:sz w:val="17"/>
          <w:szCs w:val="17"/>
        </w:rPr>
        <w:t xml:space="preserve">github.com/Jsua3/asobares</w:t>
      </w:r>
      <w:r>
        <w:rPr>
          <w:color w:val="1A1A1A"/>
          <w:sz w:val="20"/>
          <w:szCs w:val="20"/>
        </w:rPr>
        <w:t xml:space="preserve">, rama </w:t>
      </w:r>
      <w:r>
        <w:rPr>
          <w:rFonts w:ascii="Consolas" w:cs="Consolas" w:eastAsia="Consolas" w:hAnsi="Consolas"/>
          <w:color w:val="3A3A3A"/>
          <w:sz w:val="17"/>
          <w:szCs w:val="17"/>
        </w:rPr>
        <w:t xml:space="preserve">main</w:t>
      </w:r>
    </w:p>
    <w:p>
      <w:pPr>
        <w:pBdr>
          <w:bottom w:val="single" w:color="D4D4D4" w:sz="4" w:space="4"/>
        </w:pBdr>
        <w:spacing w:after="160" w:before="60"/>
      </w:pPr>
    </w:p>
    <w:p>
      <w:pPr>
        <w:pStyle w:val="Heading2"/>
        <w:pBdr>
          <w:bottom w:val="single" w:color="D4D4D4" w:sz="6" w:space="6"/>
        </w:pBdr>
        <w:spacing w:after="160" w:before="360"/>
      </w:pPr>
      <w:r>
        <w:rPr>
          <w:b/>
          <w:bCs/>
          <w:color w:val="C0392B"/>
          <w:sz w:val="25"/>
          <w:szCs w:val="25"/>
        </w:rPr>
        <w:t xml:space="preserve">1. El avance en una frase</w:t>
      </w:r>
    </w:p>
    <w:p>
      <w:pPr>
        <w:spacing w:after="140" w:line="288"/>
        <w:jc w:val="both"/>
      </w:pPr>
      <w:r>
        <w:rPr>
          <w:color w:val="1A1A1A"/>
          <w:sz w:val="20"/>
          <w:szCs w:val="20"/>
        </w:rPr>
        <w:t xml:space="preserve">En este periodo la plataforma pasó de </w:t>
      </w:r>
      <w:r>
        <w:rPr>
          <w:i/>
          <w:iCs/>
          <w:color w:val="1A1A1A"/>
          <w:sz w:val="20"/>
          <w:szCs w:val="20"/>
        </w:rPr>
        <w:t xml:space="preserve">funciona en mi máquina</w:t>
      </w:r>
      <w:r>
        <w:rPr>
          <w:color w:val="1A1A1A"/>
          <w:sz w:val="20"/>
          <w:szCs w:val="20"/>
        </w:rPr>
        <w:t xml:space="preserve"> a </w:t>
      </w:r>
      <w:r>
        <w:rPr>
          <w:b/>
          <w:bCs/>
          <w:color w:val="1A1A1A"/>
          <w:sz w:val="20"/>
          <w:szCs w:val="20"/>
        </w:rPr>
        <w:t xml:space="preserve">probada, medida, documentada y lista para desplegarse con un comando</w:t>
      </w:r>
      <w:r>
        <w:rPr>
          <w:color w:val="1A1A1A"/>
          <w:sz w:val="20"/>
          <w:szCs w:val="20"/>
        </w:rPr>
        <w:t xml:space="preserve">: 84 commits, +18.315 líneas; la suite automatizada creció de 599 a </w:t>
      </w:r>
      <w:r>
        <w:rPr>
          <w:b/>
          <w:bCs/>
          <w:color w:val="1A1A1A"/>
          <w:sz w:val="20"/>
          <w:szCs w:val="20"/>
        </w:rPr>
        <w:t xml:space="preserve">759 casos con cero fallos</w:t>
      </w:r>
      <w:r>
        <w:rPr>
          <w:color w:val="1A1A1A"/>
          <w:sz w:val="20"/>
          <w:szCs w:val="20"/>
        </w:rPr>
        <w:t xml:space="preserve">; y quedó producido el expediente de ingeniería completo que el cronograma pedía para la Fase 4.</w:t>
      </w:r>
    </w:p>
    <w:p>
      <w:pPr>
        <w:spacing w:after="140" w:line="288"/>
        <w:jc w:val="both"/>
      </w:pPr>
      <w:r>
        <w:rPr>
          <w:color w:val="1A1A1A"/>
          <w:sz w:val="20"/>
          <w:szCs w:val="20"/>
        </w:rPr>
        <w:t xml:space="preserve">Y el 20 de agosto esa suite se </w:t>
      </w:r>
      <w:r>
        <w:rPr>
          <w:b/>
          <w:bCs/>
          <w:color w:val="1A1A1A"/>
          <w:sz w:val="20"/>
          <w:szCs w:val="20"/>
        </w:rPr>
        <w:t xml:space="preserve">reprodujo en verde fuera de la máquina donde se programó</w:t>
      </w:r>
      <w:r>
        <w:rPr>
          <w:color w:val="1A1A1A"/>
          <w:sz w:val="20"/>
          <w:szCs w:val="20"/>
        </w:rPr>
        <w:t xml:space="preserve"> — clon limpio del repositorio, entorno montado desde cero — que es exactamente lo que la auditoría del 19 no consiguió hacer. </w:t>
      </w:r>
      <w:r>
        <w:rPr>
          <w:b/>
          <w:bCs/>
          <w:color w:val="1A1A1A"/>
          <w:sz w:val="20"/>
          <w:szCs w:val="20"/>
        </w:rPr>
        <w:t xml:space="preserve">Lo único que hoy bloquea el proyecto no es código: es la cuenta institucional del gremio</w:t>
      </w:r>
      <w:r>
        <w:rPr>
          <w:color w:val="1A1A1A"/>
          <w:sz w:val="20"/>
          <w:szCs w:val="20"/>
        </w:rPr>
        <w:t xml:space="preserve">, registrada como riesgo R-14.</w:t>
      </w:r>
    </w:p>
    <w:p>
      <w:pPr>
        <w:pBdr>
          <w:bottom w:val="single" w:color="D4D4D4" w:sz="4" w:space="4"/>
        </w:pBdr>
        <w:spacing w:after="160" w:before="60"/>
      </w:pPr>
    </w:p>
    <w:p>
      <w:pPr>
        <w:pStyle w:val="Heading2"/>
        <w:pBdr>
          <w:bottom w:val="single" w:color="D4D4D4" w:sz="6" w:space="6"/>
        </w:pBdr>
        <w:spacing w:after="160" w:before="360"/>
      </w:pPr>
      <w:r>
        <w:rPr>
          <w:b/>
          <w:bCs/>
          <w:color w:val="C0392B"/>
          <w:sz w:val="25"/>
          <w:szCs w:val="25"/>
        </w:rPr>
        <w:t xml:space="preserve">2. El reparto del trabajo, y desde cuándo rige</w:t>
      </w:r>
    </w:p>
    <w:p>
      <w:pPr>
        <w:spacing w:after="140" w:line="288"/>
        <w:jc w:val="both"/>
      </w:pPr>
      <w:r>
        <w:rPr>
          <w:color w:val="1A1A1A"/>
          <w:sz w:val="20"/>
          <w:szCs w:val="20"/>
        </w:rPr>
        <w:t xml:space="preserve">El 19 de agosto la compañera de práctica, Ingrid Montoya Warski, levantó una auditoría técnica del proyecto y propuso repartirlo en dos bloques </w:t>
      </w:r>
      <w:r>
        <w:rPr>
          <w:b/>
          <w:bCs/>
          <w:color w:val="1A1A1A"/>
          <w:sz w:val="20"/>
          <w:szCs w:val="20"/>
        </w:rPr>
        <w:t xml:space="preserve">por responsabilidad funcional, no por frontend/backend</w:t>
      </w:r>
      <w:r>
        <w:rPr>
          <w:color w:val="1A1A1A"/>
          <w:sz w:val="20"/>
          <w:szCs w:val="20"/>
        </w:rPr>
        <w:t xml:space="preserve">. Elegí el bloque 1. El reparto quedó así:</w:t>
      </w:r>
    </w:p>
    <w:tbl>
      <w:tblPr>
        <w:tblW w:type="dxa" w:w="9360"/>
        <w:tblBorders>
          <w:top w:val="single" w:color="D4D4D4" w:sz="2"/>
          <w:left w:val="single" w:color="D4D4D4" w:sz="2"/>
          <w:bottom w:val="single" w:color="D4D4D4" w:sz="2"/>
          <w:right w:val="single" w:color="D4D4D4" w:sz="2"/>
          <w:insideH w:val="single" w:color="D4D4D4" w:sz="2"/>
          <w:insideV w:val="single" w:color="D4D4D4" w:sz="2"/>
        </w:tblBorders>
      </w:tblPr>
      <w:tblGrid>
        <w:gridCol w:w="925"/>
        <w:gridCol w:w="3954"/>
        <w:gridCol w:w="4481"/>
      </w:tblGrid>
      <w:tr>
        <w:trPr>
          <w:cantSplit/>
          <w:tblHeader/>
        </w:trPr>
        <w:tc>
          <w:tcPr>
            <w:tcW w:type="dxa" w:w="925"/>
            <w:shd w:fill="F2F2F2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b/>
                <w:bCs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954"/>
            <w:shd w:fill="F2F2F2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b/>
                <w:bCs/>
                <w:color w:val="1A1A1A"/>
                <w:sz w:val="17"/>
                <w:szCs w:val="17"/>
              </w:rPr>
              <w:t xml:space="preserve">Persona 1 — Sua</w:t>
            </w:r>
          </w:p>
        </w:tc>
        <w:tc>
          <w:tcPr>
            <w:tcW w:type="dxa" w:w="4481"/>
            <w:shd w:fill="F2F2F2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b/>
                <w:bCs/>
                <w:color w:val="1A1A1A"/>
                <w:sz w:val="17"/>
                <w:szCs w:val="17"/>
              </w:rPr>
              <w:t xml:space="preserve">Persona 2 — Ingrid</w:t>
            </w:r>
          </w:p>
        </w:tc>
      </w:tr>
      <w:tr>
        <w:trPr>
          <w:cantSplit/>
          <w:tblHeader w:val="false"/>
        </w:trPr>
        <w:tc>
          <w:tcPr>
            <w:tcW w:type="dxa" w:w="92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color w:val="1A1A1A"/>
                <w:sz w:val="17"/>
                <w:szCs w:val="17"/>
              </w:rPr>
              <w:t xml:space="preserve">Eje</w:t>
            </w:r>
          </w:p>
        </w:tc>
        <w:tc>
          <w:tcPr>
            <w:tcW w:type="dxa" w:w="395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color w:val="1A1A1A"/>
                <w:sz w:val="17"/>
                <w:szCs w:val="17"/>
              </w:rPr>
              <w:t xml:space="preserve">Plataforma, administración y producción</w:t>
            </w:r>
          </w:p>
        </w:tc>
        <w:tc>
          <w:tcPr>
            <w:tcW w:type="dxa" w:w="448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color w:val="1A1A1A"/>
                <w:sz w:val="17"/>
                <w:szCs w:val="17"/>
              </w:rPr>
              <w:t xml:space="preserve">Producto, usuario y módulos públicos</w:t>
            </w:r>
          </w:p>
        </w:tc>
      </w:tr>
      <w:tr>
        <w:trPr>
          <w:cantSplit/>
          <w:tblHeader w:val="false"/>
        </w:trPr>
        <w:tc>
          <w:tcPr>
            <w:tcW w:type="dxa" w:w="92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color w:val="1A1A1A"/>
                <w:sz w:val="17"/>
                <w:szCs w:val="17"/>
              </w:rPr>
              <w:t xml:space="preserve">Bloques</w:t>
            </w:r>
          </w:p>
        </w:tc>
        <w:tc>
          <w:tcPr>
            <w:tcW w:type="dxa" w:w="395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color w:val="1A1A1A"/>
                <w:sz w:val="17"/>
                <w:szCs w:val="17"/>
              </w:rPr>
              <w:t xml:space="preserve">Entorno de ejecución · panel Filament (19 recursos, 5 páginas, MFA, roles, policies, aprobación) · cartera e importación CSV · pagos y webhook de Bold · observatorio · infraestructura (hosting, HTTPS, correo, colas) · </w:t>
            </w:r>
            <w:r>
              <w:rPr>
                <w:b/>
                <w:bCs/>
                <w:color w:val="1A1A1A"/>
                <w:sz w:val="17"/>
                <w:szCs w:val="17"/>
              </w:rPr>
              <w:t xml:space="preserve">salud global de la suite de pruebas</w:t>
            </w:r>
          </w:p>
        </w:tc>
        <w:tc>
          <w:tcPr>
            <w:tcW w:type="dxa" w:w="448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color w:val="1A1A1A"/>
                <w:sz w:val="17"/>
                <w:szCs w:val="17"/>
              </w:rPr>
              <w:t xml:space="preserve">Directorio y municipios · guía normativa · bolsa de empleo · eventos · artistas · proveedores · boletín · contacto/PQRS/afiliación · portal </w:t>
            </w:r>
            <w:r>
              <w:rPr>
                <w:rFonts w:ascii="Consolas" w:cs="Consolas" w:eastAsia="Consolas" w:hAnsi="Consolas"/>
                <w:color w:val="3A3A3A"/>
                <w:sz w:val="14"/>
                <w:szCs w:val="14"/>
              </w:rPr>
              <w:t xml:space="preserve">/mi-cuenta</w:t>
            </w:r>
          </w:p>
        </w:tc>
      </w:tr>
    </w:tbl>
    <w:p>
      <w:pPr>
        <w:spacing w:after="200"/>
      </w:pPr>
    </w:p>
    <w:p>
      <w:pPr>
        <w:spacing w:after="140" w:line="288"/>
        <w:jc w:val="both"/>
      </w:pPr>
      <w:r>
        <w:rPr>
          <w:color w:val="1A1A1A"/>
          <w:sz w:val="20"/>
          <w:szCs w:val="20"/>
        </w:rPr>
        <w:t xml:space="preserve">Dos reglas de frontera, que son lo que evita los conflictos de Git: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color w:val="1A1A1A"/>
          <w:sz w:val="20"/>
          <w:szCs w:val="20"/>
        </w:rPr>
        <w:t xml:space="preserve">Durante la estabilización, </w:t>
      </w:r>
      <w:r>
        <w:rPr>
          <w:b/>
          <w:bCs/>
          <w:color w:val="1A1A1A"/>
          <w:sz w:val="20"/>
          <w:szCs w:val="20"/>
        </w:rPr>
        <w:t xml:space="preserve">solo la Persona 1 toca PHP, Composer, </w:t>
      </w:r>
      <w:r>
        <w:rPr>
          <w:rFonts w:ascii="Consolas" w:cs="Consolas" w:eastAsia="Consolas" w:hAnsi="Consolas"/>
          <w:b/>
          <w:bCs/>
          <w:color w:val="3A3A3A"/>
          <w:sz w:val="17"/>
          <w:szCs w:val="17"/>
        </w:rPr>
        <w:t xml:space="preserve">.env</w:t>
      </w:r>
      <w:r>
        <w:rPr>
          <w:b/>
          <w:bCs/>
          <w:color w:val="1A1A1A"/>
          <w:sz w:val="20"/>
          <w:szCs w:val="20"/>
        </w:rPr>
        <w:t xml:space="preserve"> y migraciones</w:t>
      </w:r>
      <w:r>
        <w:rPr>
          <w:color w:val="1A1A1A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color w:val="1A1A1A"/>
          <w:sz w:val="20"/>
          <w:szCs w:val="20"/>
        </w:rPr>
        <w:t xml:space="preserve">La Persona 1 </w:t>
      </w:r>
      <w:r>
        <w:rPr>
          <w:b/>
          <w:bCs/>
          <w:color w:val="1A1A1A"/>
          <w:sz w:val="20"/>
          <w:szCs w:val="20"/>
        </w:rPr>
        <w:t xml:space="preserve">no rediseña ni amplía los módulos públicos</w:t>
      </w:r>
      <w:r>
        <w:rPr>
          <w:color w:val="1A1A1A"/>
          <w:sz w:val="20"/>
          <w:szCs w:val="20"/>
        </w:rPr>
        <w:t xml:space="preserve"> de la Persona 2.</w:t>
      </w:r>
    </w:p>
    <w:p>
      <w:pPr>
        <w:pBdr>
          <w:left w:val="single" w:color="C0392B" w:sz="12" w:space="10"/>
        </w:pBdr>
        <w:spacing w:after="180" w:before="100" w:line="280"/>
        <w:ind w:left="300"/>
        <w:jc w:val="both"/>
      </w:pPr>
      <w:r>
        <w:rPr>
          <w:b/>
          <w:bCs/>
          <w:color w:val="5C5C5C"/>
          <w:sz w:val="19"/>
          <w:szCs w:val="19"/>
        </w:rPr>
        <w:t xml:space="preserve">Aclaración necesaria sobre el alcance de este informe.</w:t>
      </w:r>
      <w:r>
        <w:rPr>
          <w:color w:val="5C5C5C"/>
          <w:sz w:val="19"/>
          <w:szCs w:val="19"/>
        </w:rPr>
        <w:t xml:space="preserve"> El reparto se acordó el </w:t>
      </w:r>
      <w:r>
        <w:rPr>
          <w:b/>
          <w:bCs/>
          <w:color w:val="5C5C5C"/>
          <w:sz w:val="19"/>
          <w:szCs w:val="19"/>
        </w:rPr>
        <w:t xml:space="preserve">20 de agosto</w:t>
      </w:r>
      <w:r>
        <w:rPr>
          <w:color w:val="5C5C5C"/>
          <w:sz w:val="19"/>
          <w:szCs w:val="19"/>
        </w:rPr>
        <w:t xml:space="preserve"> y rige hacia adelante. Los </w:t>
      </w:r>
      <w:r>
        <w:rPr>
          <w:b/>
          <w:bCs/>
          <w:color w:val="5C5C5C"/>
          <w:sz w:val="19"/>
          <w:szCs w:val="19"/>
        </w:rPr>
        <w:t xml:space="preserve">208 commits</w:t>
      </w:r>
      <w:r>
        <w:rPr>
          <w:color w:val="5C5C5C"/>
          <w:sz w:val="19"/>
          <w:szCs w:val="19"/>
        </w:rPr>
        <w:t xml:space="preserve"> que hoy tiene el repositorio están firmados por un solo autor (</w:t>
      </w:r>
      <w:r>
        <w:rPr>
          <w:rFonts w:ascii="Consolas" w:cs="Consolas" w:eastAsia="Consolas" w:hAnsi="Consolas"/>
          <w:color w:val="3A3A3A"/>
          <w:sz w:val="16"/>
          <w:szCs w:val="16"/>
        </w:rPr>
        <w:t xml:space="preserve">Jsua3 &lt;jjsua_542@unihumboldt.edu.co&gt;</w:t>
      </w:r>
      <w:r>
        <w:rPr>
          <w:color w:val="5C5C5C"/>
          <w:sz w:val="19"/>
          <w:szCs w:val="19"/>
        </w:rPr>
        <w:t xml:space="preserve">), verificable con </w:t>
      </w:r>
      <w:r>
        <w:rPr>
          <w:rFonts w:ascii="Consolas" w:cs="Consolas" w:eastAsia="Consolas" w:hAnsi="Consolas"/>
          <w:color w:val="3A3A3A"/>
          <w:sz w:val="16"/>
          <w:szCs w:val="16"/>
        </w:rPr>
        <w:t xml:space="preserve">git log --pretty='%an'</w:t>
      </w:r>
      <w:r>
        <w:rPr>
          <w:color w:val="5C5C5C"/>
          <w:sz w:val="19"/>
          <w:szCs w:val="19"/>
        </w:rPr>
        <w:t xml:space="preserve">. Por eso este informe cubre </w:t>
      </w:r>
      <w:r>
        <w:rPr>
          <w:b/>
          <w:bCs/>
          <w:color w:val="5C5C5C"/>
          <w:sz w:val="19"/>
          <w:szCs w:val="19"/>
        </w:rPr>
        <w:t xml:space="preserve">todo el trabajo del periodo</w:t>
      </w:r>
      <w:r>
        <w:rPr>
          <w:color w:val="5C5C5C"/>
          <w:sz w:val="19"/>
          <w:szCs w:val="19"/>
        </w:rPr>
        <w:t xml:space="preserve">, y marca explícitamente qué parte corresponde al bloque que a partir de ahora mantengo como Persona 1.</w:t>
      </w:r>
    </w:p>
    <w:p>
      <w:pPr>
        <w:pBdr>
          <w:bottom w:val="single" w:color="D4D4D4" w:sz="4" w:space="4"/>
        </w:pBdr>
        <w:spacing w:after="160" w:before="60"/>
      </w:pPr>
    </w:p>
    <w:p>
      <w:pPr>
        <w:pStyle w:val="Heading2"/>
        <w:pBdr>
          <w:bottom w:val="single" w:color="D4D4D4" w:sz="6" w:space="6"/>
        </w:pBdr>
        <w:spacing w:after="160" w:before="360"/>
      </w:pPr>
      <w:r>
        <w:rPr>
          <w:b/>
          <w:bCs/>
          <w:color w:val="C0392B"/>
          <w:sz w:val="25"/>
          <w:szCs w:val="25"/>
        </w:rPr>
        <w:t xml:space="preserve">3. Trabajo ejecutado en el periodo (10 – 21 de agosto)</w:t>
      </w:r>
    </w:p>
    <w:p>
      <w:pPr>
        <w:pStyle w:val="Heading3"/>
        <w:spacing w:after="120" w:before="260"/>
      </w:pPr>
      <w:r>
        <w:rPr>
          <w:b/>
          <w:bCs/>
          <w:color w:val="1A1A1A"/>
          <w:sz w:val="21"/>
          <w:szCs w:val="21"/>
        </w:rPr>
        <w:t xml:space="preserve">3.1 Cierre de la auditoría de seguridad y habeas data · 10–15 ago · </w:t>
      </w:r>
      <w:r>
        <w:rPr>
          <w:b/>
          <w:bCs/>
          <w:color w:val="1A1A1A"/>
          <w:sz w:val="21"/>
          <w:szCs w:val="21"/>
        </w:rPr>
        <w:t xml:space="preserve">bloque P1</w:t>
      </w:r>
    </w:p>
    <w:p>
      <w:pPr>
        <w:spacing w:after="140" w:line="288"/>
        <w:jc w:val="both"/>
      </w:pPr>
      <w:r>
        <w:rPr>
          <w:color w:val="1A1A1A"/>
          <w:sz w:val="20"/>
          <w:szCs w:val="20"/>
        </w:rPr>
        <w:t xml:space="preserve">Se cerraron los hallazgos G4 a G12 de la auditoría interna de seguridad. Cada uno con su prueba de regresión:</w:t>
      </w:r>
    </w:p>
    <w:tbl>
      <w:tblPr>
        <w:tblW w:type="dxa" w:w="9360"/>
        <w:tblBorders>
          <w:top w:val="single" w:color="D4D4D4" w:sz="2"/>
          <w:left w:val="single" w:color="D4D4D4" w:sz="2"/>
          <w:bottom w:val="single" w:color="D4D4D4" w:sz="2"/>
          <w:right w:val="single" w:color="D4D4D4" w:sz="2"/>
          <w:insideH w:val="single" w:color="D4D4D4" w:sz="2"/>
          <w:insideV w:val="single" w:color="D4D4D4" w:sz="2"/>
        </w:tblBorders>
      </w:tblPr>
      <w:tblGrid>
        <w:gridCol w:w="1020"/>
        <w:gridCol w:w="8340"/>
      </w:tblGrid>
      <w:tr>
        <w:trPr>
          <w:cantSplit/>
          <w:tblHeader/>
        </w:trPr>
        <w:tc>
          <w:tcPr>
            <w:tcW w:type="dxa" w:w="1020"/>
            <w:shd w:fill="F2F2F2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b/>
                <w:bCs/>
                <w:color w:val="1A1A1A"/>
                <w:sz w:val="17"/>
                <w:szCs w:val="17"/>
              </w:rPr>
              <w:t xml:space="preserve">Hallazgo</w:t>
            </w:r>
          </w:p>
        </w:tc>
        <w:tc>
          <w:tcPr>
            <w:tcW w:type="dxa" w:w="8340"/>
            <w:shd w:fill="F2F2F2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b/>
                <w:bCs/>
                <w:color w:val="1A1A1A"/>
                <w:sz w:val="17"/>
                <w:szCs w:val="17"/>
              </w:rPr>
              <w:t xml:space="preserve">Qué se cerró</w:t>
            </w:r>
          </w:p>
        </w:tc>
      </w:tr>
      <w:tr>
        <w:trPr>
          <w:cantSplit/>
          <w:tblHeader w:val="false"/>
        </w:trPr>
        <w:tc>
          <w:tcPr>
            <w:tcW w:type="dxa" w:w="10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color w:val="1A1A1A"/>
                <w:sz w:val="17"/>
                <w:szCs w:val="17"/>
              </w:rPr>
              <w:t xml:space="preserve">G8</w:t>
            </w:r>
          </w:p>
        </w:tc>
        <w:tc>
          <w:tcPr>
            <w:tcW w:type="dxa" w:w="834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color w:val="1A1A1A"/>
                <w:sz w:val="17"/>
                <w:szCs w:val="17"/>
              </w:rPr>
              <w:t xml:space="preserve">Segundo factor </w:t>
            </w:r>
            <w:r>
              <w:rPr>
                <w:b/>
                <w:bCs/>
                <w:color w:val="1A1A1A"/>
                <w:sz w:val="17"/>
                <w:szCs w:val="17"/>
              </w:rPr>
              <w:t xml:space="preserve">obligatorio</w:t>
            </w:r>
            <w:r>
              <w:rPr>
                <w:color w:val="1A1A1A"/>
                <w:sz w:val="17"/>
                <w:szCs w:val="17"/>
              </w:rPr>
              <w:t xml:space="preserve"> en el panel; política de contraseñas fuertes; tres fugas del login de </w:t>
            </w:r>
            <w:r>
              <w:rPr>
                <w:rFonts w:ascii="Consolas" w:cs="Consolas" w:eastAsia="Consolas" w:hAnsi="Consolas"/>
                <w:color w:val="3A3A3A"/>
                <w:sz w:val="14"/>
                <w:szCs w:val="14"/>
              </w:rPr>
              <w:t xml:space="preserve">/mi-cuenta</w:t>
            </w:r>
            <w:r>
              <w:rPr>
                <w:color w:val="1A1A1A"/>
                <w:sz w:val="17"/>
                <w:szCs w:val="17"/>
              </w:rPr>
              <w:t xml:space="preserve"> (enumeración por tiempo, ausencia de bloqueo por cuenta y redirección abierta)</w:t>
            </w:r>
          </w:p>
        </w:tc>
      </w:tr>
      <w:tr>
        <w:trPr>
          <w:cantSplit/>
          <w:tblHeader w:val="false"/>
        </w:trPr>
        <w:tc>
          <w:tcPr>
            <w:tcW w:type="dxa" w:w="10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color w:val="1A1A1A"/>
                <w:sz w:val="17"/>
                <w:szCs w:val="17"/>
              </w:rPr>
              <w:t xml:space="preserve">G9</w:t>
            </w:r>
          </w:p>
        </w:tc>
        <w:tc>
          <w:tcPr>
            <w:tcW w:type="dxa" w:w="834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color w:val="1A1A1A"/>
                <w:sz w:val="17"/>
                <w:szCs w:val="17"/>
              </w:rPr>
              <w:t xml:space="preserve">El subadministrador no publica </w:t>
            </w:r>
            <w:r>
              <w:rPr>
                <w:b/>
                <w:bCs/>
                <w:color w:val="1A1A1A"/>
                <w:sz w:val="17"/>
                <w:szCs w:val="17"/>
              </w:rPr>
              <w:t xml:space="preserve">ni forzando el estado</w:t>
            </w:r>
            <w:r>
              <w:rPr>
                <w:color w:val="1A1A1A"/>
                <w:sz w:val="17"/>
                <w:szCs w:val="17"/>
              </w:rPr>
              <w:t xml:space="preserve">; nadie confirma a mano una inscripción de pago</w:t>
            </w:r>
          </w:p>
        </w:tc>
      </w:tr>
      <w:tr>
        <w:trPr>
          <w:cantSplit/>
          <w:tblHeader w:val="false"/>
        </w:trPr>
        <w:tc>
          <w:tcPr>
            <w:tcW w:type="dxa" w:w="10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color w:val="1A1A1A"/>
                <w:sz w:val="17"/>
                <w:szCs w:val="17"/>
              </w:rPr>
              <w:t xml:space="preserve">G4</w:t>
            </w:r>
          </w:p>
        </w:tc>
        <w:tc>
          <w:tcPr>
            <w:tcW w:type="dxa" w:w="834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color w:val="1A1A1A"/>
                <w:sz w:val="17"/>
                <w:szCs w:val="17"/>
              </w:rPr>
              <w:t xml:space="preserve">La inscripción se serializa para que el cupo no se sobrevenda bajo concurrencia</w:t>
            </w:r>
          </w:p>
        </w:tc>
      </w:tr>
      <w:tr>
        <w:trPr>
          <w:cantSplit/>
          <w:tblHeader w:val="false"/>
        </w:trPr>
        <w:tc>
          <w:tcPr>
            <w:tcW w:type="dxa" w:w="10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color w:val="1A1A1A"/>
                <w:sz w:val="17"/>
                <w:szCs w:val="17"/>
              </w:rPr>
              <w:t xml:space="preserve">G12</w:t>
            </w:r>
          </w:p>
        </w:tc>
        <w:tc>
          <w:tcPr>
            <w:tcW w:type="dxa" w:w="834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color w:val="1A1A1A"/>
                <w:sz w:val="17"/>
                <w:szCs w:val="17"/>
              </w:rPr>
              <w:t xml:space="preserve">Plazo de retención para mensajes de contacto y PQR — los datos personales se borran solos al vencer (Ley 1581/2012)</w:t>
            </w:r>
          </w:p>
        </w:tc>
      </w:tr>
      <w:tr>
        <w:trPr>
          <w:cantSplit/>
          <w:tblHeader w:val="false"/>
        </w:trPr>
        <w:tc>
          <w:tcPr>
            <w:tcW w:type="dxa" w:w="10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color w:val="1A1A1A"/>
                <w:sz w:val="17"/>
                <w:szCs w:val="17"/>
              </w:rPr>
              <w:t xml:space="preserve">—</w:t>
            </w:r>
          </w:p>
        </w:tc>
        <w:tc>
          <w:tcPr>
            <w:tcW w:type="dxa" w:w="834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color w:val="1A1A1A"/>
                <w:sz w:val="17"/>
                <w:szCs w:val="17"/>
              </w:rPr>
              <w:t xml:space="preserve">Cabeceras de seguridad que ninguna respuesta emitía; cookie de sesión marcada </w:t>
            </w:r>
            <w:r>
              <w:rPr>
                <w:rFonts w:ascii="Consolas" w:cs="Consolas" w:eastAsia="Consolas" w:hAnsi="Consolas"/>
                <w:color w:val="3A3A3A"/>
                <w:sz w:val="14"/>
                <w:szCs w:val="14"/>
              </w:rPr>
              <w:t xml:space="preserve">Secure</w:t>
            </w:r>
            <w:r>
              <w:rPr>
                <w:color w:val="1A1A1A"/>
                <w:sz w:val="17"/>
                <w:szCs w:val="17"/>
              </w:rPr>
              <w:t xml:space="preserve"> fuera de local; filtrado del esquema de los enlaces configurables; la conciliación de pagos falla </w:t>
            </w:r>
            <w:r>
              <w:rPr>
                <w:b/>
                <w:bCs/>
                <w:color w:val="1A1A1A"/>
                <w:sz w:val="17"/>
                <w:szCs w:val="17"/>
              </w:rPr>
              <w:t xml:space="preserve">cerrada</w:t>
            </w:r>
          </w:p>
        </w:tc>
      </w:tr>
    </w:tbl>
    <w:p>
      <w:pPr>
        <w:spacing w:after="200"/>
      </w:pPr>
    </w:p>
    <w:p>
      <w:pPr>
        <w:pStyle w:val="Heading3"/>
        <w:spacing w:after="120" w:before="260"/>
      </w:pPr>
      <w:r>
        <w:rPr>
          <w:b/>
          <w:bCs/>
          <w:color w:val="1A1A1A"/>
          <w:sz w:val="21"/>
          <w:szCs w:val="21"/>
        </w:rPr>
        <w:t xml:space="preserve">3.2 Portabilidad real a PostgreSQL · 15 ago · </w:t>
      </w:r>
      <w:r>
        <w:rPr>
          <w:b/>
          <w:bCs/>
          <w:color w:val="1A1A1A"/>
          <w:sz w:val="21"/>
          <w:szCs w:val="21"/>
        </w:rPr>
        <w:t xml:space="preserve">bloque P1</w:t>
      </w:r>
    </w:p>
    <w:p>
      <w:pPr>
        <w:spacing w:after="140" w:line="288"/>
        <w:jc w:val="both"/>
      </w:pPr>
      <w:r>
        <w:rPr>
          <w:color w:val="1A1A1A"/>
          <w:sz w:val="20"/>
          <w:szCs w:val="20"/>
        </w:rPr>
        <w:t xml:space="preserve">La suite corre sobre SQLite; el destino de producción es PostgreSQL. Se hizo la corrida completa contra el motor real y se corrigieron las dos diferencias que aparecieron: la columna </w:t>
      </w:r>
      <w:r>
        <w:rPr>
          <w:rFonts w:ascii="Consolas" w:cs="Consolas" w:eastAsia="Consolas" w:hAnsi="Consolas"/>
          <w:color w:val="3A3A3A"/>
          <w:sz w:val="17"/>
          <w:szCs w:val="17"/>
        </w:rPr>
        <w:t xml:space="preserve">data</w:t>
      </w:r>
      <w:r>
        <w:rPr>
          <w:color w:val="1A1A1A"/>
          <w:sz w:val="20"/>
          <w:szCs w:val="20"/>
        </w:rPr>
        <w:t xml:space="preserve"> de </w:t>
      </w:r>
      <w:r>
        <w:rPr>
          <w:rFonts w:ascii="Consolas" w:cs="Consolas" w:eastAsia="Consolas" w:hAnsi="Consolas"/>
          <w:color w:val="3A3A3A"/>
          <w:sz w:val="17"/>
          <w:szCs w:val="17"/>
        </w:rPr>
        <w:t xml:space="preserve">notifications</w:t>
      </w:r>
      <w:r>
        <w:rPr>
          <w:color w:val="1A1A1A"/>
          <w:sz w:val="20"/>
          <w:szCs w:val="20"/>
        </w:rPr>
        <w:t xml:space="preserve"> pasó a </w:t>
      </w:r>
      <w:r>
        <w:rPr>
          <w:rFonts w:ascii="Consolas" w:cs="Consolas" w:eastAsia="Consolas" w:hAnsi="Consolas"/>
          <w:color w:val="3A3A3A"/>
          <w:sz w:val="17"/>
          <w:szCs w:val="17"/>
        </w:rPr>
        <w:t xml:space="preserve">json</w:t>
      </w:r>
      <w:r>
        <w:rPr>
          <w:color w:val="1A1A1A"/>
          <w:sz w:val="20"/>
          <w:szCs w:val="20"/>
        </w:rPr>
        <w:t xml:space="preserve">, y la postulación sobrevive a perder la carrera de concurrencia. </w:t>
      </w:r>
      <w:r>
        <w:rPr>
          <w:b/>
          <w:bCs/>
          <w:color w:val="1A1A1A"/>
          <w:sz w:val="20"/>
          <w:szCs w:val="20"/>
        </w:rPr>
        <w:t xml:space="preserve">33 migraciones y 20 sembradores verdes sobre PostgreSQL 17.11.</w:t>
      </w:r>
    </w:p>
    <w:p>
      <w:pPr>
        <w:pStyle w:val="Heading3"/>
        <w:spacing w:after="120" w:before="260"/>
      </w:pPr>
      <w:r>
        <w:rPr>
          <w:b/>
          <w:bCs/>
          <w:color w:val="1A1A1A"/>
          <w:sz w:val="21"/>
          <w:szCs w:val="21"/>
        </w:rPr>
        <w:t xml:space="preserve">3.3 Sistema de movimiento, pase de interfaz y accesibilidad · 17–19 ago</w:t>
      </w:r>
    </w:p>
    <w:p>
      <w:pPr>
        <w:spacing w:after="140" w:line="288"/>
        <w:jc w:val="both"/>
      </w:pPr>
      <w:r>
        <w:rPr>
          <w:color w:val="1A1A1A"/>
          <w:sz w:val="20"/>
          <w:szCs w:val="20"/>
        </w:rPr>
        <w:t xml:space="preserve">Trabajo de frontend que se ejecutó antes del reparto y que a partir de ahora pertenece al bloque de la Persona 2. Queda listado porque es parte del avance del periodo: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color w:val="1A1A1A"/>
          <w:sz w:val="20"/>
          <w:szCs w:val="20"/>
        </w:rPr>
        <w:t xml:space="preserve">Sistema de movimiento con fuente única de tokens, guarda </w:t>
      </w:r>
      <w:r>
        <w:rPr>
          <w:rFonts w:ascii="Consolas" w:cs="Consolas" w:eastAsia="Consolas" w:hAnsi="Consolas"/>
          <w:color w:val="3A3A3A"/>
          <w:sz w:val="17"/>
          <w:szCs w:val="17"/>
        </w:rPr>
        <w:t xml:space="preserve">prefers-reduced-motion</w:t>
      </w:r>
      <w:r>
        <w:rPr>
          <w:color w:val="1A1A1A"/>
          <w:sz w:val="20"/>
          <w:szCs w:val="20"/>
        </w:rPr>
        <w:t xml:space="preserve"> y guardias automatizadas contra duraciones, retardos y curvas arbitrarias.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color w:val="1A1A1A"/>
          <w:sz w:val="20"/>
          <w:szCs w:val="20"/>
        </w:rPr>
        <w:t xml:space="preserve">El botón de acción, que estaba copiado 43 veces, se extrajo a componente: 34 primarias y 9 CTA migrados.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b/>
          <w:bCs/>
          <w:color w:val="1A1A1A"/>
          <w:sz w:val="20"/>
          <w:szCs w:val="20"/>
        </w:rPr>
        <w:t xml:space="preserve">RNF-12 · foco visible:</w:t>
      </w:r>
      <w:r>
        <w:rPr>
          <w:color w:val="1A1A1A"/>
          <w:sz w:val="20"/>
          <w:szCs w:val="20"/>
        </w:rPr>
        <w:t xml:space="preserve"> se retiraron las dos anulaciones que incumplían el requisito contratado. El trazo mide </w:t>
      </w:r>
      <w:r>
        <w:rPr>
          <w:b/>
          <w:bCs/>
          <w:color w:val="1A1A1A"/>
          <w:sz w:val="20"/>
          <w:szCs w:val="20"/>
        </w:rPr>
        <w:t xml:space="preserve">3,49:1 en claro y 5,15:1 en oscuro</w:t>
      </w:r>
      <w:r>
        <w:rPr>
          <w:color w:val="1A1A1A"/>
          <w:sz w:val="20"/>
          <w:szCs w:val="20"/>
        </w:rPr>
        <w:t xml:space="preserve"> contra un mínimo de 3:1, con seis guardias, una de las cuales </w:t>
      </w:r>
      <w:r>
        <w:rPr>
          <w:b/>
          <w:bCs/>
          <w:color w:val="1A1A1A"/>
          <w:sz w:val="20"/>
          <w:szCs w:val="20"/>
        </w:rPr>
        <w:t xml:space="preserve">recalcula el contraste</w:t>
      </w:r>
      <w:r>
        <w:rPr>
          <w:color w:val="1A1A1A"/>
          <w:sz w:val="20"/>
          <w:szCs w:val="20"/>
        </w:rPr>
        <w:t xml:space="preserve"> en lugar de comparar cadenas.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b/>
          <w:bCs/>
          <w:color w:val="1A1A1A"/>
          <w:sz w:val="20"/>
          <w:szCs w:val="20"/>
        </w:rPr>
        <w:t xml:space="preserve">Objetivos táctiles:</w:t>
      </w:r>
      <w:r>
        <w:rPr>
          <w:color w:val="1A1A1A"/>
          <w:sz w:val="20"/>
          <w:szCs w:val="20"/>
        </w:rPr>
        <w:t xml:space="preserve"> 547 objetivos medidos en 18 rutas a 320 y 390 px, y 674 a 1280 px. </w:t>
      </w:r>
      <w:r>
        <w:rPr>
          <w:b/>
          <w:bCs/>
          <w:color w:val="1A1A1A"/>
          <w:sz w:val="20"/>
          <w:szCs w:val="20"/>
        </w:rPr>
        <w:t xml:space="preserve">Cero por debajo de 44 px</w:t>
      </w:r>
      <w:r>
        <w:rPr>
          <w:color w:val="1A1A1A"/>
          <w:sz w:val="20"/>
          <w:szCs w:val="20"/>
        </w:rPr>
        <w:t xml:space="preserve">, 26 exceptuados por WCAG 2.5.8 y cero robos de clic.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b/>
          <w:bCs/>
          <w:color w:val="1A1A1A"/>
          <w:sz w:val="20"/>
          <w:szCs w:val="20"/>
        </w:rPr>
        <w:t xml:space="preserve">RF-19 · calendario de eventos:</w:t>
      </w:r>
      <w:r>
        <w:rPr>
          <w:color w:val="1A1A1A"/>
          <w:sz w:val="20"/>
          <w:szCs w:val="20"/>
        </w:rPr>
        <w:t xml:space="preserve"> se construyó la vista que el cronograma firmado pedía y que no existía — rejilla mensual en escritorio, agenda por día en móvil, navegable sin JavaScript, </w:t>
      </w:r>
      <w:r>
        <w:rPr>
          <w:b/>
          <w:bCs/>
          <w:color w:val="1A1A1A"/>
          <w:sz w:val="20"/>
          <w:szCs w:val="20"/>
        </w:rPr>
        <w:t xml:space="preserve">4 consultas por mes en lugar de 42</w:t>
      </w:r>
      <w:r>
        <w:rPr>
          <w:color w:val="1A1A1A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color w:val="1A1A1A"/>
          <w:sz w:val="20"/>
          <w:szCs w:val="20"/>
        </w:rPr>
        <w:t xml:space="preserve">Escala tipográfica de 14 pasos, navbar de 83 a 62 px, las 27 flechas de texto reemplazadas por SVG.</w:t>
      </w:r>
    </w:p>
    <w:p>
      <w:pPr>
        <w:pStyle w:val="Heading3"/>
        <w:spacing w:after="120" w:before="260"/>
      </w:pPr>
      <w:r>
        <w:rPr>
          <w:b/>
          <w:bCs/>
          <w:color w:val="1A1A1A"/>
          <w:sz w:val="21"/>
          <w:szCs w:val="21"/>
        </w:rPr>
        <w:t xml:space="preserve">3.4 Expediente de ingeniería — Fase 4 del cronograma · 18–19 ago · </w:t>
      </w:r>
      <w:r>
        <w:rPr>
          <w:b/>
          <w:bCs/>
          <w:color w:val="1A1A1A"/>
          <w:sz w:val="21"/>
          <w:szCs w:val="21"/>
        </w:rPr>
        <w:t xml:space="preserve">bloque P1</w:t>
      </w:r>
    </w:p>
    <w:p>
      <w:pPr>
        <w:spacing w:after="140" w:line="288"/>
        <w:jc w:val="both"/>
      </w:pPr>
      <w:r>
        <w:rPr>
          <w:color w:val="1A1A1A"/>
          <w:sz w:val="20"/>
          <w:szCs w:val="20"/>
        </w:rPr>
        <w:t xml:space="preserve">Los cinco entregables que el cronograma pone en la Fase 4 y que </w:t>
      </w:r>
      <w:r>
        <w:rPr>
          <w:b/>
          <w:bCs/>
          <w:color w:val="1A1A1A"/>
          <w:sz w:val="20"/>
          <w:szCs w:val="20"/>
        </w:rPr>
        <w:t xml:space="preserve">no dependen del hosting</w:t>
      </w:r>
      <w:r>
        <w:rPr>
          <w:color w:val="1A1A1A"/>
          <w:sz w:val="20"/>
          <w:szCs w:val="20"/>
        </w:rPr>
        <w:t xml:space="preserve">. Todos versionados en </w:t>
      </w:r>
      <w:r>
        <w:rPr>
          <w:rFonts w:ascii="Consolas" w:cs="Consolas" w:eastAsia="Consolas" w:hAnsi="Consolas"/>
          <w:color w:val="3A3A3A"/>
          <w:sz w:val="17"/>
          <w:szCs w:val="17"/>
        </w:rPr>
        <w:t xml:space="preserve">docs/ingenieria/</w:t>
      </w:r>
      <w:r>
        <w:rPr>
          <w:color w:val="1A1A1A"/>
          <w:sz w:val="20"/>
          <w:szCs w:val="20"/>
        </w:rPr>
        <w:t xml:space="preserve">:</w:t>
      </w:r>
    </w:p>
    <w:tbl>
      <w:tblPr>
        <w:tblW w:type="dxa" w:w="9360"/>
        <w:tblBorders>
          <w:top w:val="single" w:color="D4D4D4" w:sz="2"/>
          <w:left w:val="single" w:color="D4D4D4" w:sz="2"/>
          <w:bottom w:val="single" w:color="D4D4D4" w:sz="2"/>
          <w:right w:val="single" w:color="D4D4D4" w:sz="2"/>
          <w:insideH w:val="single" w:color="D4D4D4" w:sz="2"/>
          <w:insideV w:val="single" w:color="D4D4D4" w:sz="2"/>
        </w:tblBorders>
      </w:tblPr>
      <w:tblGrid>
        <w:gridCol w:w="2600"/>
        <w:gridCol w:w="5930"/>
        <w:gridCol w:w="830"/>
      </w:tblGrid>
      <w:tr>
        <w:trPr>
          <w:cantSplit/>
          <w:tblHeader/>
        </w:trPr>
        <w:tc>
          <w:tcPr>
            <w:tcW w:type="dxa" w:w="2600"/>
            <w:shd w:fill="F2F2F2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b/>
                <w:bCs/>
                <w:color w:val="1A1A1A"/>
                <w:sz w:val="17"/>
                <w:szCs w:val="17"/>
              </w:rPr>
              <w:t xml:space="preserve">Artefacto</w:t>
            </w:r>
          </w:p>
        </w:tc>
        <w:tc>
          <w:tcPr>
            <w:tcW w:type="dxa" w:w="5930"/>
            <w:shd w:fill="F2F2F2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b/>
                <w:bCs/>
                <w:color w:val="1A1A1A"/>
                <w:sz w:val="17"/>
                <w:szCs w:val="17"/>
              </w:rPr>
              <w:t xml:space="preserve">Contenido</w:t>
            </w:r>
          </w:p>
        </w:tc>
        <w:tc>
          <w:tcPr>
            <w:tcW w:type="dxa" w:w="830"/>
            <w:shd w:fill="F2F2F2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b/>
                <w:bCs/>
                <w:color w:val="1A1A1A"/>
                <w:sz w:val="17"/>
                <w:szCs w:val="17"/>
              </w:rPr>
              <w:t xml:space="preserve">Estado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3A3A3A"/>
                <w:sz w:val="14"/>
                <w:szCs w:val="14"/>
              </w:rPr>
              <w:t xml:space="preserve">matriz-de-pruebas.md</w:t>
            </w:r>
          </w:p>
        </w:tc>
        <w:tc>
          <w:tcPr>
            <w:tcW w:type="dxa" w:w="593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color w:val="1A1A1A"/>
                <w:sz w:val="17"/>
                <w:szCs w:val="17"/>
              </w:rPr>
              <w:t xml:space="preserve">Trazabilidad RF-01…RF-62 y RNF-01…RNF-14 contra la prueba que verifica cada uno, sin maquillar los huecos</w:t>
            </w:r>
          </w:p>
        </w:tc>
        <w:tc>
          <w:tcPr>
            <w:tcW w:type="dxa" w:w="83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color w:val="1A1A1A"/>
                <w:sz w:val="17"/>
                <w:szCs w:val="17"/>
              </w:rPr>
              <w:t xml:space="preserve">✅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3A3A3A"/>
                <w:sz w:val="14"/>
                <w:szCs w:val="14"/>
              </w:rPr>
              <w:t xml:space="preserve">manual-de-usuario.md</w:t>
            </w:r>
            <w:r>
              <w:rPr>
                <w:color w:val="1A1A1A"/>
                <w:sz w:val="17"/>
                <w:szCs w:val="17"/>
              </w:rPr>
              <w:t xml:space="preserve"> + PDF</w:t>
            </w:r>
          </w:p>
        </w:tc>
        <w:tc>
          <w:tcPr>
            <w:tcW w:type="dxa" w:w="593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color w:val="1A1A1A"/>
                <w:sz w:val="17"/>
                <w:szCs w:val="17"/>
              </w:rPr>
              <w:t xml:space="preserve">Manual del panel para personal no técnico (RNF-14), 24 páginas, </w:t>
            </w:r>
            <w:r>
              <w:rPr>
                <w:b/>
                <w:bCs/>
                <w:color w:val="1A1A1A"/>
                <w:sz w:val="17"/>
                <w:szCs w:val="17"/>
              </w:rPr>
              <w:t xml:space="preserve">11 capturas del panel real</w:t>
            </w:r>
          </w:p>
        </w:tc>
        <w:tc>
          <w:tcPr>
            <w:tcW w:type="dxa" w:w="83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color w:val="1A1A1A"/>
                <w:sz w:val="17"/>
                <w:szCs w:val="17"/>
              </w:rPr>
              <w:t xml:space="preserve">✅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3A3A3A"/>
                <w:sz w:val="14"/>
                <w:szCs w:val="14"/>
              </w:rPr>
              <w:t xml:space="preserve">diagramas/</w:t>
            </w:r>
          </w:p>
        </w:tc>
        <w:tc>
          <w:tcPr>
            <w:tcW w:type="dxa" w:w="593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color w:val="1A1A1A"/>
                <w:sz w:val="17"/>
                <w:szCs w:val="17"/>
              </w:rPr>
              <w:t xml:space="preserve">7 diagramas UML y BPMN en PNG con sus fuentes PlantUML editables. El modelo de datos se verificó </w:t>
            </w:r>
            <w:r>
              <w:rPr>
                <w:b/>
                <w:bCs/>
                <w:color w:val="1A1A1A"/>
                <w:sz w:val="17"/>
                <w:szCs w:val="17"/>
              </w:rPr>
              <w:t xml:space="preserve">contra las migraciones reales</w:t>
            </w:r>
            <w:r>
              <w:rPr>
                <w:color w:val="1A1A1A"/>
                <w:sz w:val="17"/>
                <w:szCs w:val="17"/>
              </w:rPr>
              <w:t xml:space="preserve">, no contra lo que se pensaba construir</w:t>
            </w:r>
          </w:p>
        </w:tc>
        <w:tc>
          <w:tcPr>
            <w:tcW w:type="dxa" w:w="83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color w:val="1A1A1A"/>
                <w:sz w:val="17"/>
                <w:szCs w:val="17"/>
              </w:rPr>
              <w:t xml:space="preserve">✅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3A3A3A"/>
                <w:sz w:val="14"/>
                <w:szCs w:val="14"/>
              </w:rPr>
              <w:t xml:space="preserve">base-de-datos/</w:t>
            </w:r>
          </w:p>
        </w:tc>
        <w:tc>
          <w:tcPr>
            <w:tcW w:type="dxa" w:w="593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color w:val="1A1A1A"/>
                <w:sz w:val="17"/>
                <w:szCs w:val="17"/>
              </w:rPr>
              <w:t xml:space="preserve">Esquema y datos de demostración exportados (</w:t>
            </w:r>
            <w:r>
              <w:rPr>
                <w:rFonts w:ascii="Consolas" w:cs="Consolas" w:eastAsia="Consolas" w:hAnsi="Consolas"/>
                <w:color w:val="3A3A3A"/>
                <w:sz w:val="14"/>
                <w:szCs w:val="14"/>
              </w:rPr>
              <w:t xml:space="preserve">esquema.sql</w:t>
            </w:r>
            <w:r>
              <w:rPr>
                <w:color w:val="1A1A1A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3A3A3A"/>
                <w:sz w:val="14"/>
                <w:szCs w:val="14"/>
              </w:rPr>
              <w:t xml:space="preserve">asobares-demo.sql</w:t>
            </w:r>
            <w:r>
              <w:rPr>
                <w:color w:val="1A1A1A"/>
                <w:sz w:val="17"/>
                <w:szCs w:val="17"/>
              </w:rPr>
              <w:t xml:space="preserve">)</w:t>
            </w:r>
          </w:p>
        </w:tc>
        <w:tc>
          <w:tcPr>
            <w:tcW w:type="dxa" w:w="83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color w:val="1A1A1A"/>
                <w:sz w:val="17"/>
                <w:szCs w:val="17"/>
              </w:rPr>
              <w:t xml:space="preserve">✅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3A3A3A"/>
                <w:sz w:val="14"/>
                <w:szCs w:val="14"/>
              </w:rPr>
              <w:t xml:space="preserve">medicion-de-rendimiento.md</w:t>
            </w:r>
          </w:p>
        </w:tc>
        <w:tc>
          <w:tcPr>
            <w:tcW w:type="dxa" w:w="593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b/>
                <w:bCs/>
                <w:color w:val="1A1A1A"/>
                <w:sz w:val="17"/>
                <w:szCs w:val="17"/>
              </w:rPr>
              <w:t xml:space="preserve">78 mediciones, 0 errores</w:t>
            </w:r>
            <w:r>
              <w:rPr>
                <w:color w:val="1A1A1A"/>
                <w:sz w:val="17"/>
                <w:szCs w:val="17"/>
              </w:rPr>
              <w:t xml:space="preserve">, con Chromium real vía CDP</w:t>
            </w:r>
          </w:p>
        </w:tc>
        <w:tc>
          <w:tcPr>
            <w:tcW w:type="dxa" w:w="83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color w:val="1A1A1A"/>
                <w:sz w:val="17"/>
                <w:szCs w:val="17"/>
              </w:rPr>
              <w:t xml:space="preserve">✅</w:t>
            </w:r>
          </w:p>
        </w:tc>
      </w:tr>
    </w:tbl>
    <w:p>
      <w:pPr>
        <w:spacing w:after="200"/>
      </w:pPr>
    </w:p>
    <w:p>
      <w:pPr>
        <w:spacing w:after="140" w:line="288"/>
        <w:jc w:val="both"/>
      </w:pPr>
      <w:r>
        <w:rPr>
          <w:b/>
          <w:bCs/>
          <w:color w:val="1A1A1A"/>
          <w:sz w:val="20"/>
          <w:szCs w:val="20"/>
        </w:rPr>
        <w:t xml:space="preserve">El resultado de la medición cierra el RNF-02</w:t>
      </w:r>
      <w:r>
        <w:rPr>
          <w:color w:val="1A1A1A"/>
          <w:sz w:val="20"/>
          <w:szCs w:val="20"/>
        </w:rPr>
        <w:t xml:space="preserve">, que hasta entonces era una afirmación sin respaldo: la portada pinta su elemento principal en </w:t>
      </w:r>
      <w:r>
        <w:rPr>
          <w:b/>
          <w:bCs/>
          <w:color w:val="1A1A1A"/>
          <w:sz w:val="20"/>
          <w:szCs w:val="20"/>
        </w:rPr>
        <w:t xml:space="preserve">972 ms sobre 4G móvil emulado</w:t>
      </w:r>
      <w:r>
        <w:rPr>
          <w:color w:val="1A1A1A"/>
          <w:sz w:val="20"/>
          <w:szCs w:val="20"/>
        </w:rPr>
        <w:t xml:space="preserve">, contra un techo contractual de 2.500 ms. Ninguna de las doce rutas públicas lo incumple. La más lenta es </w:t>
      </w:r>
      <w:r>
        <w:rPr>
          <w:rFonts w:ascii="Consolas" w:cs="Consolas" w:eastAsia="Consolas" w:hAnsi="Consolas"/>
          <w:color w:val="3A3A3A"/>
          <w:sz w:val="17"/>
          <w:szCs w:val="17"/>
        </w:rPr>
        <w:t xml:space="preserve">/boletin</w:t>
      </w:r>
      <w:r>
        <w:rPr>
          <w:color w:val="1A1A1A"/>
          <w:sz w:val="20"/>
          <w:szCs w:val="20"/>
        </w:rPr>
        <w:t xml:space="preserve">, con 2.132 ms — cumple, pero es la primera que hay que vigilar si crece el contenido.</w:t>
      </w:r>
    </w:p>
    <w:p>
      <w:pPr>
        <w:spacing w:after="140" w:line="288"/>
        <w:jc w:val="both"/>
      </w:pPr>
      <w:r>
        <w:rPr>
          <w:color w:val="1A1A1A"/>
          <w:sz w:val="20"/>
          <w:szCs w:val="20"/>
        </w:rPr>
        <w:t xml:space="preserve">Se produjeron además las </w:t>
      </w:r>
      <w:r>
        <w:rPr>
          <w:b/>
          <w:bCs/>
          <w:color w:val="1A1A1A"/>
          <w:sz w:val="20"/>
          <w:szCs w:val="20"/>
        </w:rPr>
        <w:t xml:space="preserve">tres constancias</w:t>
      </w:r>
      <w:r>
        <w:rPr>
          <w:color w:val="1A1A1A"/>
          <w:sz w:val="20"/>
          <w:szCs w:val="20"/>
        </w:rPr>
        <w:t xml:space="preserve"> que el gremio tiene que firmar: Acta 01 (aprobación del diseño de interfaz, hito de la S2 que nunca se formalizó), Acta 02 (constancia de capacitación, S8) y Formato 03 (retroalimentación del empresario, que es a la vez la evidencia que el corte 2 califica y la apertura del registro de hallazgos de la S7).</w:t>
      </w:r>
    </w:p>
    <w:p>
      <w:pPr>
        <w:pStyle w:val="Heading3"/>
        <w:spacing w:after="120" w:before="260"/>
      </w:pPr>
      <w:r>
        <w:rPr>
          <w:b/>
          <w:bCs/>
          <w:color w:val="1A1A1A"/>
          <w:sz w:val="21"/>
          <w:szCs w:val="21"/>
        </w:rPr>
        <w:t xml:space="preserve">3.5 Despliegue preparado a un comando · 19 ago · </w:t>
      </w:r>
      <w:r>
        <w:rPr>
          <w:b/>
          <w:bCs/>
          <w:color w:val="1A1A1A"/>
          <w:sz w:val="21"/>
          <w:szCs w:val="21"/>
        </w:rPr>
        <w:t xml:space="preserve">bloque P1</w:t>
      </w:r>
    </w:p>
    <w:p>
      <w:pPr>
        <w:spacing w:after="140" w:line="288"/>
        <w:jc w:val="both"/>
      </w:pPr>
      <w:r>
        <w:rPr>
          <w:color w:val="1A1A1A"/>
          <w:sz w:val="20"/>
          <w:szCs w:val="20"/>
        </w:rPr>
        <w:t xml:space="preserve">El despliegue quedó escrito, probado y reducido a ejecución. Se entregan un </w:t>
      </w:r>
      <w:r>
        <w:rPr>
          <w:b/>
          <w:bCs/>
          <w:color w:val="1A1A1A"/>
          <w:sz w:val="20"/>
          <w:szCs w:val="20"/>
        </w:rPr>
        <w:t xml:space="preserve">runbook de 512 líneas</w:t>
      </w:r>
      <w:r>
        <w:rPr>
          <w:color w:val="1A1A1A"/>
          <w:sz w:val="20"/>
          <w:szCs w:val="20"/>
        </w:rPr>
        <w:t xml:space="preserve"> y un </w:t>
      </w:r>
      <w:r>
        <w:rPr>
          <w:rFonts w:ascii="Consolas" w:cs="Consolas" w:eastAsia="Consolas" w:hAnsi="Consolas"/>
          <w:color w:val="3A3A3A"/>
          <w:sz w:val="17"/>
          <w:szCs w:val="17"/>
        </w:rPr>
        <w:t xml:space="preserve">.env.staging.example</w:t>
      </w:r>
      <w:r>
        <w:rPr>
          <w:color w:val="1A1A1A"/>
          <w:sz w:val="20"/>
          <w:szCs w:val="20"/>
        </w:rPr>
        <w:t xml:space="preserve"> de </w:t>
      </w:r>
      <w:r>
        <w:rPr>
          <w:b/>
          <w:bCs/>
          <w:color w:val="1A1A1A"/>
          <w:sz w:val="20"/>
          <w:szCs w:val="20"/>
        </w:rPr>
        <w:t xml:space="preserve">52 variables</w:t>
      </w:r>
      <w:r>
        <w:rPr>
          <w:color w:val="1A1A1A"/>
          <w:sz w:val="20"/>
          <w:szCs w:val="20"/>
        </w:rPr>
        <w:t xml:space="preserve">, y la suite vigila que ninguno de los dos se quede atrás del código.</w:t>
      </w:r>
    </w:p>
    <w:p>
      <w:pPr>
        <w:spacing w:after="140" w:line="288"/>
        <w:jc w:val="both"/>
      </w:pPr>
      <w:r>
        <w:rPr>
          <w:color w:val="1A1A1A"/>
          <w:sz w:val="20"/>
          <w:szCs w:val="20"/>
        </w:rPr>
        <w:t xml:space="preserve">Al preparar el despliegue aparecieron </w:t>
      </w:r>
      <w:r>
        <w:rPr>
          <w:b/>
          <w:bCs/>
          <w:color w:val="1A1A1A"/>
          <w:sz w:val="20"/>
          <w:szCs w:val="20"/>
        </w:rPr>
        <w:t xml:space="preserve">cuatro defectos que ningún documento registraba</w:t>
      </w:r>
      <w:r>
        <w:rPr>
          <w:color w:val="1A1A1A"/>
          <w:sz w:val="20"/>
          <w:szCs w:val="20"/>
        </w:rPr>
        <w:t xml:space="preserve">, y tres de ellos </w:t>
      </w:r>
      <w:r>
        <w:rPr>
          <w:b/>
          <w:bCs/>
          <w:color w:val="1A1A1A"/>
          <w:sz w:val="20"/>
          <w:szCs w:val="20"/>
        </w:rPr>
        <w:t xml:space="preserve">solo se habrían visto con la plataforma ya publicada</w:t>
      </w:r>
      <w:r>
        <w:rPr>
          <w:color w:val="1A1A1A"/>
          <w:sz w:val="20"/>
          <w:szCs w:val="20"/>
        </w:rPr>
        <w:t xml:space="preserve"> — es decir, en el peor momento posible: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b/>
          <w:bCs/>
          <w:color w:val="1A1A1A"/>
          <w:sz w:val="20"/>
          <w:szCs w:val="20"/>
        </w:rPr>
        <w:t xml:space="preserve">El buscador del directorio encontraba 4 de cada 10 establecimientos.</w:t>
      </w:r>
      <w:r>
        <w:rPr>
          <w:color w:val="1A1A1A"/>
          <w:sz w:val="20"/>
          <w:szCs w:val="20"/>
        </w:rPr>
        <w:t xml:space="preserve"> </w:t>
      </w:r>
      <w:r>
        <w:rPr>
          <w:rFonts w:ascii="Consolas" w:cs="Consolas" w:eastAsia="Consolas" w:hAnsi="Consolas"/>
          <w:color w:val="3A3A3A"/>
          <w:sz w:val="17"/>
          <w:szCs w:val="17"/>
        </w:rPr>
        <w:t xml:space="preserve">LIKE</w:t>
      </w:r>
      <w:r>
        <w:rPr>
          <w:color w:val="1A1A1A"/>
          <w:sz w:val="20"/>
          <w:szCs w:val="20"/>
        </w:rPr>
        <w:t xml:space="preserve"> es insensible a mayúsculas en SQLite y sensible en PostgreSQL. Medido contra el motor real: </w:t>
      </w:r>
      <w:r>
        <w:rPr>
          <w:rFonts w:ascii="Consolas" w:cs="Consolas" w:eastAsia="Consolas" w:hAnsi="Consolas"/>
          <w:color w:val="3A3A3A"/>
          <w:sz w:val="17"/>
          <w:szCs w:val="17"/>
        </w:rPr>
        <w:t xml:space="preserve">like '%bar%'</w:t>
      </w:r>
      <w:r>
        <w:rPr>
          <w:color w:val="1A1A1A"/>
          <w:sz w:val="20"/>
          <w:szCs w:val="20"/>
        </w:rPr>
        <w:t xml:space="preserve"> devuelve 4 filas; </w:t>
      </w:r>
      <w:r>
        <w:rPr>
          <w:rFonts w:ascii="Consolas" w:cs="Consolas" w:eastAsia="Consolas" w:hAnsi="Consolas"/>
          <w:color w:val="3A3A3A"/>
          <w:sz w:val="17"/>
          <w:szCs w:val="17"/>
        </w:rPr>
        <w:t xml:space="preserve">ilike</w:t>
      </w:r>
      <w:r>
        <w:rPr>
          <w:color w:val="1A1A1A"/>
          <w:sz w:val="20"/>
          <w:szCs w:val="20"/>
        </w:rPr>
        <w:t xml:space="preserve">, 10. La suite corre sobre SQLite, así que ninguna prueba lo veía. La prueba nueva </w:t>
      </w:r>
      <w:r>
        <w:rPr>
          <w:b/>
          <w:bCs/>
          <w:color w:val="1A1A1A"/>
          <w:sz w:val="20"/>
          <w:szCs w:val="20"/>
        </w:rPr>
        <w:t xml:space="preserve">afirma la SQL emitida por cada gramática</w:t>
      </w:r>
      <w:r>
        <w:rPr>
          <w:color w:val="1A1A1A"/>
          <w:sz w:val="20"/>
          <w:szCs w:val="20"/>
        </w:rPr>
        <w:t xml:space="preserve">, no el resultado, porque una prueba de comportamiento habría salido verde con el código roto.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b/>
          <w:bCs/>
          <w:color w:val="1A1A1A"/>
          <w:sz w:val="20"/>
          <w:szCs w:val="20"/>
        </w:rPr>
        <w:t xml:space="preserve">La política obvia del bucket reabría un agujero ya cerrado:</w:t>
      </w:r>
      <w:r>
        <w:rPr>
          <w:color w:val="1A1A1A"/>
          <w:sz w:val="20"/>
          <w:szCs w:val="20"/>
        </w:rPr>
        <w:t xml:space="preserve"> conceder </w:t>
      </w:r>
      <w:r>
        <w:rPr>
          <w:rFonts w:ascii="Consolas" w:cs="Consolas" w:eastAsia="Consolas" w:hAnsi="Consolas"/>
          <w:color w:val="3A3A3A"/>
          <w:sz w:val="17"/>
          <w:szCs w:val="17"/>
        </w:rPr>
        <w:t xml:space="preserve">s3:GetObject</w:t>
      </w:r>
      <w:r>
        <w:rPr>
          <w:color w:val="1A1A1A"/>
          <w:sz w:val="20"/>
          <w:szCs w:val="20"/>
        </w:rPr>
        <w:t xml:space="preserve"> sobre todo el bucket deja los formatos oficiales de la guía normativa descargables por URL directa, sin pasar por el controlador que comprueba si el requisito está publicado. Medido: 200. Acotada al prefijo </w:t>
      </w:r>
      <w:r>
        <w:rPr>
          <w:rFonts w:ascii="Consolas" w:cs="Consolas" w:eastAsia="Consolas" w:hAnsi="Consolas"/>
          <w:color w:val="3A3A3A"/>
          <w:sz w:val="17"/>
          <w:szCs w:val="17"/>
        </w:rPr>
        <w:t xml:space="preserve">publico/</w:t>
      </w:r>
      <w:r>
        <w:rPr>
          <w:color w:val="1A1A1A"/>
          <w:sz w:val="20"/>
          <w:szCs w:val="20"/>
        </w:rPr>
        <w:t xml:space="preserve">: 403.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b/>
          <w:bCs/>
          <w:color w:val="1A1A1A"/>
          <w:sz w:val="20"/>
          <w:szCs w:val="20"/>
        </w:rPr>
        <w:t xml:space="preserve">La coraza de configuración protegía el entorno equivocado:</w:t>
      </w:r>
      <w:r>
        <w:rPr>
          <w:color w:val="1A1A1A"/>
          <w:sz w:val="20"/>
          <w:szCs w:val="20"/>
        </w:rPr>
        <w:t xml:space="preserve"> estaba atada a </w:t>
      </w:r>
      <w:r>
        <w:rPr>
          <w:rFonts w:ascii="Consolas" w:cs="Consolas" w:eastAsia="Consolas" w:hAnsi="Consolas"/>
          <w:color w:val="3A3A3A"/>
          <w:sz w:val="17"/>
          <w:szCs w:val="17"/>
        </w:rPr>
        <w:t xml:space="preserve">production</w:t>
      </w:r>
      <w:r>
        <w:rPr>
          <w:color w:val="1A1A1A"/>
          <w:sz w:val="20"/>
          <w:szCs w:val="20"/>
        </w:rPr>
        <w:t xml:space="preserve"> y el despliegue usa </w:t>
      </w:r>
      <w:r>
        <w:rPr>
          <w:rFonts w:ascii="Consolas" w:cs="Consolas" w:eastAsia="Consolas" w:hAnsi="Consolas"/>
          <w:color w:val="3A3A3A"/>
          <w:sz w:val="17"/>
          <w:szCs w:val="17"/>
        </w:rPr>
        <w:t xml:space="preserve">APP_ENV=staging</w:t>
      </w:r>
      <w:r>
        <w:rPr>
          <w:color w:val="1A1A1A"/>
          <w:sz w:val="20"/>
          <w:szCs w:val="20"/>
        </w:rPr>
        <w:t xml:space="preserve">. El único entorno realmente expuesto era justo el que no se endurecía.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b/>
          <w:bCs/>
          <w:color w:val="1A1A1A"/>
          <w:sz w:val="20"/>
          <w:szCs w:val="20"/>
        </w:rPr>
        <w:t xml:space="preserve">Seis advertencias de seguridad activas</w:t>
      </w:r>
      <w:r>
        <w:rPr>
          <w:color w:val="1A1A1A"/>
          <w:sz w:val="20"/>
          <w:szCs w:val="20"/>
        </w:rPr>
        <w:t xml:space="preserve"> en </w:t>
      </w:r>
      <w:r>
        <w:rPr>
          <w:rFonts w:ascii="Consolas" w:cs="Consolas" w:eastAsia="Consolas" w:hAnsi="Consolas"/>
          <w:color w:val="3A3A3A"/>
          <w:sz w:val="17"/>
          <w:szCs w:val="17"/>
        </w:rPr>
        <w:t xml:space="preserve">league/commonmark</w:t>
      </w:r>
      <w:r>
        <w:rPr>
          <w:color w:val="1A1A1A"/>
          <w:sz w:val="20"/>
          <w:szCs w:val="20"/>
        </w:rPr>
        <w:t xml:space="preserve">, tres de severidad alta, en el camino de los cinco correos transaccionales. Se cerraron dentro de la restricción que ya declaraba Laravel; </w:t>
      </w:r>
      <w:r>
        <w:rPr>
          <w:rFonts w:ascii="Consolas" w:cs="Consolas" w:eastAsia="Consolas" w:hAnsi="Consolas"/>
          <w:color w:val="3A3A3A"/>
          <w:sz w:val="17"/>
          <w:szCs w:val="17"/>
        </w:rPr>
        <w:t xml:space="preserve">composer audit</w:t>
      </w:r>
      <w:r>
        <w:rPr>
          <w:color w:val="1A1A1A"/>
          <w:sz w:val="20"/>
          <w:szCs w:val="20"/>
        </w:rPr>
        <w:t xml:space="preserve"> sale limpio.</w:t>
      </w:r>
    </w:p>
    <w:p>
      <w:pPr>
        <w:pStyle w:val="Heading3"/>
        <w:spacing w:after="120" w:before="260"/>
      </w:pPr>
      <w:r>
        <w:rPr>
          <w:b/>
          <w:bCs/>
          <w:color w:val="1A1A1A"/>
          <w:sz w:val="21"/>
          <w:szCs w:val="21"/>
        </w:rPr>
        <w:t xml:space="preserve">3.6 Cierre de los dos pendientes que la auditoría dejó en mi bloque · 20 ago · </w:t>
      </w:r>
      <w:r>
        <w:rPr>
          <w:b/>
          <w:bCs/>
          <w:color w:val="1A1A1A"/>
          <w:sz w:val="21"/>
          <w:szCs w:val="21"/>
        </w:rPr>
        <w:t xml:space="preserve">bloque P1</w:t>
      </w:r>
    </w:p>
    <w:p>
      <w:pPr>
        <w:spacing w:after="140" w:line="288"/>
        <w:jc w:val="both"/>
      </w:pPr>
      <w:r>
        <w:rPr>
          <w:color w:val="1A1A1A"/>
          <w:sz w:val="20"/>
          <w:szCs w:val="20"/>
        </w:rPr>
        <w:t xml:space="preserve">Tres commits, con la suite completa verde antes y después.</w:t>
      </w:r>
    </w:p>
    <w:p>
      <w:pPr>
        <w:spacing w:after="140" w:line="288"/>
        <w:jc w:val="both"/>
      </w:pPr>
      <w:r>
        <w:rPr>
          <w:b/>
          <w:bCs/>
          <w:color w:val="1A1A1A"/>
          <w:sz w:val="20"/>
          <w:szCs w:val="20"/>
        </w:rPr>
        <w:t xml:space="preserve">a) El </w:t>
      </w:r>
      <w:r>
        <w:rPr>
          <w:rFonts w:ascii="Consolas" w:cs="Consolas" w:eastAsia="Consolas" w:hAnsi="Consolas"/>
          <w:b/>
          <w:bCs/>
          <w:color w:val="3A3A3A"/>
          <w:sz w:val="17"/>
          <w:szCs w:val="17"/>
        </w:rPr>
        <w:t xml:space="preserve">CreateAction</w:t>
      </w:r>
      <w:r>
        <w:rPr>
          <w:b/>
          <w:bCs/>
          <w:color w:val="1A1A1A"/>
          <w:sz w:val="20"/>
          <w:szCs w:val="20"/>
        </w:rPr>
        <w:t xml:space="preserve"> huérfano en Transacciones — corregido.</w:t>
      </w:r>
      <w:r>
        <w:rPr>
          <w:color w:val="1A1A1A"/>
          <w:sz w:val="20"/>
          <w:szCs w:val="20"/>
        </w:rPr>
        <w:t xml:space="preserve"> (</w:t>
      </w:r>
      <w:r>
        <w:rPr>
          <w:rFonts w:ascii="Consolas" w:cs="Consolas" w:eastAsia="Consolas" w:hAnsi="Consolas"/>
          <w:color w:val="3A3A3A"/>
          <w:sz w:val="17"/>
          <w:szCs w:val="17"/>
        </w:rPr>
        <w:t xml:space="preserve">b6418e0</w:t>
      </w:r>
      <w:r>
        <w:rPr>
          <w:color w:val="1A1A1A"/>
          <w:sz w:val="20"/>
          <w:szCs w:val="20"/>
        </w:rPr>
        <w:t xml:space="preserve">)</w:t>
      </w:r>
    </w:p>
    <w:p>
      <w:pPr>
        <w:spacing w:after="140" w:line="288"/>
        <w:jc w:val="both"/>
      </w:pPr>
      <w:r>
        <w:rPr>
          <w:rFonts w:ascii="Consolas" w:cs="Consolas" w:eastAsia="Consolas" w:hAnsi="Consolas"/>
          <w:color w:val="3A3A3A"/>
          <w:sz w:val="17"/>
          <w:szCs w:val="17"/>
        </w:rPr>
        <w:t xml:space="preserve">ListTransaccions.php</w:t>
      </w:r>
      <w:r>
        <w:rPr>
          <w:color w:val="1A1A1A"/>
          <w:sz w:val="20"/>
          <w:szCs w:val="20"/>
        </w:rPr>
        <w:t xml:space="preserve"> montaba un botón de crear sobre un recurso que solo declara la página </w:t>
      </w:r>
      <w:r>
        <w:rPr>
          <w:rFonts w:ascii="Consolas" w:cs="Consolas" w:eastAsia="Consolas" w:hAnsi="Consolas"/>
          <w:color w:val="3A3A3A"/>
          <w:sz w:val="17"/>
          <w:szCs w:val="17"/>
        </w:rPr>
        <w:t xml:space="preserve">index</w:t>
      </w:r>
      <w:r>
        <w:rPr>
          <w:color w:val="1A1A1A"/>
          <w:sz w:val="20"/>
          <w:szCs w:val="20"/>
        </w:rPr>
        <w:t xml:space="preserve">. El hallazgo de la auditoría es correcto, y al revisarlo resultó </w:t>
      </w:r>
      <w:r>
        <w:rPr>
          <w:b/>
          <w:bCs/>
          <w:color w:val="1A1A1A"/>
          <w:sz w:val="20"/>
          <w:szCs w:val="20"/>
        </w:rPr>
        <w:t xml:space="preserve">peor de lo reportado</w:t>
      </w:r>
      <w:r>
        <w:rPr>
          <w:color w:val="1A1A1A"/>
          <w:sz w:val="20"/>
          <w:szCs w:val="20"/>
        </w:rPr>
        <w:t xml:space="preserve">: no era solo un botón roto. Filament no se queda quieto ante un </w:t>
      </w:r>
      <w:r>
        <w:rPr>
          <w:rFonts w:ascii="Consolas" w:cs="Consolas" w:eastAsia="Consolas" w:hAnsi="Consolas"/>
          <w:color w:val="3A3A3A"/>
          <w:sz w:val="17"/>
          <w:szCs w:val="17"/>
        </w:rPr>
        <w:t xml:space="preserve">CreateAction</w:t>
      </w:r>
      <w:r>
        <w:rPr>
          <w:color w:val="1A1A1A"/>
          <w:sz w:val="20"/>
          <w:szCs w:val="20"/>
        </w:rPr>
        <w:t xml:space="preserve"> sin página de destino — abre el formulario del recurso en un modal. Es decir, el botón estaba concediendo justo lo que el resto del sistema prohíbe: </w:t>
      </w:r>
      <w:r>
        <w:rPr>
          <w:b/>
          <w:bCs/>
          <w:color w:val="1A1A1A"/>
          <w:sz w:val="20"/>
          <w:szCs w:val="20"/>
        </w:rPr>
        <w:t xml:space="preserve">que el personal fabricara a mano un cobro que la pasarela nunca hizo</w:t>
      </w:r>
      <w:r>
        <w:rPr>
          <w:color w:val="1A1A1A"/>
          <w:sz w:val="20"/>
          <w:szCs w:val="20"/>
        </w:rPr>
        <w:t xml:space="preserve">. Es la misma frontera que el hallazgo G9 ya guarda del lado de las inscripciones. Se retiró la acción y se añadieron </w:t>
      </w:r>
      <w:r>
        <w:rPr>
          <w:b/>
          <w:bCs/>
          <w:color w:val="1A1A1A"/>
          <w:sz w:val="20"/>
          <w:szCs w:val="20"/>
        </w:rPr>
        <w:t xml:space="preserve">dos pruebas</w:t>
      </w:r>
      <w:r>
        <w:rPr>
          <w:color w:val="1A1A1A"/>
          <w:sz w:val="20"/>
          <w:szCs w:val="20"/>
        </w:rPr>
        <w:t xml:space="preserve"> que fijan el recurso como de solo lectura por los dos lados.</w:t>
      </w:r>
    </w:p>
    <w:p>
      <w:pPr>
        <w:spacing w:after="140" w:line="288"/>
        <w:jc w:val="both"/>
      </w:pPr>
      <w:r>
        <w:rPr>
          <w:b/>
          <w:bCs/>
          <w:color w:val="1A1A1A"/>
          <w:sz w:val="20"/>
          <w:szCs w:val="20"/>
        </w:rPr>
        <w:t xml:space="preserve">b) Las extensiones de PHP no declaradas — corregido, y con el diagnóstico rectificado.</w:t>
      </w:r>
      <w:r>
        <w:rPr>
          <w:color w:val="1A1A1A"/>
          <w:sz w:val="20"/>
          <w:szCs w:val="20"/>
        </w:rPr>
        <w:t xml:space="preserve"> (</w:t>
      </w:r>
      <w:r>
        <w:rPr>
          <w:rFonts w:ascii="Consolas" w:cs="Consolas" w:eastAsia="Consolas" w:hAnsi="Consolas"/>
          <w:color w:val="3A3A3A"/>
          <w:sz w:val="17"/>
          <w:szCs w:val="17"/>
        </w:rPr>
        <w:t xml:space="preserve">3f612fa</w:t>
      </w:r>
      <w:r>
        <w:rPr>
          <w:color w:val="1A1A1A"/>
          <w:sz w:val="20"/>
          <w:szCs w:val="20"/>
        </w:rPr>
        <w:t xml:space="preserve">)</w:t>
      </w:r>
    </w:p>
    <w:p>
      <w:pPr>
        <w:spacing w:after="140" w:line="288"/>
        <w:jc w:val="both"/>
      </w:pPr>
      <w:r>
        <w:rPr>
          <w:color w:val="1A1A1A"/>
          <w:sz w:val="20"/>
          <w:szCs w:val="20"/>
        </w:rPr>
        <w:t xml:space="preserve">El bloqueo que costó media jornada a la Persona 2 fue que su PHP (Herd Lite) no trae </w:t>
      </w:r>
      <w:r>
        <w:rPr>
          <w:rFonts w:ascii="Consolas" w:cs="Consolas" w:eastAsia="Consolas" w:hAnsi="Consolas"/>
          <w:color w:val="3A3A3A"/>
          <w:sz w:val="17"/>
          <w:szCs w:val="17"/>
        </w:rPr>
        <w:t xml:space="preserve">intl</w:t>
      </w:r>
      <w:r>
        <w:rPr>
          <w:color w:val="1A1A1A"/>
          <w:sz w:val="20"/>
          <w:szCs w:val="20"/>
        </w:rPr>
        <w:t xml:space="preserve"> ni </w:t>
      </w:r>
      <w:r>
        <w:rPr>
          <w:rFonts w:ascii="Consolas" w:cs="Consolas" w:eastAsia="Consolas" w:hAnsi="Consolas"/>
          <w:color w:val="3A3A3A"/>
          <w:sz w:val="17"/>
          <w:szCs w:val="17"/>
        </w:rPr>
        <w:t xml:space="preserve">gd</w:t>
      </w:r>
      <w:r>
        <w:rPr>
          <w:color w:val="1A1A1A"/>
          <w:sz w:val="20"/>
          <w:szCs w:val="20"/>
        </w:rPr>
        <w:t xml:space="preserve">, y la suite le devolvió 194 pruebas rotas </w:t>
      </w:r>
      <w:r>
        <w:rPr>
          <w:b/>
          <w:bCs/>
          <w:color w:val="1A1A1A"/>
          <w:sz w:val="20"/>
          <w:szCs w:val="20"/>
        </w:rPr>
        <w:t xml:space="preserve">350 segundos después</w:t>
      </w:r>
      <w:r>
        <w:rPr>
          <w:color w:val="1A1A1A"/>
          <w:sz w:val="20"/>
          <w:szCs w:val="20"/>
        </w:rPr>
        <w:t xml:space="preserve"> en lugar de un error inmediato.</w:t>
      </w:r>
    </w:p>
    <w:p>
      <w:pPr>
        <w:spacing w:after="140" w:line="288"/>
        <w:jc w:val="both"/>
      </w:pPr>
      <w:r>
        <w:rPr>
          <w:color w:val="1A1A1A"/>
          <w:sz w:val="20"/>
          <w:szCs w:val="20"/>
        </w:rPr>
        <w:t xml:space="preserve">Al medirlo, la causa </w:t>
      </w:r>
      <w:r>
        <w:rPr>
          <w:b/>
          <w:bCs/>
          <w:color w:val="1A1A1A"/>
          <w:sz w:val="20"/>
          <w:szCs w:val="20"/>
        </w:rPr>
        <w:t xml:space="preserve">no era la que parecía</w:t>
      </w:r>
      <w:r>
        <w:rPr>
          <w:color w:val="1A1A1A"/>
          <w:sz w:val="20"/>
          <w:szCs w:val="20"/>
        </w:rPr>
        <w:t xml:space="preserve">: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rFonts w:ascii="Consolas" w:cs="Consolas" w:eastAsia="Consolas" w:hAnsi="Consolas"/>
          <w:color w:val="3A3A3A"/>
          <w:sz w:val="17"/>
          <w:szCs w:val="17"/>
        </w:rPr>
        <w:t xml:space="preserve">ext-intl</w:t>
      </w:r>
      <w:r>
        <w:rPr>
          <w:color w:val="1A1A1A"/>
          <w:sz w:val="20"/>
          <w:szCs w:val="20"/>
        </w:rPr>
        <w:t xml:space="preserve"> </w:t>
      </w:r>
      <w:r>
        <w:rPr>
          <w:b/>
          <w:bCs/>
          <w:color w:val="1A1A1A"/>
          <w:sz w:val="20"/>
          <w:szCs w:val="20"/>
        </w:rPr>
        <w:t xml:space="preserve">sí venía exigida</w:t>
      </w:r>
      <w:r>
        <w:rPr>
          <w:color w:val="1A1A1A"/>
          <w:sz w:val="20"/>
          <w:szCs w:val="20"/>
        </w:rPr>
        <w:t xml:space="preserve">, de forma transitiva, por </w:t>
      </w:r>
      <w:r>
        <w:rPr>
          <w:rFonts w:ascii="Consolas" w:cs="Consolas" w:eastAsia="Consolas" w:hAnsi="Consolas"/>
          <w:color w:val="3A3A3A"/>
          <w:sz w:val="17"/>
          <w:szCs w:val="17"/>
        </w:rPr>
        <w:t xml:space="preserve">filament/support</w:t>
      </w:r>
      <w:r>
        <w:rPr>
          <w:color w:val="1A1A1A"/>
          <w:sz w:val="20"/>
          <w:szCs w:val="20"/>
        </w:rPr>
        <w:t xml:space="preserve"> — está en el </w:t>
      </w:r>
      <w:r>
        <w:rPr>
          <w:rFonts w:ascii="Consolas" w:cs="Consolas" w:eastAsia="Consolas" w:hAnsi="Consolas"/>
          <w:color w:val="3A3A3A"/>
          <w:sz w:val="17"/>
          <w:szCs w:val="17"/>
        </w:rPr>
        <w:t xml:space="preserve">composer.lock</w:t>
      </w:r>
      <w:r>
        <w:rPr>
          <w:color w:val="1A1A1A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rFonts w:ascii="Consolas" w:cs="Consolas" w:eastAsia="Consolas" w:hAnsi="Consolas"/>
          <w:color w:val="3A3A3A"/>
          <w:sz w:val="17"/>
          <w:szCs w:val="17"/>
        </w:rPr>
        <w:t xml:space="preserve">ext-gd</w:t>
      </w:r>
      <w:r>
        <w:rPr>
          <w:color w:val="1A1A1A"/>
          <w:sz w:val="20"/>
          <w:szCs w:val="20"/>
        </w:rPr>
        <w:t xml:space="preserve"> </w:t>
      </w:r>
      <w:r>
        <w:rPr>
          <w:b/>
          <w:bCs/>
          <w:color w:val="1A1A1A"/>
          <w:sz w:val="20"/>
          <w:szCs w:val="20"/>
        </w:rPr>
        <w:t xml:space="preserve">no la pide nadie</w:t>
      </w:r>
      <w:r>
        <w:rPr>
          <w:color w:val="1A1A1A"/>
          <w:sz w:val="20"/>
          <w:szCs w:val="20"/>
        </w:rPr>
        <w:t xml:space="preserve"> en todo el árbol de dependencias: </w:t>
      </w:r>
      <w:r>
        <w:rPr>
          <w:rFonts w:ascii="Consolas" w:cs="Consolas" w:eastAsia="Consolas" w:hAnsi="Consolas"/>
          <w:color w:val="3A3A3A"/>
          <w:sz w:val="17"/>
          <w:szCs w:val="17"/>
        </w:rPr>
        <w:t xml:space="preserve">spatie/image</w:t>
      </w:r>
      <w:r>
        <w:rPr>
          <w:color w:val="1A1A1A"/>
          <w:sz w:val="20"/>
          <w:szCs w:val="20"/>
        </w:rPr>
        <w:t xml:space="preserve"> acepta Imagick como alternativa, así que nada la reclama.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color w:val="1A1A1A"/>
          <w:sz w:val="20"/>
          <w:szCs w:val="20"/>
        </w:rPr>
        <w:t xml:space="preserve">La raíz solo declaraba </w:t>
      </w:r>
      <w:r>
        <w:rPr>
          <w:rFonts w:ascii="Consolas" w:cs="Consolas" w:eastAsia="Consolas" w:hAnsi="Consolas"/>
          <w:color w:val="3A3A3A"/>
          <w:sz w:val="17"/>
          <w:szCs w:val="17"/>
        </w:rPr>
        <w:t xml:space="preserve">php: ^8.3</w:t>
      </w:r>
      <w:r>
        <w:rPr>
          <w:color w:val="1A1A1A"/>
          <w:sz w:val="20"/>
          <w:szCs w:val="20"/>
        </w:rPr>
        <w:t xml:space="preserve">, de modo que el bloque </w:t>
      </w:r>
      <w:r>
        <w:rPr>
          <w:rFonts w:ascii="Consolas" w:cs="Consolas" w:eastAsia="Consolas" w:hAnsi="Consolas"/>
          <w:color w:val="3A3A3A"/>
          <w:sz w:val="17"/>
          <w:szCs w:val="17"/>
        </w:rPr>
        <w:t xml:space="preserve">platform</w:t>
      </w:r>
      <w:r>
        <w:rPr>
          <w:color w:val="1A1A1A"/>
          <w:sz w:val="20"/>
          <w:szCs w:val="20"/>
        </w:rPr>
        <w:t xml:space="preserve"> del candado no nombraba ninguna de las dos. Y con el </w:t>
      </w:r>
      <w:r>
        <w:rPr>
          <w:rFonts w:ascii="Consolas" w:cs="Consolas" w:eastAsia="Consolas" w:hAnsi="Consolas"/>
          <w:color w:val="3A3A3A"/>
          <w:sz w:val="17"/>
          <w:szCs w:val="17"/>
        </w:rPr>
        <w:t xml:space="preserve">vendor/</w:t>
      </w:r>
      <w:r>
        <w:rPr>
          <w:color w:val="1A1A1A"/>
          <w:sz w:val="20"/>
          <w:szCs w:val="20"/>
        </w:rPr>
        <w:t xml:space="preserve"> ya instalado, </w:t>
      </w:r>
      <w:r>
        <w:rPr>
          <w:rFonts w:ascii="Consolas" w:cs="Consolas" w:eastAsia="Consolas" w:hAnsi="Consolas"/>
          <w:color w:val="3A3A3A"/>
          <w:sz w:val="17"/>
          <w:szCs w:val="17"/>
        </w:rPr>
        <w:t xml:space="preserve">composer install</w:t>
      </w:r>
      <w:r>
        <w:rPr>
          <w:color w:val="1A1A1A"/>
          <w:sz w:val="20"/>
          <w:szCs w:val="20"/>
        </w:rPr>
        <w:t xml:space="preserve"> ni siquiera vuelve a comprobar la plataforma. Por eso el fallo apareció en tiempo de ejecución y disfrazado de defecto funcional.</w:t>
      </w:r>
    </w:p>
    <w:p>
      <w:pPr>
        <w:spacing w:after="140" w:line="288"/>
        <w:jc w:val="both"/>
      </w:pPr>
      <w:r>
        <w:rPr>
          <w:color w:val="1A1A1A"/>
          <w:sz w:val="20"/>
          <w:szCs w:val="20"/>
        </w:rPr>
        <w:t xml:space="preserve">Se declararon en el </w:t>
      </w:r>
      <w:r>
        <w:rPr>
          <w:rFonts w:ascii="Consolas" w:cs="Consolas" w:eastAsia="Consolas" w:hAnsi="Consolas"/>
          <w:color w:val="3A3A3A"/>
          <w:sz w:val="17"/>
          <w:szCs w:val="17"/>
        </w:rPr>
        <w:t xml:space="preserve">require</w:t>
      </w:r>
      <w:r>
        <w:rPr>
          <w:color w:val="1A1A1A"/>
          <w:sz w:val="20"/>
          <w:szCs w:val="20"/>
        </w:rPr>
        <w:t xml:space="preserve"> de la raíz las cinco extensiones que el README exige en prosa desde el principio (</w:t>
      </w:r>
      <w:r>
        <w:rPr>
          <w:rFonts w:ascii="Consolas" w:cs="Consolas" w:eastAsia="Consolas" w:hAnsi="Consolas"/>
          <w:color w:val="3A3A3A"/>
          <w:sz w:val="17"/>
          <w:szCs w:val="17"/>
        </w:rPr>
        <w:t xml:space="preserve">intl</w:t>
      </w:r>
      <w:r>
        <w:rPr>
          <w:color w:val="1A1A1A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3A3A3A"/>
          <w:sz w:val="17"/>
          <w:szCs w:val="17"/>
        </w:rPr>
        <w:t xml:space="preserve">gd</w:t>
      </w:r>
      <w:r>
        <w:rPr>
          <w:color w:val="1A1A1A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3A3A3A"/>
          <w:sz w:val="17"/>
          <w:szCs w:val="17"/>
        </w:rPr>
        <w:t xml:space="preserve">exif</w:t>
      </w:r>
      <w:r>
        <w:rPr>
          <w:color w:val="1A1A1A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3A3A3A"/>
          <w:sz w:val="17"/>
          <w:szCs w:val="17"/>
        </w:rPr>
        <w:t xml:space="preserve">fileinfo</w:t>
      </w:r>
      <w:r>
        <w:rPr>
          <w:color w:val="1A1A1A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3A3A3A"/>
          <w:sz w:val="17"/>
          <w:szCs w:val="17"/>
        </w:rPr>
        <w:t xml:space="preserve">mbstring</w:t>
      </w:r>
      <w:r>
        <w:rPr>
          <w:color w:val="1A1A1A"/>
          <w:sz w:val="20"/>
          <w:szCs w:val="20"/>
        </w:rPr>
        <w:t xml:space="preserve">) y se regeneró el </w:t>
      </w:r>
      <w:r>
        <w:rPr>
          <w:rFonts w:ascii="Consolas" w:cs="Consolas" w:eastAsia="Consolas" w:hAnsi="Consolas"/>
          <w:color w:val="3A3A3A"/>
          <w:sz w:val="17"/>
          <w:szCs w:val="17"/>
        </w:rPr>
        <w:t xml:space="preserve">composer.lock</w:t>
      </w:r>
      <w:r>
        <w:rPr>
          <w:color w:val="1A1A1A"/>
          <w:sz w:val="20"/>
          <w:szCs w:val="20"/>
        </w:rPr>
        <w:t xml:space="preserve"> para que suban a su bloque </w:t>
      </w:r>
      <w:r>
        <w:rPr>
          <w:rFonts w:ascii="Consolas" w:cs="Consolas" w:eastAsia="Consolas" w:hAnsi="Consolas"/>
          <w:color w:val="3A3A3A"/>
          <w:sz w:val="17"/>
          <w:szCs w:val="17"/>
        </w:rPr>
        <w:t xml:space="preserve">platform</w:t>
      </w:r>
      <w:r>
        <w:rPr>
          <w:color w:val="1A1A1A"/>
          <w:sz w:val="20"/>
          <w:szCs w:val="20"/>
        </w:rPr>
        <w:t xml:space="preserve">, que es el que de verdad leen </w:t>
      </w:r>
      <w:r>
        <w:rPr>
          <w:rFonts w:ascii="Consolas" w:cs="Consolas" w:eastAsia="Consolas" w:hAnsi="Consolas"/>
          <w:color w:val="3A3A3A"/>
          <w:sz w:val="17"/>
          <w:szCs w:val="17"/>
        </w:rPr>
        <w:t xml:space="preserve">composer install</w:t>
      </w:r>
      <w:r>
        <w:rPr>
          <w:color w:val="1A1A1A"/>
          <w:sz w:val="20"/>
          <w:szCs w:val="20"/>
        </w:rPr>
        <w:t xml:space="preserve"> y </w:t>
      </w:r>
      <w:r>
        <w:rPr>
          <w:rFonts w:ascii="Consolas" w:cs="Consolas" w:eastAsia="Consolas" w:hAnsi="Consolas"/>
          <w:color w:val="3A3A3A"/>
          <w:sz w:val="17"/>
          <w:szCs w:val="17"/>
        </w:rPr>
        <w:t xml:space="preserve">composer check-platform-reqs</w:t>
      </w:r>
      <w:r>
        <w:rPr>
          <w:color w:val="1A1A1A"/>
          <w:sz w:val="20"/>
          <w:szCs w:val="20"/>
        </w:rPr>
        <w:t xml:space="preserve">. </w:t>
      </w:r>
      <w:r>
        <w:rPr>
          <w:b/>
          <w:bCs/>
          <w:color w:val="1A1A1A"/>
          <w:sz w:val="20"/>
          <w:szCs w:val="20"/>
        </w:rPr>
        <w:t xml:space="preserve">El diagnóstico pasa de media jornada a una línea de salida.</w:t>
      </w:r>
      <w:r>
        <w:rPr>
          <w:color w:val="1A1A1A"/>
          <w:sz w:val="20"/>
          <w:szCs w:val="20"/>
        </w:rPr>
        <w:t xml:space="preserve"> Se añadieron </w:t>
      </w:r>
      <w:r>
        <w:rPr>
          <w:b/>
          <w:bCs/>
          <w:color w:val="1A1A1A"/>
          <w:sz w:val="20"/>
          <w:szCs w:val="20"/>
        </w:rPr>
        <w:t xml:space="preserve">diez casos de prueba</w:t>
      </w:r>
      <w:r>
        <w:rPr>
          <w:color w:val="1A1A1A"/>
          <w:sz w:val="20"/>
          <w:szCs w:val="20"/>
        </w:rPr>
        <w:t xml:space="preserve"> que impiden que </w:t>
      </w:r>
      <w:r>
        <w:rPr>
          <w:rFonts w:ascii="Consolas" w:cs="Consolas" w:eastAsia="Consolas" w:hAnsi="Consolas"/>
          <w:color w:val="3A3A3A"/>
          <w:sz w:val="17"/>
          <w:szCs w:val="17"/>
        </w:rPr>
        <w:t xml:space="preserve">composer.json</w:t>
      </w:r>
      <w:r>
        <w:rPr>
          <w:color w:val="1A1A1A"/>
          <w:sz w:val="20"/>
          <w:szCs w:val="20"/>
        </w:rPr>
        <w:t xml:space="preserve"> y </w:t>
      </w:r>
      <w:r>
        <w:rPr>
          <w:rFonts w:ascii="Consolas" w:cs="Consolas" w:eastAsia="Consolas" w:hAnsi="Consolas"/>
          <w:color w:val="3A3A3A"/>
          <w:sz w:val="17"/>
          <w:szCs w:val="17"/>
        </w:rPr>
        <w:t xml:space="preserve">composer.lock</w:t>
      </w:r>
      <w:r>
        <w:rPr>
          <w:color w:val="1A1A1A"/>
          <w:sz w:val="20"/>
          <w:szCs w:val="20"/>
        </w:rPr>
        <w:t xml:space="preserve"> se vuelvan a separar — porque declararla sin regenerar el candado no sirve de nada.</w:t>
      </w:r>
    </w:p>
    <w:p>
      <w:pPr>
        <w:spacing w:after="140" w:line="288"/>
        <w:jc w:val="both"/>
      </w:pPr>
      <w:r>
        <w:rPr>
          <w:b/>
          <w:bCs/>
          <w:color w:val="1A1A1A"/>
          <w:sz w:val="20"/>
          <w:szCs w:val="20"/>
        </w:rPr>
        <w:t xml:space="preserve">c) El verde, reproducido fuera de casa.</w:t>
      </w:r>
      <w:r>
        <w:rPr>
          <w:color w:val="1A1A1A"/>
          <w:sz w:val="20"/>
          <w:szCs w:val="20"/>
        </w:rPr>
        <w:t xml:space="preserve"> (</w:t>
      </w:r>
      <w:r>
        <w:rPr>
          <w:rFonts w:ascii="Consolas" w:cs="Consolas" w:eastAsia="Consolas" w:hAnsi="Consolas"/>
          <w:color w:val="3A3A3A"/>
          <w:sz w:val="17"/>
          <w:szCs w:val="17"/>
        </w:rPr>
        <w:t xml:space="preserve">278638b</w:t>
      </w:r>
      <w:r>
        <w:rPr>
          <w:color w:val="1A1A1A"/>
          <w:sz w:val="20"/>
          <w:szCs w:val="20"/>
        </w:rPr>
        <w:t xml:space="preserve">)</w:t>
      </w:r>
    </w:p>
    <w:p>
      <w:pPr>
        <w:spacing w:after="140" w:line="288"/>
        <w:jc w:val="both"/>
      </w:pPr>
      <w:r>
        <w:rPr>
          <w:color w:val="1A1A1A"/>
          <w:sz w:val="20"/>
          <w:szCs w:val="20"/>
        </w:rPr>
        <w:t xml:space="preserve">La matriz de pruebas citaba una corrida hecha sobre el árbol de trabajo. Una cifra que solo sale en una máquina no es evidencia. Se volvió a ejecutar la suite completa sobre un </w:t>
      </w:r>
      <w:r>
        <w:rPr>
          <w:b/>
          <w:bCs/>
          <w:color w:val="1A1A1A"/>
          <w:sz w:val="20"/>
          <w:szCs w:val="20"/>
        </w:rPr>
        <w:t xml:space="preserve">clon limpio de </w:t>
      </w:r>
      <w:r>
        <w:rPr>
          <w:rFonts w:ascii="Consolas" w:cs="Consolas" w:eastAsia="Consolas" w:hAnsi="Consolas"/>
          <w:b/>
          <w:bCs/>
          <w:color w:val="3A3A3A"/>
          <w:sz w:val="17"/>
          <w:szCs w:val="17"/>
        </w:rPr>
        <w:t xml:space="preserve">origin/main</w:t>
      </w:r>
      <w:r>
        <w:rPr>
          <w:color w:val="1A1A1A"/>
          <w:sz w:val="20"/>
          <w:szCs w:val="20"/>
        </w:rPr>
        <w:t xml:space="preserve"> en un entorno montado desde cero — PHP 8.4.21 con </w:t>
      </w:r>
      <w:r>
        <w:rPr>
          <w:rFonts w:ascii="Consolas" w:cs="Consolas" w:eastAsia="Consolas" w:hAnsi="Consolas"/>
          <w:color w:val="3A3A3A"/>
          <w:sz w:val="17"/>
          <w:szCs w:val="17"/>
        </w:rPr>
        <w:t xml:space="preserve">intl</w:t>
      </w:r>
      <w:r>
        <w:rPr>
          <w:color w:val="1A1A1A"/>
          <w:sz w:val="20"/>
          <w:szCs w:val="20"/>
        </w:rPr>
        <w:t xml:space="preserve"> y </w:t>
      </w:r>
      <w:r>
        <w:rPr>
          <w:rFonts w:ascii="Consolas" w:cs="Consolas" w:eastAsia="Consolas" w:hAnsi="Consolas"/>
          <w:color w:val="3A3A3A"/>
          <w:sz w:val="17"/>
          <w:szCs w:val="17"/>
        </w:rPr>
        <w:t xml:space="preserve">gd</w:t>
      </w:r>
      <w:r>
        <w:rPr>
          <w:color w:val="1A1A1A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3A3A3A"/>
          <w:sz w:val="17"/>
          <w:szCs w:val="17"/>
        </w:rPr>
        <w:t xml:space="preserve">composer install</w:t>
      </w:r>
      <w:r>
        <w:rPr>
          <w:color w:val="1A1A1A"/>
          <w:sz w:val="20"/>
          <w:szCs w:val="20"/>
        </w:rPr>
        <w:t xml:space="preserve"> y </w:t>
      </w:r>
      <w:r>
        <w:rPr>
          <w:rFonts w:ascii="Consolas" w:cs="Consolas" w:eastAsia="Consolas" w:hAnsi="Consolas"/>
          <w:color w:val="3A3A3A"/>
          <w:sz w:val="17"/>
          <w:szCs w:val="17"/>
        </w:rPr>
        <w:t xml:space="preserve">npm run build</w:t>
      </w:r>
      <w:r>
        <w:rPr>
          <w:color w:val="1A1A1A"/>
          <w:sz w:val="20"/>
          <w:szCs w:val="20"/>
        </w:rPr>
        <w:t xml:space="preserve"> de cero:</w:t>
      </w:r>
    </w:p>
    <w:p>
      <w:pPr>
        <w:pBdr>
          <w:left w:val="single" w:color="C0392B" w:sz="12" w:space="10"/>
        </w:pBdr>
        <w:spacing w:after="180" w:before="100" w:line="280"/>
        <w:ind w:left="300"/>
        <w:jc w:val="both"/>
      </w:pPr>
      <w:r>
        <w:rPr>
          <w:b/>
          <w:bCs/>
          <w:color w:val="5C5C5C"/>
          <w:sz w:val="19"/>
          <w:szCs w:val="19"/>
        </w:rPr>
        <w:t xml:space="preserve">759 casos · 748 pasan · 11 omitidas · 0 fallos · 2.733 aserciones · 193 s</w:t>
      </w:r>
    </w:p>
    <w:p>
      <w:pPr>
        <w:spacing w:after="140" w:line="288"/>
        <w:jc w:val="both"/>
      </w:pPr>
      <w:r>
        <w:rPr>
          <w:color w:val="1A1A1A"/>
          <w:sz w:val="20"/>
          <w:szCs w:val="20"/>
        </w:rPr>
        <w:t xml:space="preserve">La matriz quedó actualizada con esas cifras y con la nota que explica el entorno, para que nadie lea una mejora de rendimiento donde solo hay otro procesador.</w:t>
      </w:r>
    </w:p>
    <w:p>
      <w:pPr>
        <w:pBdr>
          <w:bottom w:val="single" w:color="D4D4D4" w:sz="4" w:space="4"/>
        </w:pBdr>
        <w:spacing w:after="160" w:before="60"/>
      </w:pPr>
    </w:p>
    <w:p>
      <w:pPr>
        <w:pStyle w:val="Heading2"/>
        <w:pBdr>
          <w:bottom w:val="single" w:color="D4D4D4" w:sz="6" w:space="6"/>
        </w:pBdr>
        <w:spacing w:after="160" w:before="360"/>
      </w:pPr>
      <w:r>
        <w:rPr>
          <w:b/>
          <w:bCs/>
          <w:color w:val="C0392B"/>
          <w:sz w:val="25"/>
          <w:szCs w:val="25"/>
        </w:rPr>
        <w:t xml:space="preserve">4. Estado verificable de la plataforma hoy</w:t>
      </w:r>
    </w:p>
    <w:p>
      <w:pPr>
        <w:spacing w:after="140" w:line="288"/>
        <w:jc w:val="both"/>
      </w:pPr>
      <w:r>
        <w:rPr>
          <w:color w:val="1A1A1A"/>
          <w:sz w:val="20"/>
          <w:szCs w:val="20"/>
        </w:rPr>
        <w:t xml:space="preserve">Todas las cifras de esta tabla salen de una comprobación sobre el árbol de trabajo o de una ejecución real, no de un documento anterior.</w:t>
      </w:r>
    </w:p>
    <w:tbl>
      <w:tblPr>
        <w:tblW w:type="dxa" w:w="9360"/>
        <w:tblBorders>
          <w:top w:val="single" w:color="D4D4D4" w:sz="2"/>
          <w:left w:val="single" w:color="D4D4D4" w:sz="2"/>
          <w:bottom w:val="single" w:color="D4D4D4" w:sz="2"/>
          <w:right w:val="single" w:color="D4D4D4" w:sz="2"/>
          <w:insideH w:val="single" w:color="D4D4D4" w:sz="2"/>
          <w:insideV w:val="single" w:color="D4D4D4" w:sz="2"/>
        </w:tblBorders>
      </w:tblPr>
      <w:tblGrid>
        <w:gridCol w:w="2001"/>
        <w:gridCol w:w="4287"/>
        <w:gridCol w:w="3072"/>
      </w:tblGrid>
      <w:tr>
        <w:trPr>
          <w:cantSplit/>
          <w:tblHeader/>
        </w:trPr>
        <w:tc>
          <w:tcPr>
            <w:tcW w:type="dxa" w:w="2001"/>
            <w:shd w:fill="F2F2F2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b/>
                <w:bCs/>
                <w:color w:val="1A1A1A"/>
                <w:sz w:val="17"/>
                <w:szCs w:val="17"/>
              </w:rPr>
              <w:t xml:space="preserve">Indicador</w:t>
            </w:r>
          </w:p>
        </w:tc>
        <w:tc>
          <w:tcPr>
            <w:tcW w:type="dxa" w:w="4287"/>
            <w:shd w:fill="F2F2F2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b/>
                <w:bCs/>
                <w:color w:val="1A1A1A"/>
                <w:sz w:val="17"/>
                <w:szCs w:val="17"/>
              </w:rPr>
              <w:t xml:space="preserve">Valor</w:t>
            </w:r>
          </w:p>
        </w:tc>
        <w:tc>
          <w:tcPr>
            <w:tcW w:type="dxa" w:w="3072"/>
            <w:shd w:fill="F2F2F2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b/>
                <w:bCs/>
                <w:color w:val="1A1A1A"/>
                <w:sz w:val="17"/>
                <w:szCs w:val="17"/>
              </w:rPr>
              <w:t xml:space="preserve">Cómo se verificó</w:t>
            </w:r>
          </w:p>
        </w:tc>
      </w:tr>
      <w:tr>
        <w:trPr>
          <w:cantSplit/>
          <w:tblHeader w:val="false"/>
        </w:trPr>
        <w:tc>
          <w:tcPr>
            <w:tcW w:type="dxa" w:w="200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color w:val="1A1A1A"/>
                <w:sz w:val="17"/>
                <w:szCs w:val="17"/>
              </w:rPr>
              <w:t xml:space="preserve">Commits en el periodo</w:t>
            </w:r>
          </w:p>
        </w:tc>
        <w:tc>
          <w:tcPr>
            <w:tcW w:type="dxa" w:w="428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b/>
                <w:bCs/>
                <w:color w:val="1A1A1A"/>
                <w:sz w:val="17"/>
                <w:szCs w:val="17"/>
              </w:rPr>
              <w:t xml:space="preserve">84</w:t>
            </w:r>
            <w:r>
              <w:rPr>
                <w:color w:val="1A1A1A"/>
                <w:sz w:val="17"/>
                <w:szCs w:val="17"/>
              </w:rPr>
              <w:t xml:space="preserve"> (208 en el repositorio)</w:t>
            </w:r>
          </w:p>
        </w:tc>
        <w:tc>
          <w:tcPr>
            <w:tcW w:type="dxa" w:w="30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3A3A3A"/>
                <w:sz w:val="14"/>
                <w:szCs w:val="14"/>
              </w:rPr>
              <w:t xml:space="preserve">git log --since=2026-08-10</w:t>
            </w:r>
          </w:p>
        </w:tc>
      </w:tr>
      <w:tr>
        <w:trPr>
          <w:cantSplit/>
          <w:tblHeader w:val="false"/>
        </w:trPr>
        <w:tc>
          <w:tcPr>
            <w:tcW w:type="dxa" w:w="200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color w:val="1A1A1A"/>
                <w:sz w:val="17"/>
                <w:szCs w:val="17"/>
              </w:rPr>
              <w:t xml:space="preserve">Volumen del periodo</w:t>
            </w:r>
          </w:p>
        </w:tc>
        <w:tc>
          <w:tcPr>
            <w:tcW w:type="dxa" w:w="428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color w:val="1A1A1A"/>
                <w:sz w:val="17"/>
                <w:szCs w:val="17"/>
              </w:rPr>
              <w:t xml:space="preserve">202 archivos · </w:t>
            </w:r>
            <w:r>
              <w:rPr>
                <w:b/>
                <w:bCs/>
                <w:color w:val="1A1A1A"/>
                <w:sz w:val="17"/>
                <w:szCs w:val="17"/>
              </w:rPr>
              <w:t xml:space="preserve">+18.315 / −1.065 líneas</w:t>
            </w:r>
          </w:p>
        </w:tc>
        <w:tc>
          <w:tcPr>
            <w:tcW w:type="dxa" w:w="30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3A3A3A"/>
                <w:sz w:val="14"/>
                <w:szCs w:val="14"/>
              </w:rPr>
              <w:t xml:space="preserve">git diff --shortstat</w:t>
            </w:r>
          </w:p>
        </w:tc>
      </w:tr>
      <w:tr>
        <w:trPr>
          <w:cantSplit/>
          <w:tblHeader w:val="false"/>
        </w:trPr>
        <w:tc>
          <w:tcPr>
            <w:tcW w:type="dxa" w:w="200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color w:val="1A1A1A"/>
                <w:sz w:val="17"/>
                <w:szCs w:val="17"/>
              </w:rPr>
              <w:t xml:space="preserve">Casos de prueba</w:t>
            </w:r>
          </w:p>
        </w:tc>
        <w:tc>
          <w:tcPr>
            <w:tcW w:type="dxa" w:w="428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b/>
                <w:bCs/>
                <w:color w:val="1A1A1A"/>
                <w:sz w:val="17"/>
                <w:szCs w:val="17"/>
              </w:rPr>
              <w:t xml:space="preserve">759</w:t>
            </w:r>
            <w:r>
              <w:rPr>
                <w:color w:val="1A1A1A"/>
                <w:sz w:val="17"/>
                <w:szCs w:val="17"/>
              </w:rPr>
              <w:t xml:space="preserve"> · 748 pasan · 11 omitidas · </w:t>
            </w:r>
            <w:r>
              <w:rPr>
                <w:b/>
                <w:bCs/>
                <w:color w:val="1A1A1A"/>
                <w:sz w:val="17"/>
                <w:szCs w:val="17"/>
              </w:rPr>
              <w:t xml:space="preserve">0 fallos</w:t>
            </w:r>
            <w:r>
              <w:rPr>
                <w:color w:val="1A1A1A"/>
                <w:sz w:val="17"/>
                <w:szCs w:val="17"/>
              </w:rPr>
              <w:t xml:space="preserve"> · 2.733 aserciones</w:t>
            </w:r>
          </w:p>
        </w:tc>
        <w:tc>
          <w:tcPr>
            <w:tcW w:type="dxa" w:w="30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3A3A3A"/>
                <w:sz w:val="14"/>
                <w:szCs w:val="14"/>
              </w:rPr>
              <w:t xml:space="preserve">php artisan test</w:t>
            </w:r>
            <w:r>
              <w:rPr>
                <w:color w:val="1A1A1A"/>
                <w:sz w:val="17"/>
                <w:szCs w:val="17"/>
              </w:rPr>
              <w:t xml:space="preserve">, 20 ago, </w:t>
            </w:r>
            <w:r>
              <w:rPr>
                <w:b/>
                <w:bCs/>
                <w:color w:val="1A1A1A"/>
                <w:sz w:val="17"/>
                <w:szCs w:val="17"/>
              </w:rPr>
              <w:t xml:space="preserve">sobre clon limpio</w:t>
            </w:r>
          </w:p>
        </w:tc>
      </w:tr>
      <w:tr>
        <w:trPr>
          <w:cantSplit/>
          <w:tblHeader w:val="false"/>
        </w:trPr>
        <w:tc>
          <w:tcPr>
            <w:tcW w:type="dxa" w:w="200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color w:val="1A1A1A"/>
                <w:sz w:val="17"/>
                <w:szCs w:val="17"/>
              </w:rPr>
              <w:t xml:space="preserve">Crecimiento de la suite</w:t>
            </w:r>
          </w:p>
        </w:tc>
        <w:tc>
          <w:tcPr>
            <w:tcW w:type="dxa" w:w="428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color w:val="1A1A1A"/>
                <w:sz w:val="17"/>
                <w:szCs w:val="17"/>
              </w:rPr>
              <w:t xml:space="preserve">de 599 a 759 casos, </w:t>
            </w:r>
            <w:r>
              <w:rPr>
                <w:b/>
                <w:bCs/>
                <w:color w:val="1A1A1A"/>
                <w:sz w:val="17"/>
                <w:szCs w:val="17"/>
              </w:rPr>
              <w:t xml:space="preserve">+160 y cero regresiones</w:t>
            </w:r>
          </w:p>
        </w:tc>
        <w:tc>
          <w:tcPr>
            <w:tcW w:type="dxa" w:w="30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color w:val="1A1A1A"/>
                <w:sz w:val="17"/>
                <w:szCs w:val="17"/>
              </w:rPr>
              <w:t xml:space="preserve">matriz de pruebas</w:t>
            </w:r>
          </w:p>
        </w:tc>
      </w:tr>
      <w:tr>
        <w:trPr>
          <w:cantSplit/>
          <w:tblHeader w:val="false"/>
        </w:trPr>
        <w:tc>
          <w:tcPr>
            <w:tcW w:type="dxa" w:w="200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color w:val="1A1A1A"/>
                <w:sz w:val="17"/>
                <w:szCs w:val="17"/>
              </w:rPr>
              <w:t xml:space="preserve">Métodos y archivos de prueba</w:t>
            </w:r>
          </w:p>
        </w:tc>
        <w:tc>
          <w:tcPr>
            <w:tcW w:type="dxa" w:w="428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color w:val="1A1A1A"/>
                <w:sz w:val="17"/>
                <w:szCs w:val="17"/>
              </w:rPr>
              <w:t xml:space="preserve">541 métodos en 56 archivos</w:t>
            </w:r>
          </w:p>
        </w:tc>
        <w:tc>
          <w:tcPr>
            <w:tcW w:type="dxa" w:w="30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color w:val="1A1A1A"/>
                <w:sz w:val="17"/>
                <w:szCs w:val="17"/>
              </w:rPr>
              <w:t xml:space="preserve">conteo sobre el árbol</w:t>
            </w:r>
          </w:p>
        </w:tc>
      </w:tr>
      <w:tr>
        <w:trPr>
          <w:cantSplit/>
          <w:tblHeader w:val="false"/>
        </w:trPr>
        <w:tc>
          <w:tcPr>
            <w:tcW w:type="dxa" w:w="200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color w:val="1A1A1A"/>
                <w:sz w:val="17"/>
                <w:szCs w:val="17"/>
              </w:rPr>
              <w:t xml:space="preserve">Migraciones</w:t>
            </w:r>
          </w:p>
        </w:tc>
        <w:tc>
          <w:tcPr>
            <w:tcW w:type="dxa" w:w="428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b/>
                <w:bCs/>
                <w:color w:val="1A1A1A"/>
                <w:sz w:val="17"/>
                <w:szCs w:val="17"/>
              </w:rPr>
              <w:t xml:space="preserve">33</w:t>
            </w:r>
            <w:r>
              <w:rPr>
                <w:color w:val="1A1A1A"/>
                <w:sz w:val="17"/>
                <w:szCs w:val="17"/>
              </w:rPr>
              <w:t xml:space="preserve">, las 33 aplicadas en la base local</w:t>
            </w:r>
          </w:p>
        </w:tc>
        <w:tc>
          <w:tcPr>
            <w:tcW w:type="dxa" w:w="30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color w:val="1A1A1A"/>
                <w:sz w:val="17"/>
                <w:szCs w:val="17"/>
              </w:rPr>
              <w:t xml:space="preserve">tabla </w:t>
            </w:r>
            <w:r>
              <w:rPr>
                <w:rFonts w:ascii="Consolas" w:cs="Consolas" w:eastAsia="Consolas" w:hAnsi="Consolas"/>
                <w:color w:val="3A3A3A"/>
                <w:sz w:val="14"/>
                <w:szCs w:val="14"/>
              </w:rPr>
              <w:t xml:space="preserve">migrations</w:t>
            </w:r>
            <w:r>
              <w:rPr>
                <w:color w:val="1A1A1A"/>
                <w:sz w:val="17"/>
                <w:szCs w:val="17"/>
              </w:rPr>
              <w:t xml:space="preserve"> de </w:t>
            </w:r>
            <w:r>
              <w:rPr>
                <w:rFonts w:ascii="Consolas" w:cs="Consolas" w:eastAsia="Consolas" w:hAnsi="Consolas"/>
                <w:color w:val="3A3A3A"/>
                <w:sz w:val="14"/>
                <w:szCs w:val="14"/>
              </w:rPr>
              <w:t xml:space="preserve">database.sqlite</w:t>
            </w:r>
          </w:p>
        </w:tc>
      </w:tr>
      <w:tr>
        <w:trPr>
          <w:cantSplit/>
          <w:tblHeader w:val="false"/>
        </w:trPr>
        <w:tc>
          <w:tcPr>
            <w:tcW w:type="dxa" w:w="200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color w:val="1A1A1A"/>
                <w:sz w:val="17"/>
                <w:szCs w:val="17"/>
              </w:rPr>
              <w:t xml:space="preserve">Modelos</w:t>
            </w:r>
          </w:p>
        </w:tc>
        <w:tc>
          <w:tcPr>
            <w:tcW w:type="dxa" w:w="428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b/>
                <w:bCs/>
                <w:color w:val="1A1A1A"/>
                <w:sz w:val="17"/>
                <w:szCs w:val="17"/>
              </w:rPr>
              <w:t xml:space="preserve">21</w:t>
            </w:r>
          </w:p>
        </w:tc>
        <w:tc>
          <w:tcPr>
            <w:tcW w:type="dxa" w:w="30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3A3A3A"/>
                <w:sz w:val="14"/>
                <w:szCs w:val="14"/>
              </w:rPr>
              <w:t xml:space="preserve">app/Models</w:t>
            </w:r>
          </w:p>
        </w:tc>
      </w:tr>
      <w:tr>
        <w:trPr>
          <w:cantSplit/>
          <w:tblHeader w:val="false"/>
        </w:trPr>
        <w:tc>
          <w:tcPr>
            <w:tcW w:type="dxa" w:w="200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color w:val="1A1A1A"/>
                <w:sz w:val="17"/>
                <w:szCs w:val="17"/>
              </w:rPr>
              <w:t xml:space="preserve">Panel Filament</w:t>
            </w:r>
          </w:p>
        </w:tc>
        <w:tc>
          <w:tcPr>
            <w:tcW w:type="dxa" w:w="428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b/>
                <w:bCs/>
                <w:color w:val="1A1A1A"/>
                <w:sz w:val="17"/>
                <w:szCs w:val="17"/>
              </w:rPr>
              <w:t xml:space="preserve">19 recursos · 5 páginas · 12 widgets · 20 policies</w:t>
            </w:r>
          </w:p>
        </w:tc>
        <w:tc>
          <w:tcPr>
            <w:tcW w:type="dxa" w:w="30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color w:val="1A1A1A"/>
                <w:sz w:val="17"/>
                <w:szCs w:val="17"/>
              </w:rPr>
              <w:t xml:space="preserve">árbol de </w:t>
            </w:r>
            <w:r>
              <w:rPr>
                <w:rFonts w:ascii="Consolas" w:cs="Consolas" w:eastAsia="Consolas" w:hAnsi="Consolas"/>
                <w:color w:val="3A3A3A"/>
                <w:sz w:val="14"/>
                <w:szCs w:val="14"/>
              </w:rPr>
              <w:t xml:space="preserve">app/Filament</w:t>
            </w:r>
            <w:r>
              <w:rPr>
                <w:color w:val="1A1A1A"/>
                <w:sz w:val="17"/>
                <w:szCs w:val="17"/>
              </w:rPr>
              <w:t xml:space="preserve"> y </w:t>
            </w:r>
            <w:r>
              <w:rPr>
                <w:rFonts w:ascii="Consolas" w:cs="Consolas" w:eastAsia="Consolas" w:hAnsi="Consolas"/>
                <w:color w:val="3A3A3A"/>
                <w:sz w:val="14"/>
                <w:szCs w:val="14"/>
              </w:rPr>
              <w:t xml:space="preserve">app/Policies</w:t>
            </w:r>
          </w:p>
        </w:tc>
      </w:tr>
      <w:tr>
        <w:trPr>
          <w:cantSplit/>
          <w:tblHeader w:val="false"/>
        </w:trPr>
        <w:tc>
          <w:tcPr>
            <w:tcW w:type="dxa" w:w="200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color w:val="1A1A1A"/>
                <w:sz w:val="17"/>
                <w:szCs w:val="17"/>
              </w:rPr>
              <w:t xml:space="preserve">Vistas Blade</w:t>
            </w:r>
          </w:p>
        </w:tc>
        <w:tc>
          <w:tcPr>
            <w:tcW w:type="dxa" w:w="428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color w:val="1A1A1A"/>
                <w:sz w:val="17"/>
                <w:szCs w:val="17"/>
              </w:rPr>
              <w:t xml:space="preserve">63</w:t>
            </w:r>
          </w:p>
        </w:tc>
        <w:tc>
          <w:tcPr>
            <w:tcW w:type="dxa" w:w="30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3A3A3A"/>
                <w:sz w:val="14"/>
                <w:szCs w:val="14"/>
              </w:rPr>
              <w:t xml:space="preserve">resources/views</w:t>
            </w:r>
          </w:p>
        </w:tc>
      </w:tr>
      <w:tr>
        <w:trPr>
          <w:cantSplit/>
          <w:tblHeader w:val="false"/>
        </w:trPr>
        <w:tc>
          <w:tcPr>
            <w:tcW w:type="dxa" w:w="200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color w:val="1A1A1A"/>
                <w:sz w:val="17"/>
                <w:szCs w:val="17"/>
              </w:rPr>
              <w:t xml:space="preserve">Sembradores</w:t>
            </w:r>
          </w:p>
        </w:tc>
        <w:tc>
          <w:tcPr>
            <w:tcW w:type="dxa" w:w="428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color w:val="1A1A1A"/>
                <w:sz w:val="17"/>
                <w:szCs w:val="17"/>
              </w:rPr>
              <w:t xml:space="preserve">20</w:t>
            </w:r>
          </w:p>
        </w:tc>
        <w:tc>
          <w:tcPr>
            <w:tcW w:type="dxa" w:w="30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3A3A3A"/>
                <w:sz w:val="14"/>
                <w:szCs w:val="14"/>
              </w:rPr>
              <w:t xml:space="preserve">database/seeders</w:t>
            </w:r>
          </w:p>
        </w:tc>
      </w:tr>
      <w:tr>
        <w:trPr>
          <w:cantSplit/>
          <w:tblHeader w:val="false"/>
        </w:trPr>
        <w:tc>
          <w:tcPr>
            <w:tcW w:type="dxa" w:w="200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color w:val="1A1A1A"/>
                <w:sz w:val="17"/>
                <w:szCs w:val="17"/>
              </w:rPr>
              <w:t xml:space="preserve">Rendimiento (RNF-02)</w:t>
            </w:r>
          </w:p>
        </w:tc>
        <w:tc>
          <w:tcPr>
            <w:tcW w:type="dxa" w:w="428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b/>
                <w:bCs/>
                <w:color w:val="1A1A1A"/>
                <w:sz w:val="17"/>
                <w:szCs w:val="17"/>
              </w:rPr>
              <w:t xml:space="preserve">972 ms</w:t>
            </w:r>
            <w:r>
              <w:rPr>
                <w:color w:val="1A1A1A"/>
                <w:sz w:val="17"/>
                <w:szCs w:val="17"/>
              </w:rPr>
              <w:t xml:space="preserve"> de LCP en 4G móvil contra 2.500 ms contratados</w:t>
            </w:r>
          </w:p>
        </w:tc>
        <w:tc>
          <w:tcPr>
            <w:tcW w:type="dxa" w:w="30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color w:val="1A1A1A"/>
                <w:sz w:val="17"/>
                <w:szCs w:val="17"/>
              </w:rPr>
              <w:t xml:space="preserve">78 mediciones con Chromium real</w:t>
            </w:r>
          </w:p>
        </w:tc>
      </w:tr>
      <w:tr>
        <w:trPr>
          <w:cantSplit/>
          <w:tblHeader w:val="false"/>
        </w:trPr>
        <w:tc>
          <w:tcPr>
            <w:tcW w:type="dxa" w:w="200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color w:val="1A1A1A"/>
                <w:sz w:val="17"/>
                <w:szCs w:val="17"/>
              </w:rPr>
              <w:t xml:space="preserve">Build frontend</w:t>
            </w:r>
          </w:p>
        </w:tc>
        <w:tc>
          <w:tcPr>
            <w:tcW w:type="dxa" w:w="428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color w:val="1A1A1A"/>
                <w:sz w:val="17"/>
                <w:szCs w:val="17"/>
              </w:rPr>
              <w:t xml:space="preserve">Correcto con Vite 8</w:t>
            </w:r>
          </w:p>
        </w:tc>
        <w:tc>
          <w:tcPr>
            <w:tcW w:type="dxa" w:w="30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3A3A3A"/>
                <w:sz w:val="14"/>
                <w:szCs w:val="14"/>
              </w:rPr>
              <w:t xml:space="preserve">npm run build</w:t>
            </w:r>
          </w:p>
        </w:tc>
      </w:tr>
      <w:tr>
        <w:trPr>
          <w:cantSplit/>
          <w:tblHeader w:val="false"/>
        </w:trPr>
        <w:tc>
          <w:tcPr>
            <w:tcW w:type="dxa" w:w="200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color w:val="1A1A1A"/>
                <w:sz w:val="17"/>
                <w:szCs w:val="17"/>
              </w:rPr>
              <w:t xml:space="preserve">Auditoría de dependencias</w:t>
            </w:r>
          </w:p>
        </w:tc>
        <w:tc>
          <w:tcPr>
            <w:tcW w:type="dxa" w:w="428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3A3A3A"/>
                <w:sz w:val="14"/>
                <w:szCs w:val="14"/>
              </w:rPr>
              <w:t xml:space="preserve">composer audit</w:t>
            </w:r>
            <w:r>
              <w:rPr>
                <w:color w:val="1A1A1A"/>
                <w:sz w:val="17"/>
                <w:szCs w:val="17"/>
              </w:rPr>
              <w:t xml:space="preserve"> limpio</w:t>
            </w:r>
          </w:p>
        </w:tc>
        <w:tc>
          <w:tcPr>
            <w:tcW w:type="dxa" w:w="30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color w:val="1A1A1A"/>
                <w:sz w:val="17"/>
                <w:szCs w:val="17"/>
              </w:rPr>
              <w:t xml:space="preserve">19 ago</w:t>
            </w:r>
          </w:p>
        </w:tc>
      </w:tr>
      <w:tr>
        <w:trPr>
          <w:cantSplit/>
          <w:tblHeader w:val="false"/>
        </w:trPr>
        <w:tc>
          <w:tcPr>
            <w:tcW w:type="dxa" w:w="200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color w:val="1A1A1A"/>
                <w:sz w:val="17"/>
                <w:szCs w:val="17"/>
              </w:rPr>
              <w:t xml:space="preserve">Reproducibilidad</w:t>
            </w:r>
          </w:p>
        </w:tc>
        <w:tc>
          <w:tcPr>
            <w:tcW w:type="dxa" w:w="428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color w:val="1A1A1A"/>
                <w:sz w:val="17"/>
                <w:szCs w:val="17"/>
              </w:rPr>
              <w:t xml:space="preserve">Clon limpio → </w:t>
            </w:r>
            <w:r>
              <w:rPr>
                <w:rFonts w:ascii="Consolas" w:cs="Consolas" w:eastAsia="Consolas" w:hAnsi="Consolas"/>
                <w:color w:val="3A3A3A"/>
                <w:sz w:val="14"/>
                <w:szCs w:val="14"/>
              </w:rPr>
              <w:t xml:space="preserve">composer install</w:t>
            </w:r>
            <w:r>
              <w:rPr>
                <w:color w:val="1A1A1A"/>
                <w:sz w:val="17"/>
                <w:szCs w:val="17"/>
              </w:rPr>
              <w:t xml:space="preserve"> → </w:t>
            </w:r>
            <w:r>
              <w:rPr>
                <w:rFonts w:ascii="Consolas" w:cs="Consolas" w:eastAsia="Consolas" w:hAnsi="Consolas"/>
                <w:color w:val="3A3A3A"/>
                <w:sz w:val="14"/>
                <w:szCs w:val="14"/>
              </w:rPr>
              <w:t xml:space="preserve">npm run build</w:t>
            </w:r>
            <w:r>
              <w:rPr>
                <w:color w:val="1A1A1A"/>
                <w:sz w:val="17"/>
                <w:szCs w:val="17"/>
              </w:rPr>
              <w:t xml:space="preserve"> → suite verde</w:t>
            </w:r>
          </w:p>
        </w:tc>
        <w:tc>
          <w:tcPr>
            <w:tcW w:type="dxa" w:w="30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color w:val="1A1A1A"/>
                <w:sz w:val="17"/>
                <w:szCs w:val="17"/>
              </w:rPr>
              <w:t xml:space="preserve">20 ago</w:t>
            </w:r>
          </w:p>
        </w:tc>
      </w:tr>
    </w:tbl>
    <w:p>
      <w:pPr>
        <w:spacing w:after="200"/>
      </w:pPr>
    </w:p>
    <w:p>
      <w:pPr>
        <w:spacing w:after="140" w:line="288"/>
        <w:jc w:val="both"/>
      </w:pPr>
      <w:r>
        <w:rPr>
          <w:b/>
          <w:bCs/>
          <w:color w:val="1A1A1A"/>
          <w:sz w:val="20"/>
          <w:szCs w:val="20"/>
        </w:rPr>
        <w:t xml:space="preserve">Las 11 pruebas omitidas no son un hueco:</w:t>
      </w:r>
      <w:r>
        <w:rPr>
          <w:color w:val="1A1A1A"/>
          <w:sz w:val="20"/>
          <w:szCs w:val="20"/>
        </w:rPr>
        <w:t xml:space="preserve"> corresponden a recursos del panel que deliberadamente no tienen página de creación o edición — Cartera (se alimenta por importación de CSV), Postulación (la crea el candidato) y Vacante (la publica el asociado). La omisión es la prueba de que esas puertas están cerradas a propósito.</w:t>
      </w:r>
    </w:p>
    <w:p>
      <w:pPr>
        <w:pBdr>
          <w:bottom w:val="single" w:color="D4D4D4" w:sz="4" w:space="4"/>
        </w:pBdr>
        <w:spacing w:after="160" w:before="60"/>
      </w:pPr>
    </w:p>
    <w:p>
      <w:pPr>
        <w:pStyle w:val="Heading2"/>
        <w:pBdr>
          <w:bottom w:val="single" w:color="D4D4D4" w:sz="6" w:space="6"/>
        </w:pBdr>
        <w:spacing w:after="160" w:before="360"/>
      </w:pPr>
      <w:r>
        <w:rPr>
          <w:b/>
          <w:bCs/>
          <w:color w:val="C0392B"/>
          <w:sz w:val="25"/>
          <w:szCs w:val="25"/>
        </w:rPr>
        <w:t xml:space="preserve">5. Lectura de la auditoría del 19 de agosto</w:t>
      </w:r>
    </w:p>
    <w:p>
      <w:pPr>
        <w:spacing w:after="140" w:line="288"/>
        <w:jc w:val="both"/>
      </w:pPr>
      <w:r>
        <w:rPr>
          <w:color w:val="1A1A1A"/>
          <w:sz w:val="20"/>
          <w:szCs w:val="20"/>
        </w:rPr>
        <w:t xml:space="preserve">La auditoría de la compañera es seria y encontró cosas reales. También se levantó </w:t>
      </w:r>
      <w:r>
        <w:rPr>
          <w:b/>
          <w:bCs/>
          <w:color w:val="1A1A1A"/>
          <w:sz w:val="20"/>
          <w:szCs w:val="20"/>
        </w:rPr>
        <w:t xml:space="preserve">sobre una copia del repositorio sin actualizar y sobre un PHP incompleto</w:t>
      </w:r>
      <w:r>
        <w:rPr>
          <w:color w:val="1A1A1A"/>
          <w:sz w:val="20"/>
          <w:szCs w:val="20"/>
        </w:rPr>
        <w:t xml:space="preserve">, y eso explica sus cifras. La lectura corregida:</w:t>
      </w:r>
    </w:p>
    <w:tbl>
      <w:tblPr>
        <w:tblW w:type="dxa" w:w="9360"/>
        <w:tblBorders>
          <w:top w:val="single" w:color="D4D4D4" w:sz="2"/>
          <w:left w:val="single" w:color="D4D4D4" w:sz="2"/>
          <w:bottom w:val="single" w:color="D4D4D4" w:sz="2"/>
          <w:right w:val="single" w:color="D4D4D4" w:sz="2"/>
          <w:insideH w:val="single" w:color="D4D4D4" w:sz="2"/>
          <w:insideV w:val="single" w:color="D4D4D4" w:sz="2"/>
        </w:tblBorders>
      </w:tblPr>
      <w:tblGrid>
        <w:gridCol w:w="3818"/>
        <w:gridCol w:w="5542"/>
      </w:tblGrid>
      <w:tr>
        <w:trPr>
          <w:cantSplit/>
          <w:tblHeader/>
        </w:trPr>
        <w:tc>
          <w:tcPr>
            <w:tcW w:type="dxa" w:w="3818"/>
            <w:shd w:fill="F2F2F2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b/>
                <w:bCs/>
                <w:color w:val="1A1A1A"/>
                <w:sz w:val="17"/>
                <w:szCs w:val="17"/>
              </w:rPr>
              <w:t xml:space="preserve">Lo que reportó</w:t>
            </w:r>
          </w:p>
        </w:tc>
        <w:tc>
          <w:tcPr>
            <w:tcW w:type="dxa" w:w="5542"/>
            <w:shd w:fill="F2F2F2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b/>
                <w:bCs/>
                <w:color w:val="1A1A1A"/>
                <w:sz w:val="17"/>
                <w:szCs w:val="17"/>
              </w:rPr>
              <w:t xml:space="preserve">Veredicto</w:t>
            </w:r>
          </w:p>
        </w:tc>
      </w:tr>
      <w:tr>
        <w:trPr>
          <w:cantSplit/>
          <w:tblHeader w:val="false"/>
        </w:trPr>
        <w:tc>
          <w:tcPr>
            <w:tcW w:type="dxa" w:w="381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color w:val="1A1A1A"/>
                <w:sz w:val="17"/>
                <w:szCs w:val="17"/>
              </w:rPr>
              <w:t xml:space="preserve">«405 pasan · 22 fallan · 172 con error»</w:t>
            </w:r>
          </w:p>
        </w:tc>
        <w:tc>
          <w:tcPr>
            <w:tcW w:type="dxa" w:w="55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b/>
                <w:bCs/>
                <w:color w:val="1A1A1A"/>
                <w:sz w:val="17"/>
                <w:szCs w:val="17"/>
              </w:rPr>
              <w:t xml:space="preserve">Ruido del entorno, no defectos.</w:t>
            </w:r>
            <w:r>
              <w:rPr>
                <w:color w:val="1A1A1A"/>
                <w:sz w:val="17"/>
                <w:szCs w:val="17"/>
              </w:rPr>
              <w:t xml:space="preserve"> Su propio documento lo advierte. En un PHP con </w:t>
            </w:r>
            <w:r>
              <w:rPr>
                <w:rFonts w:ascii="Consolas" w:cs="Consolas" w:eastAsia="Consolas" w:hAnsi="Consolas"/>
                <w:color w:val="3A3A3A"/>
                <w:sz w:val="14"/>
                <w:szCs w:val="14"/>
              </w:rPr>
              <w:t xml:space="preserve">intl</w:t>
            </w:r>
            <w:r>
              <w:rPr>
                <w:color w:val="1A1A1A"/>
                <w:sz w:val="17"/>
                <w:szCs w:val="17"/>
              </w:rPr>
              <w:t xml:space="preserve"> y </w:t>
            </w:r>
            <w:r>
              <w:rPr>
                <w:rFonts w:ascii="Consolas" w:cs="Consolas" w:eastAsia="Consolas" w:hAnsi="Consolas"/>
                <w:color w:val="3A3A3A"/>
                <w:sz w:val="14"/>
                <w:szCs w:val="14"/>
              </w:rPr>
              <w:t xml:space="preserve">gd</w:t>
            </w:r>
            <w:r>
              <w:rPr>
                <w:color w:val="1A1A1A"/>
                <w:sz w:val="17"/>
                <w:szCs w:val="17"/>
              </w:rPr>
              <w:t xml:space="preserve"> la suite sale </w:t>
            </w:r>
            <w:r>
              <w:rPr>
                <w:b/>
                <w:bCs/>
                <w:color w:val="1A1A1A"/>
                <w:sz w:val="17"/>
                <w:szCs w:val="17"/>
              </w:rPr>
              <w:t xml:space="preserve">759 casos · 748 pasan · 11 omitidas · 0 fallos</w:t>
            </w:r>
            <w:r>
              <w:rPr>
                <w:color w:val="1A1A1A"/>
                <w:sz w:val="17"/>
                <w:szCs w:val="17"/>
              </w:rPr>
              <w:t xml:space="preserve">, y así se reprodujo el 20 de agosto sobre un clon limpio. Su «0 omitidas» es consecuencia de lo mismo: una corrida que revienta no llega a registrar las omisiones</w:t>
            </w:r>
          </w:p>
        </w:tc>
      </w:tr>
      <w:tr>
        <w:trPr>
          <w:cantSplit/>
          <w:tblHeader w:val="false"/>
        </w:trPr>
        <w:tc>
          <w:tcPr>
            <w:tcW w:type="dxa" w:w="381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color w:val="1A1A1A"/>
                <w:sz w:val="17"/>
                <w:szCs w:val="17"/>
              </w:rPr>
              <w:t xml:space="preserve">Referencia residual a </w:t>
            </w:r>
            <w:r>
              <w:rPr>
                <w:rFonts w:ascii="Consolas" w:cs="Consolas" w:eastAsia="Consolas" w:hAnsi="Consolas"/>
                <w:color w:val="3A3A3A"/>
                <w:sz w:val="14"/>
                <w:szCs w:val="14"/>
              </w:rPr>
              <w:t xml:space="preserve">InscripcionesDelMes</w:t>
            </w:r>
          </w:p>
        </w:tc>
        <w:tc>
          <w:tcPr>
            <w:tcW w:type="dxa" w:w="55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b/>
                <w:bCs/>
                <w:color w:val="1A1A1A"/>
                <w:sz w:val="17"/>
                <w:szCs w:val="17"/>
              </w:rPr>
              <w:t xml:space="preserve">Falso positivo.</w:t>
            </w:r>
            <w:r>
              <w:rPr>
                <w:color w:val="1A1A1A"/>
                <w:sz w:val="17"/>
                <w:szCs w:val="17"/>
              </w:rPr>
              <w:t xml:space="preserve"> No es residuo de autoload: </w:t>
            </w:r>
            <w:r>
              <w:rPr>
                <w:rFonts w:ascii="Consolas" w:cs="Consolas" w:eastAsia="Consolas" w:hAnsi="Consolas"/>
                <w:color w:val="3A3A3A"/>
                <w:sz w:val="14"/>
                <w:szCs w:val="14"/>
              </w:rPr>
              <w:t xml:space="preserve">TableroTest</w:t>
            </w:r>
            <w:r>
              <w:rPr>
                <w:color w:val="1A1A1A"/>
                <w:sz w:val="17"/>
                <w:szCs w:val="17"/>
              </w:rPr>
              <w:t xml:space="preserve"> afirma </w:t>
            </w:r>
            <w:r>
              <w:rPr>
                <w:b/>
                <w:bCs/>
                <w:color w:val="1A1A1A"/>
                <w:sz w:val="17"/>
                <w:szCs w:val="17"/>
              </w:rPr>
              <w:t xml:space="preserve">a propósito</w:t>
            </w:r>
            <w:r>
              <w:rPr>
                <w:color w:val="1A1A1A"/>
                <w:sz w:val="17"/>
                <w:szCs w:val="17"/>
              </w:rPr>
              <w:t xml:space="preserve"> que la clase no existe, como guarda de regresión. El </w:t>
            </w:r>
            <w:r>
              <w:rPr>
                <w:rFonts w:ascii="Consolas" w:cs="Consolas" w:eastAsia="Consolas" w:hAnsi="Consolas"/>
                <w:color w:val="3A3A3A"/>
                <w:sz w:val="14"/>
                <w:szCs w:val="14"/>
              </w:rPr>
              <w:t xml:space="preserve">use</w:t>
            </w:r>
            <w:r>
              <w:rPr>
                <w:color w:val="1A1A1A"/>
                <w:sz w:val="17"/>
                <w:szCs w:val="17"/>
              </w:rPr>
              <w:t xml:space="preserve"> de una clase inexistente es legal en PHP mientras solo se pase a </w:t>
            </w:r>
            <w:r>
              <w:rPr>
                <w:rFonts w:ascii="Consolas" w:cs="Consolas" w:eastAsia="Consolas" w:hAnsi="Consolas"/>
                <w:color w:val="3A3A3A"/>
                <w:sz w:val="14"/>
                <w:szCs w:val="14"/>
              </w:rPr>
              <w:t xml:space="preserve">class_exists()</w:t>
            </w:r>
            <w:r>
              <w:rPr>
                <w:color w:val="1A1A1A"/>
                <w:sz w:val="17"/>
                <w:szCs w:val="17"/>
              </w:rPr>
              <w:t xml:space="preserve">. «Arreglarlo» rompería la guarda</w:t>
            </w:r>
          </w:p>
        </w:tc>
      </w:tr>
      <w:tr>
        <w:trPr>
          <w:cantSplit/>
          <w:tblHeader w:val="false"/>
        </w:trPr>
        <w:tc>
          <w:tcPr>
            <w:tcW w:type="dxa" w:w="381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color w:val="1A1A1A"/>
                <w:sz w:val="17"/>
                <w:szCs w:val="17"/>
              </w:rPr>
              <w:t xml:space="preserve">«Faltan diagramas, capturas y medición de rendimiento»</w:t>
            </w:r>
          </w:p>
        </w:tc>
        <w:tc>
          <w:tcPr>
            <w:tcW w:type="dxa" w:w="55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b/>
                <w:bCs/>
                <w:color w:val="1A1A1A"/>
                <w:sz w:val="17"/>
                <w:szCs w:val="17"/>
              </w:rPr>
              <w:t xml:space="preserve">Ya no aplica.</w:t>
            </w:r>
            <w:r>
              <w:rPr>
                <w:color w:val="1A1A1A"/>
                <w:sz w:val="17"/>
                <w:szCs w:val="17"/>
              </w:rPr>
              <w:t xml:space="preserve"> Las tres cosas existen y están commiteadas desde el 19 de agosto en </w:t>
            </w:r>
            <w:r>
              <w:rPr>
                <w:rFonts w:ascii="Consolas" w:cs="Consolas" w:eastAsia="Consolas" w:hAnsi="Consolas"/>
                <w:color w:val="3A3A3A"/>
                <w:sz w:val="14"/>
                <w:szCs w:val="14"/>
              </w:rPr>
              <w:t xml:space="preserve">docs/ingenieria/</w:t>
            </w:r>
            <w:r>
              <w:rPr>
                <w:color w:val="1A1A1A"/>
                <w:sz w:val="17"/>
                <w:szCs w:val="17"/>
              </w:rPr>
              <w:t xml:space="preserve">. Su copia era anterior</w:t>
            </w:r>
          </w:p>
        </w:tc>
      </w:tr>
      <w:tr>
        <w:trPr>
          <w:cantSplit/>
          <w:tblHeader w:val="false"/>
        </w:trPr>
        <w:tc>
          <w:tcPr>
            <w:tcW w:type="dxa" w:w="381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color w:val="1A1A1A"/>
                <w:sz w:val="17"/>
                <w:szCs w:val="17"/>
              </w:rPr>
              <w:t xml:space="preserve">«No existe calendario de eventos»</w:t>
            </w:r>
          </w:p>
        </w:tc>
        <w:tc>
          <w:tcPr>
            <w:tcW w:type="dxa" w:w="55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b/>
                <w:bCs/>
                <w:color w:val="1A1A1A"/>
                <w:sz w:val="17"/>
                <w:szCs w:val="17"/>
              </w:rPr>
              <w:t xml:space="preserve">Ya no aplica.</w:t>
            </w:r>
            <w:r>
              <w:rPr>
                <w:color w:val="1A1A1A"/>
                <w:sz w:val="17"/>
                <w:szCs w:val="17"/>
              </w:rPr>
              <w:t xml:space="preserve"> RF-19 se cerró el 19 de agosto</w:t>
            </w:r>
          </w:p>
        </w:tc>
      </w:tr>
      <w:tr>
        <w:trPr>
          <w:cantSplit/>
          <w:tblHeader w:val="false"/>
        </w:trPr>
        <w:tc>
          <w:tcPr>
            <w:tcW w:type="dxa" w:w="381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/>
                <w:bCs/>
                <w:color w:val="3A3A3A"/>
                <w:sz w:val="14"/>
                <w:szCs w:val="14"/>
              </w:rPr>
              <w:t xml:space="preserve">CreateAction</w:t>
            </w:r>
            <w:r>
              <w:rPr>
                <w:b/>
                <w:bCs/>
                <w:color w:val="1A1A1A"/>
                <w:sz w:val="17"/>
                <w:szCs w:val="17"/>
              </w:rPr>
              <w:t xml:space="preserve"> huérfano en Transacciones</w:t>
            </w:r>
          </w:p>
        </w:tc>
        <w:tc>
          <w:tcPr>
            <w:tcW w:type="dxa" w:w="55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color w:val="1A1A1A"/>
                <w:sz w:val="17"/>
                <w:szCs w:val="17"/>
              </w:rPr>
              <w:t xml:space="preserve">✅ </w:t>
            </w:r>
            <w:r>
              <w:rPr>
                <w:b/>
                <w:bCs/>
                <w:color w:val="1A1A1A"/>
                <w:sz w:val="17"/>
                <w:szCs w:val="17"/>
              </w:rPr>
              <w:t xml:space="preserve">Real, y más grave de lo reportado. Corregido el 20 de agosto</w:t>
            </w:r>
            <w:r>
              <w:rPr>
                <w:color w:val="1A1A1A"/>
                <w:sz w:val="17"/>
                <w:szCs w:val="17"/>
              </w:rPr>
              <w:t xml:space="preserve"> (§3.6a)</w:t>
            </w:r>
          </w:p>
        </w:tc>
      </w:tr>
      <w:tr>
        <w:trPr>
          <w:cantSplit/>
          <w:tblHeader w:val="false"/>
        </w:trPr>
        <w:tc>
          <w:tcPr>
            <w:tcW w:type="dxa" w:w="381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b/>
                <w:bCs/>
                <w:color w:val="1A1A1A"/>
                <w:sz w:val="17"/>
                <w:szCs w:val="17"/>
              </w:rPr>
              <w:t xml:space="preserve">La suite muere en PHP 8.5.8 al llegar a una prueba de imágenes</w:t>
            </w:r>
          </w:p>
        </w:tc>
        <w:tc>
          <w:tcPr>
            <w:tcW w:type="dxa" w:w="55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color w:val="1A1A1A"/>
                <w:sz w:val="17"/>
                <w:szCs w:val="17"/>
              </w:rPr>
              <w:t xml:space="preserve">✅ </w:t>
            </w:r>
            <w:r>
              <w:rPr>
                <w:b/>
                <w:bCs/>
                <w:color w:val="1A1A1A"/>
                <w:sz w:val="17"/>
                <w:szCs w:val="17"/>
              </w:rPr>
              <w:t xml:space="preserve">Real y sin diagnosticar.</w:t>
            </w:r>
            <w:r>
              <w:rPr>
                <w:color w:val="1A1A1A"/>
                <w:sz w:val="17"/>
                <w:szCs w:val="17"/>
              </w:rPr>
              <w:t xml:space="preserve"> El verde conocido es sobre PHP 8.4. Es incompatibilidad de versión, no defecto funcional. Sigue abierto en mi bloque</w:t>
            </w:r>
          </w:p>
        </w:tc>
      </w:tr>
      <w:tr>
        <w:trPr>
          <w:cantSplit/>
          <w:tblHeader w:val="false"/>
        </w:trPr>
        <w:tc>
          <w:tcPr>
            <w:tcW w:type="dxa" w:w="381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color w:val="1A1A1A"/>
                <w:sz w:val="17"/>
                <w:szCs w:val="17"/>
              </w:rPr>
              <w:t xml:space="preserve">«6 migraciones pendientes»</w:t>
            </w:r>
          </w:p>
        </w:tc>
        <w:tc>
          <w:tcPr>
            <w:tcW w:type="dxa" w:w="55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color w:val="1A1A1A"/>
                <w:sz w:val="17"/>
                <w:szCs w:val="17"/>
              </w:rPr>
              <w:t xml:space="preserve">⚠️ Es de </w:t>
            </w:r>
            <w:r>
              <w:rPr>
                <w:b/>
                <w:bCs/>
                <w:color w:val="1A1A1A"/>
                <w:sz w:val="17"/>
                <w:szCs w:val="17"/>
              </w:rPr>
              <w:t xml:space="preserve">su</w:t>
            </w:r>
            <w:r>
              <w:rPr>
                <w:color w:val="1A1A1A"/>
                <w:sz w:val="17"/>
                <w:szCs w:val="17"/>
              </w:rPr>
              <w:t xml:space="preserve"> base local, no del repositorio: en la base de trabajo las 33 están aplicadas. La acompaño a ponerla al día</w:t>
            </w:r>
          </w:p>
        </w:tc>
      </w:tr>
      <w:tr>
        <w:trPr>
          <w:cantSplit/>
          <w:tblHeader w:val="false"/>
        </w:trPr>
        <w:tc>
          <w:tcPr>
            <w:tcW w:type="dxa" w:w="381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color w:val="1A1A1A"/>
                <w:sz w:val="17"/>
                <w:szCs w:val="17"/>
              </w:rPr>
              <w:t xml:space="preserve">Catálogo de municipios incompleto</w:t>
            </w:r>
          </w:p>
        </w:tc>
        <w:tc>
          <w:tcPr>
            <w:tcW w:type="dxa" w:w="55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color w:val="1A1A1A"/>
                <w:sz w:val="17"/>
                <w:szCs w:val="17"/>
              </w:rPr>
              <w:t xml:space="preserve">✅ Real: hay </w:t>
            </w:r>
            <w:r>
              <w:rPr>
                <w:b/>
                <w:bCs/>
                <w:color w:val="1A1A1A"/>
                <w:sz w:val="17"/>
                <w:szCs w:val="17"/>
              </w:rPr>
              <w:t xml:space="preserve">8 de los 12</w:t>
            </w:r>
            <w:r>
              <w:rPr>
                <w:color w:val="1A1A1A"/>
                <w:sz w:val="17"/>
                <w:szCs w:val="17"/>
              </w:rPr>
              <w:t xml:space="preserve"> del Quindío. Bloque de la Persona 2</w:t>
            </w:r>
          </w:p>
        </w:tc>
      </w:tr>
    </w:tbl>
    <w:p>
      <w:pPr>
        <w:spacing w:after="200"/>
      </w:pPr>
    </w:p>
    <w:p>
      <w:pPr>
        <w:spacing w:after="140" w:line="288"/>
        <w:jc w:val="both"/>
      </w:pPr>
      <w:r>
        <w:rPr>
          <w:b/>
          <w:bCs/>
          <w:color w:val="1A1A1A"/>
          <w:sz w:val="20"/>
          <w:szCs w:val="20"/>
        </w:rPr>
        <w:t xml:space="preserve">Lo más valioso de su documento</w:t>
      </w:r>
      <w:r>
        <w:rPr>
          <w:color w:val="1A1A1A"/>
          <w:sz w:val="20"/>
          <w:szCs w:val="20"/>
        </w:rPr>
        <w:t xml:space="preserve"> es su §7 — la lista de elementos que </w:t>
      </w:r>
      <w:r>
        <w:rPr>
          <w:i/>
          <w:iCs/>
          <w:color w:val="1A1A1A"/>
          <w:sz w:val="20"/>
          <w:szCs w:val="20"/>
        </w:rPr>
        <w:t xml:space="preserve">no</w:t>
      </w:r>
      <w:r>
        <w:rPr>
          <w:color w:val="1A1A1A"/>
          <w:sz w:val="20"/>
          <w:szCs w:val="20"/>
        </w:rPr>
        <w:t xml:space="preserve"> deben asumirse como pendientes obligatorios (API REST, membresías, suscripción automática, redes sociales, certificado de afiliación, cobro a proveedores, motor PDF nativo) con la regla de comprobar el alcance antes de construir. Es la misma congelación de alcance que el proyecto sostiene desde el 14 de agosto, y conviene adoptarla explícitamente: </w:t>
      </w:r>
      <w:r>
        <w:rPr>
          <w:b/>
          <w:bCs/>
          <w:color w:val="1A1A1A"/>
          <w:sz w:val="20"/>
          <w:szCs w:val="20"/>
        </w:rPr>
        <w:t xml:space="preserve">la ausencia de una funcionalidad no es un incumplimiento mientras no esté en el cronograma firmado o en la ERS.</w:t>
      </w:r>
    </w:p>
    <w:p>
      <w:pPr>
        <w:pBdr>
          <w:bottom w:val="single" w:color="D4D4D4" w:sz="4" w:space="4"/>
        </w:pBdr>
        <w:spacing w:after="160" w:before="60"/>
      </w:pPr>
    </w:p>
    <w:p>
      <w:pPr>
        <w:pStyle w:val="Heading2"/>
        <w:pBdr>
          <w:bottom w:val="single" w:color="D4D4D4" w:sz="6" w:space="6"/>
        </w:pBdr>
        <w:spacing w:after="160" w:before="360"/>
      </w:pPr>
      <w:r>
        <w:rPr>
          <w:b/>
          <w:bCs/>
          <w:color w:val="C0392B"/>
          <w:sz w:val="25"/>
          <w:szCs w:val="25"/>
        </w:rPr>
        <w:t xml:space="preserve">6. Lo que sigue abierto en mi bloque</w:t>
      </w:r>
    </w:p>
    <w:tbl>
      <w:tblPr>
        <w:tblW w:type="dxa" w:w="9360"/>
        <w:tblBorders>
          <w:top w:val="single" w:color="D4D4D4" w:sz="2"/>
          <w:left w:val="single" w:color="D4D4D4" w:sz="2"/>
          <w:bottom w:val="single" w:color="D4D4D4" w:sz="2"/>
          <w:right w:val="single" w:color="D4D4D4" w:sz="2"/>
          <w:insideH w:val="single" w:color="D4D4D4" w:sz="2"/>
          <w:insideV w:val="single" w:color="D4D4D4" w:sz="2"/>
        </w:tblBorders>
      </w:tblPr>
      <w:tblGrid>
        <w:gridCol w:w="560"/>
        <w:gridCol w:w="5428"/>
        <w:gridCol w:w="2257"/>
        <w:gridCol w:w="1115"/>
      </w:tblGrid>
      <w:tr>
        <w:trPr>
          <w:cantSplit/>
          <w:tblHeader/>
        </w:trPr>
        <w:tc>
          <w:tcPr>
            <w:tcW w:type="dxa" w:w="560"/>
            <w:shd w:fill="F2F2F2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b/>
                <w:bCs/>
                <w:color w:val="1A1A1A"/>
                <w:sz w:val="17"/>
                <w:szCs w:val="17"/>
              </w:rPr>
              <w:t xml:space="preserve">#</w:t>
            </w:r>
          </w:p>
        </w:tc>
        <w:tc>
          <w:tcPr>
            <w:tcW w:type="dxa" w:w="5428"/>
            <w:shd w:fill="F2F2F2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b/>
                <w:bCs/>
                <w:color w:val="1A1A1A"/>
                <w:sz w:val="17"/>
                <w:szCs w:val="17"/>
              </w:rPr>
              <w:t xml:space="preserve">Pendiente</w:t>
            </w:r>
          </w:p>
        </w:tc>
        <w:tc>
          <w:tcPr>
            <w:tcW w:type="dxa" w:w="2257"/>
            <w:shd w:fill="F2F2F2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b/>
                <w:bCs/>
                <w:color w:val="1A1A1A"/>
                <w:sz w:val="17"/>
                <w:szCs w:val="17"/>
              </w:rPr>
              <w:t xml:space="preserve">De qué depende</w:t>
            </w:r>
          </w:p>
        </w:tc>
        <w:tc>
          <w:tcPr>
            <w:tcW w:type="dxa" w:w="1115"/>
            <w:shd w:fill="F2F2F2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b/>
                <w:bCs/>
                <w:color w:val="1A1A1A"/>
                <w:sz w:val="17"/>
                <w:szCs w:val="17"/>
              </w:rPr>
              <w:t xml:space="preserve">Prioridad</w:t>
            </w:r>
          </w:p>
        </w:tc>
      </w:tr>
      <w:tr>
        <w:trPr>
          <w:cantSplit/>
          <w:tblHeader w:val="false"/>
        </w:trPr>
        <w:tc>
          <w:tcPr>
            <w:tcW w:type="dxa" w:w="5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color w:val="1A1A1A"/>
                <w:sz w:val="17"/>
                <w:szCs w:val="17"/>
              </w:rPr>
              <w:t xml:space="preserve">1</w:t>
            </w:r>
          </w:p>
        </w:tc>
        <w:tc>
          <w:tcPr>
            <w:tcW w:type="dxa" w:w="542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b/>
                <w:bCs/>
                <w:color w:val="1A1A1A"/>
                <w:sz w:val="17"/>
                <w:szCs w:val="17"/>
              </w:rPr>
              <w:t xml:space="preserve">Diagnosticar el cierre prematuro de la suite en PHP 8.5.8</w:t>
            </w:r>
            <w:r>
              <w:rPr>
                <w:color w:val="1A1A1A"/>
                <w:sz w:val="17"/>
                <w:szCs w:val="17"/>
              </w:rPr>
              <w:t xml:space="preserve"> al llegar a la prueba de subida de imágenes — la misma prueba pasa aislada. El verde conocido es sobre PHP 8.4</w:t>
            </w:r>
          </w:p>
        </w:tc>
        <w:tc>
          <w:tcPr>
            <w:tcW w:type="dxa" w:w="225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color w:val="1A1A1A"/>
                <w:sz w:val="17"/>
                <w:szCs w:val="17"/>
              </w:rPr>
              <w:t xml:space="preserve">De mí</w:t>
            </w:r>
          </w:p>
        </w:tc>
        <w:tc>
          <w:tcPr>
            <w:tcW w:type="dxa" w:w="111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color w:val="1A1A1A"/>
                <w:sz w:val="17"/>
                <w:szCs w:val="17"/>
              </w:rPr>
              <w:t xml:space="preserve">Alta</w:t>
            </w:r>
          </w:p>
        </w:tc>
      </w:tr>
      <w:tr>
        <w:trPr>
          <w:cantSplit/>
          <w:tblHeader w:val="false"/>
        </w:trPr>
        <w:tc>
          <w:tcPr>
            <w:tcW w:type="dxa" w:w="5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color w:val="1A1A1A"/>
                <w:sz w:val="17"/>
                <w:szCs w:val="17"/>
              </w:rPr>
              <w:t xml:space="preserve">2</w:t>
            </w:r>
          </w:p>
        </w:tc>
        <w:tc>
          <w:tcPr>
            <w:tcW w:type="dxa" w:w="542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b/>
                <w:bCs/>
                <w:color w:val="1A1A1A"/>
                <w:sz w:val="17"/>
                <w:szCs w:val="17"/>
              </w:rPr>
              <w:t xml:space="preserve">Unificar el PHP del equipo:</w:t>
            </w:r>
            <w:r>
              <w:rPr>
                <w:color w:val="1A1A1A"/>
                <w:sz w:val="17"/>
                <w:szCs w:val="17"/>
              </w:rPr>
              <w:t xml:space="preserve"> dejar un único intérprete conocido con </w:t>
            </w:r>
            <w:r>
              <w:rPr>
                <w:rFonts w:ascii="Consolas" w:cs="Consolas" w:eastAsia="Consolas" w:hAnsi="Consolas"/>
                <w:color w:val="3A3A3A"/>
                <w:sz w:val="14"/>
                <w:szCs w:val="14"/>
              </w:rPr>
              <w:t xml:space="preserve">intl</w:t>
            </w:r>
            <w:r>
              <w:rPr>
                <w:color w:val="1A1A1A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3A3A3A"/>
                <w:sz w:val="14"/>
                <w:szCs w:val="14"/>
              </w:rPr>
              <w:t xml:space="preserve">gd</w:t>
            </w:r>
            <w:r>
              <w:rPr>
                <w:color w:val="1A1A1A"/>
                <w:sz w:val="17"/>
                <w:szCs w:val="17"/>
              </w:rPr>
              <w:t xml:space="preserve"> y </w:t>
            </w:r>
            <w:r>
              <w:rPr>
                <w:rFonts w:ascii="Consolas" w:cs="Consolas" w:eastAsia="Consolas" w:hAnsi="Consolas"/>
                <w:color w:val="3A3A3A"/>
                <w:sz w:val="14"/>
                <w:szCs w:val="14"/>
              </w:rPr>
              <w:t xml:space="preserve">pdo_sqlite</w:t>
            </w:r>
            <w:r>
              <w:rPr>
                <w:color w:val="1A1A1A"/>
                <w:sz w:val="17"/>
                <w:szCs w:val="17"/>
              </w:rPr>
              <w:t xml:space="preserve"> para terminal, Composer y ambas personas</w:t>
            </w:r>
          </w:p>
        </w:tc>
        <w:tc>
          <w:tcPr>
            <w:tcW w:type="dxa" w:w="225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color w:val="1A1A1A"/>
                <w:sz w:val="17"/>
                <w:szCs w:val="17"/>
              </w:rPr>
              <w:t xml:space="preserve">De mí + acompañar a la Persona 2</w:t>
            </w:r>
          </w:p>
        </w:tc>
        <w:tc>
          <w:tcPr>
            <w:tcW w:type="dxa" w:w="111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color w:val="1A1A1A"/>
                <w:sz w:val="17"/>
                <w:szCs w:val="17"/>
              </w:rPr>
              <w:t xml:space="preserve">Alta</w:t>
            </w:r>
          </w:p>
        </w:tc>
      </w:tr>
      <w:tr>
        <w:trPr>
          <w:cantSplit/>
          <w:tblHeader w:val="false"/>
        </w:trPr>
        <w:tc>
          <w:tcPr>
            <w:tcW w:type="dxa" w:w="5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color w:val="1A1A1A"/>
                <w:sz w:val="17"/>
                <w:szCs w:val="17"/>
              </w:rPr>
              <w:t xml:space="preserve">3</w:t>
            </w:r>
          </w:p>
        </w:tc>
        <w:tc>
          <w:tcPr>
            <w:tcW w:type="dxa" w:w="542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b/>
                <w:bCs/>
                <w:color w:val="1A1A1A"/>
                <w:sz w:val="17"/>
                <w:szCs w:val="17"/>
              </w:rPr>
              <w:t xml:space="preserve">Poner al día la base local de la Persona 2</w:t>
            </w:r>
            <w:r>
              <w:rPr>
                <w:color w:val="1A1A1A"/>
                <w:sz w:val="17"/>
                <w:szCs w:val="17"/>
              </w:rPr>
              <w:t xml:space="preserve"> (respaldo primero; nunca </w:t>
            </w:r>
            <w:r>
              <w:rPr>
                <w:rFonts w:ascii="Consolas" w:cs="Consolas" w:eastAsia="Consolas" w:hAnsi="Consolas"/>
                <w:color w:val="3A3A3A"/>
                <w:sz w:val="14"/>
                <w:szCs w:val="14"/>
              </w:rPr>
              <w:t xml:space="preserve">migrate:fresh</w:t>
            </w:r>
            <w:r>
              <w:rPr>
                <w:color w:val="1A1A1A"/>
                <w:sz w:val="17"/>
                <w:szCs w:val="17"/>
              </w:rPr>
              <w:t xml:space="preserve"> sobre datos que deban conservarse)</w:t>
            </w:r>
          </w:p>
        </w:tc>
        <w:tc>
          <w:tcPr>
            <w:tcW w:type="dxa" w:w="225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color w:val="1A1A1A"/>
                <w:sz w:val="17"/>
                <w:szCs w:val="17"/>
              </w:rPr>
              <w:t xml:space="preserve">De mí</w:t>
            </w:r>
          </w:p>
        </w:tc>
        <w:tc>
          <w:tcPr>
            <w:tcW w:type="dxa" w:w="111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color w:val="1A1A1A"/>
                <w:sz w:val="17"/>
                <w:szCs w:val="17"/>
              </w:rPr>
              <w:t xml:space="preserve">Alta</w:t>
            </w:r>
          </w:p>
        </w:tc>
      </w:tr>
      <w:tr>
        <w:trPr>
          <w:cantSplit/>
          <w:tblHeader w:val="false"/>
        </w:trPr>
        <w:tc>
          <w:tcPr>
            <w:tcW w:type="dxa" w:w="5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color w:val="1A1A1A"/>
                <w:sz w:val="17"/>
                <w:szCs w:val="17"/>
              </w:rPr>
              <w:t xml:space="preserve">4</w:t>
            </w:r>
          </w:p>
        </w:tc>
        <w:tc>
          <w:tcPr>
            <w:tcW w:type="dxa" w:w="542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b/>
                <w:bCs/>
                <w:color w:val="1A1A1A"/>
                <w:sz w:val="17"/>
                <w:szCs w:val="17"/>
              </w:rPr>
              <w:t xml:space="preserve">Desplegar:</w:t>
            </w:r>
            <w:r>
              <w:rPr>
                <w:color w:val="1A1A1A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color w:val="3A3A3A"/>
                <w:sz w:val="14"/>
                <w:szCs w:val="14"/>
              </w:rPr>
              <w:t xml:space="preserve">cloud auth</w:t>
            </w:r>
            <w:r>
              <w:rPr>
                <w:color w:val="1A1A1A"/>
                <w:sz w:val="17"/>
                <w:szCs w:val="17"/>
              </w:rPr>
              <w:t xml:space="preserve">, bucket con la política acotada del §8.3 del runbook, SSL, dominio</w:t>
            </w:r>
          </w:p>
        </w:tc>
        <w:tc>
          <w:tcPr>
            <w:tcW w:type="dxa" w:w="225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color w:val="1A1A1A"/>
                <w:sz w:val="17"/>
                <w:szCs w:val="17"/>
              </w:rPr>
              <w:t xml:space="preserve">🔴 </w:t>
            </w:r>
            <w:r>
              <w:rPr>
                <w:b/>
                <w:bCs/>
                <w:color w:val="1A1A1A"/>
                <w:sz w:val="17"/>
                <w:szCs w:val="17"/>
              </w:rPr>
              <w:t xml:space="preserve">Cuenta institucional del gremio</w:t>
            </w:r>
          </w:p>
        </w:tc>
        <w:tc>
          <w:tcPr>
            <w:tcW w:type="dxa" w:w="111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color w:val="1A1A1A"/>
                <w:sz w:val="17"/>
                <w:szCs w:val="17"/>
              </w:rPr>
              <w:t xml:space="preserve">Bloqueado</w:t>
            </w:r>
          </w:p>
        </w:tc>
      </w:tr>
      <w:tr>
        <w:trPr>
          <w:cantSplit/>
          <w:tblHeader w:val="false"/>
        </w:trPr>
        <w:tc>
          <w:tcPr>
            <w:tcW w:type="dxa" w:w="5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color w:val="1A1A1A"/>
                <w:sz w:val="17"/>
                <w:szCs w:val="17"/>
              </w:rPr>
              <w:t xml:space="preserve">5</w:t>
            </w:r>
          </w:p>
        </w:tc>
        <w:tc>
          <w:tcPr>
            <w:tcW w:type="dxa" w:w="542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b/>
                <w:bCs/>
                <w:color w:val="1A1A1A"/>
                <w:sz w:val="17"/>
                <w:szCs w:val="17"/>
              </w:rPr>
              <w:t xml:space="preserve">Correo saliente real (SMTP institucional)</w:t>
            </w:r>
            <w:r>
              <w:rPr>
                <w:color w:val="1A1A1A"/>
                <w:sz w:val="17"/>
                <w:szCs w:val="17"/>
              </w:rPr>
              <w:t xml:space="preserve"> — sin él los códigos del segundo factor no salen del registro y el panel no es demostrable</w:t>
            </w:r>
          </w:p>
        </w:tc>
        <w:tc>
          <w:tcPr>
            <w:tcW w:type="dxa" w:w="225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color w:val="1A1A1A"/>
                <w:sz w:val="17"/>
                <w:szCs w:val="17"/>
              </w:rPr>
              <w:t xml:space="preserve">🔴 Cuenta institucional</w:t>
            </w:r>
          </w:p>
        </w:tc>
        <w:tc>
          <w:tcPr>
            <w:tcW w:type="dxa" w:w="111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color w:val="1A1A1A"/>
                <w:sz w:val="17"/>
                <w:szCs w:val="17"/>
              </w:rPr>
              <w:t xml:space="preserve">Bloqueado</w:t>
            </w:r>
          </w:p>
        </w:tc>
      </w:tr>
      <w:tr>
        <w:trPr>
          <w:cantSplit/>
          <w:tblHeader w:val="false"/>
        </w:trPr>
        <w:tc>
          <w:tcPr>
            <w:tcW w:type="dxa" w:w="5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color w:val="1A1A1A"/>
                <w:sz w:val="17"/>
                <w:szCs w:val="17"/>
              </w:rPr>
              <w:t xml:space="preserve">6</w:t>
            </w:r>
          </w:p>
        </w:tc>
        <w:tc>
          <w:tcPr>
            <w:tcW w:type="dxa" w:w="542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b/>
                <w:bCs/>
                <w:color w:val="1A1A1A"/>
                <w:sz w:val="17"/>
                <w:szCs w:val="17"/>
              </w:rPr>
              <w:t xml:space="preserve">Repetir la medición de rendimiento contra el dominio</w:t>
            </w:r>
            <w:r>
              <w:rPr>
                <w:color w:val="1A1A1A"/>
                <w:sz w:val="17"/>
                <w:szCs w:val="17"/>
              </w:rPr>
              <w:t xml:space="preserve"> — los 972 ms son contra </w:t>
            </w:r>
            <w:r>
              <w:rPr>
                <w:rFonts w:ascii="Consolas" w:cs="Consolas" w:eastAsia="Consolas" w:hAnsi="Consolas"/>
                <w:color w:val="3A3A3A"/>
                <w:sz w:val="14"/>
                <w:szCs w:val="14"/>
              </w:rPr>
              <w:t xml:space="preserve">localhost</w:t>
            </w:r>
            <w:r>
              <w:rPr>
                <w:color w:val="1A1A1A"/>
                <w:sz w:val="17"/>
                <w:szCs w:val="17"/>
              </w:rPr>
              <w:t xml:space="preserve"> y no incluyen latencia de red</w:t>
            </w:r>
          </w:p>
        </w:tc>
        <w:tc>
          <w:tcPr>
            <w:tcW w:type="dxa" w:w="225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color w:val="1A1A1A"/>
                <w:sz w:val="17"/>
                <w:szCs w:val="17"/>
              </w:rPr>
              <w:t xml:space="preserve">Depende del punto 4</w:t>
            </w:r>
          </w:p>
        </w:tc>
        <w:tc>
          <w:tcPr>
            <w:tcW w:type="dxa" w:w="111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color w:val="1A1A1A"/>
                <w:sz w:val="17"/>
                <w:szCs w:val="17"/>
              </w:rPr>
              <w:t xml:space="preserve">Media</w:t>
            </w:r>
          </w:p>
        </w:tc>
      </w:tr>
      <w:tr>
        <w:trPr>
          <w:cantSplit/>
          <w:tblHeader w:val="false"/>
        </w:trPr>
        <w:tc>
          <w:tcPr>
            <w:tcW w:type="dxa" w:w="5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color w:val="1A1A1A"/>
                <w:sz w:val="17"/>
                <w:szCs w:val="17"/>
              </w:rPr>
              <w:t xml:space="preserve">7</w:t>
            </w:r>
          </w:p>
        </w:tc>
        <w:tc>
          <w:tcPr>
            <w:tcW w:type="dxa" w:w="542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b/>
                <w:bCs/>
                <w:color w:val="1A1A1A"/>
                <w:sz w:val="17"/>
                <w:szCs w:val="17"/>
              </w:rPr>
              <w:t xml:space="preserve">Bold real:</w:t>
            </w:r>
            <w:r>
              <w:rPr>
                <w:color w:val="1A1A1A"/>
                <w:sz w:val="17"/>
                <w:szCs w:val="17"/>
              </w:rPr>
              <w:t xml:space="preserve"> el código de integración y el webhook existen y están probados contra la pasarela simulada; falta validarlos con credenciales reales</w:t>
            </w:r>
          </w:p>
        </w:tc>
        <w:tc>
          <w:tcPr>
            <w:tcW w:type="dxa" w:w="225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color w:val="1A1A1A"/>
                <w:sz w:val="17"/>
                <w:szCs w:val="17"/>
              </w:rPr>
              <w:t xml:space="preserve">🔴 Cuenta y llaves del gremio</w:t>
            </w:r>
          </w:p>
        </w:tc>
        <w:tc>
          <w:tcPr>
            <w:tcW w:type="dxa" w:w="111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color w:val="1A1A1A"/>
                <w:sz w:val="17"/>
                <w:szCs w:val="17"/>
              </w:rPr>
              <w:t xml:space="preserve">Bloqueado</w:t>
            </w:r>
          </w:p>
        </w:tc>
      </w:tr>
      <w:tr>
        <w:trPr>
          <w:cantSplit/>
          <w:tblHeader w:val="false"/>
        </w:trPr>
        <w:tc>
          <w:tcPr>
            <w:tcW w:type="dxa" w:w="5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color w:val="1A1A1A"/>
                <w:sz w:val="17"/>
                <w:szCs w:val="17"/>
              </w:rPr>
              <w:t xml:space="preserve">8</w:t>
            </w:r>
          </w:p>
        </w:tc>
        <w:tc>
          <w:tcPr>
            <w:tcW w:type="dxa" w:w="542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b/>
                <w:bCs/>
                <w:color w:val="1A1A1A"/>
                <w:sz w:val="17"/>
                <w:szCs w:val="17"/>
              </w:rPr>
              <w:t xml:space="preserve">Cargar los datos reales de los ~60 asociados</w:t>
            </w:r>
            <w:r>
              <w:rPr>
                <w:color w:val="1A1A1A"/>
                <w:sz w:val="17"/>
                <w:szCs w:val="17"/>
              </w:rPr>
              <w:t xml:space="preserve"> con sus autorizaciones de habeas data (insumo P-06)</w:t>
            </w:r>
          </w:p>
        </w:tc>
        <w:tc>
          <w:tcPr>
            <w:tcW w:type="dxa" w:w="225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color w:val="1A1A1A"/>
                <w:sz w:val="17"/>
                <w:szCs w:val="17"/>
              </w:rPr>
              <w:t xml:space="preserve">🔴 La tutora empresarial</w:t>
            </w:r>
          </w:p>
        </w:tc>
        <w:tc>
          <w:tcPr>
            <w:tcW w:type="dxa" w:w="111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color w:val="1A1A1A"/>
                <w:sz w:val="17"/>
                <w:szCs w:val="17"/>
              </w:rPr>
              <w:t xml:space="preserve">Bloqueado</w:t>
            </w:r>
          </w:p>
        </w:tc>
      </w:tr>
    </w:tbl>
    <w:p>
      <w:pPr>
        <w:spacing w:after="200"/>
      </w:pPr>
    </w:p>
    <w:p>
      <w:pPr>
        <w:spacing w:after="140" w:line="288"/>
        <w:jc w:val="both"/>
      </w:pPr>
      <w:r>
        <w:rPr>
          <w:b/>
          <w:bCs/>
          <w:color w:val="1A1A1A"/>
          <w:sz w:val="20"/>
          <w:szCs w:val="20"/>
        </w:rPr>
        <w:t xml:space="preserve">Deuda técnica anotada, que no bloquea la entrega:</w:t>
      </w:r>
      <w:r>
        <w:rPr>
          <w:color w:val="1A1A1A"/>
          <w:sz w:val="20"/>
          <w:szCs w:val="20"/>
        </w:rPr>
        <w:t xml:space="preserve"> 74 utilidades sueltas de </w:t>
      </w:r>
      <w:r>
        <w:rPr>
          <w:rFonts w:ascii="Consolas" w:cs="Consolas" w:eastAsia="Consolas" w:hAnsi="Consolas"/>
          <w:color w:val="3A3A3A"/>
          <w:sz w:val="17"/>
          <w:szCs w:val="17"/>
        </w:rPr>
        <w:t xml:space="preserve">leading-*</w:t>
      </w:r>
      <w:r>
        <w:rPr>
          <w:color w:val="1A1A1A"/>
          <w:sz w:val="20"/>
          <w:szCs w:val="20"/>
        </w:rPr>
        <w:t xml:space="preserve">/</w:t>
      </w:r>
      <w:r>
        <w:rPr>
          <w:rFonts w:ascii="Consolas" w:cs="Consolas" w:eastAsia="Consolas" w:hAnsi="Consolas"/>
          <w:color w:val="3A3A3A"/>
          <w:sz w:val="17"/>
          <w:szCs w:val="17"/>
        </w:rPr>
        <w:t xml:space="preserve">tracking-*</w:t>
      </w:r>
      <w:r>
        <w:rPr>
          <w:color w:val="1A1A1A"/>
          <w:sz w:val="20"/>
          <w:szCs w:val="20"/>
        </w:rPr>
        <w:t xml:space="preserve"> que secuestran la escala tipográfica en su propio elemento; </w:t>
      </w:r>
      <w:r>
        <w:rPr>
          <w:rFonts w:ascii="Consolas" w:cs="Consolas" w:eastAsia="Consolas" w:hAnsi="Consolas"/>
          <w:color w:val="3A3A3A"/>
          <w:sz w:val="17"/>
          <w:szCs w:val="17"/>
        </w:rPr>
        <w:t xml:space="preserve">@alpinejs/collapse</w:t>
      </w:r>
      <w:r>
        <w:rPr>
          <w:color w:val="1A1A1A"/>
          <w:sz w:val="20"/>
          <w:szCs w:val="20"/>
        </w:rPr>
        <w:t xml:space="preserve"> importado sin consumidores; el consecutivo de PQR bajo concurrencia en PostgreSQL, que </w:t>
      </w:r>
      <w:r>
        <w:rPr>
          <w:b/>
          <w:bCs/>
          <w:color w:val="1A1A1A"/>
          <w:sz w:val="20"/>
          <w:szCs w:val="20"/>
        </w:rPr>
        <w:t xml:space="preserve">falla cerrado</w:t>
      </w:r>
      <w:r>
        <w:rPr>
          <w:color w:val="1A1A1A"/>
          <w:sz w:val="20"/>
          <w:szCs w:val="20"/>
        </w:rPr>
        <w:t xml:space="preserve"> por índice único (el segundo envío simultáneo recibe error, no un radicado duplicado).</w:t>
      </w:r>
    </w:p>
    <w:p>
      <w:pPr>
        <w:pBdr>
          <w:bottom w:val="single" w:color="D4D4D4" w:sz="4" w:space="4"/>
        </w:pBdr>
        <w:spacing w:after="160" w:before="60"/>
      </w:pPr>
    </w:p>
    <w:p>
      <w:pPr>
        <w:pStyle w:val="Heading2"/>
        <w:pBdr>
          <w:bottom w:val="single" w:color="D4D4D4" w:sz="6" w:space="6"/>
        </w:pBdr>
        <w:spacing w:after="160" w:before="360"/>
      </w:pPr>
      <w:r>
        <w:rPr>
          <w:b/>
          <w:bCs/>
          <w:color w:val="C0392B"/>
          <w:sz w:val="25"/>
          <w:szCs w:val="25"/>
        </w:rPr>
        <w:t xml:space="preserve">7. Riesgos escalados</w:t>
      </w:r>
    </w:p>
    <w:p>
      <w:pPr>
        <w:spacing w:after="140" w:line="288"/>
        <w:jc w:val="both"/>
      </w:pPr>
      <w:r>
        <w:rPr>
          <w:b/>
          <w:bCs/>
          <w:color w:val="1A1A1A"/>
          <w:sz w:val="20"/>
          <w:szCs w:val="20"/>
        </w:rPr>
        <w:t xml:space="preserve">R-14 — La plataforma no vive en ningún servidor por falta de cuenta institucional.</w:t>
      </w:r>
      <w:r>
        <w:rPr>
          <w:color w:val="1A1A1A"/>
          <w:sz w:val="20"/>
          <w:szCs w:val="20"/>
        </w:rPr>
        <w:t xml:space="preserve"> Materializado desde el 15 de agosto.</w:t>
      </w:r>
    </w:p>
    <w:p>
      <w:pPr>
        <w:spacing w:after="140" w:line="288"/>
        <w:jc w:val="both"/>
      </w:pPr>
      <w:r>
        <w:rPr>
          <w:i/>
          <w:iCs/>
          <w:color w:val="1A1A1A"/>
          <w:sz w:val="20"/>
          <w:szCs w:val="20"/>
        </w:rPr>
        <w:t xml:space="preserve">Impacto:</w:t>
      </w:r>
      <w:r>
        <w:rPr>
          <w:color w:val="1A1A1A"/>
          <w:sz w:val="20"/>
          <w:szCs w:val="20"/>
        </w:rPr>
        <w:t xml:space="preserve"> el hosting de pruebas era ítem de la S3, ya vencida; sin URL viva no hay SSL (S8), no hay pruebas en dispositivos reales de la tutora (S7), y el corte 2 se queda sin su canal natural de retroalimentación del empresario.</w:t>
      </w:r>
    </w:p>
    <w:p>
      <w:pPr>
        <w:spacing w:after="140" w:line="288"/>
        <w:jc w:val="both"/>
      </w:pPr>
      <w:r>
        <w:rPr>
          <w:i/>
          <w:iCs/>
          <w:color w:val="1A1A1A"/>
          <w:sz w:val="20"/>
          <w:szCs w:val="20"/>
        </w:rPr>
        <w:t xml:space="preserve">Dueño del riesgo:</w:t>
      </w:r>
      <w:r>
        <w:rPr>
          <w:color w:val="1A1A1A"/>
          <w:sz w:val="20"/>
          <w:szCs w:val="20"/>
        </w:rPr>
        <w:t xml:space="preserve"> la dirección ejecutiva de ASOBARES, no el equipo de práctica.</w:t>
      </w:r>
    </w:p>
    <w:p>
      <w:pPr>
        <w:spacing w:after="140" w:line="288"/>
        <w:jc w:val="both"/>
      </w:pPr>
      <w:r>
        <w:rPr>
          <w:i/>
          <w:iCs/>
          <w:color w:val="1A1A1A"/>
          <w:sz w:val="20"/>
          <w:szCs w:val="20"/>
        </w:rPr>
        <w:t xml:space="preserve">Por qué no se resuelve desplegando con cuenta personal:</w:t>
      </w:r>
      <w:r>
        <w:rPr>
          <w:color w:val="1A1A1A"/>
          <w:sz w:val="20"/>
          <w:szCs w:val="20"/>
        </w:rPr>
        <w:t xml:space="preserve"> el modo de falla está descrito y es predecible — la demostración sale bien, nadie migra lo que ya funciona, la práctica termina el 22 de septiembre y las llaves se van con el practicante. Se lleva a la reunión con la tutora como decisión de junta, con la consecuencia dicha en voz alta.</w:t>
      </w:r>
    </w:p>
    <w:p>
      <w:pPr>
        <w:spacing w:after="140" w:line="288"/>
        <w:jc w:val="both"/>
      </w:pPr>
      <w:r>
        <w:rPr>
          <w:b/>
          <w:bCs/>
          <w:color w:val="1A1A1A"/>
          <w:sz w:val="20"/>
          <w:szCs w:val="20"/>
        </w:rPr>
        <w:t xml:space="preserve">Observación de gobierno del código.</w:t>
      </w:r>
      <w:r>
        <w:rPr>
          <w:color w:val="1A1A1A"/>
          <w:sz w:val="20"/>
          <w:szCs w:val="20"/>
        </w:rPr>
        <w:t xml:space="preserve"> El repositorio está en una </w:t>
      </w:r>
      <w:r>
        <w:rPr>
          <w:b/>
          <w:bCs/>
          <w:color w:val="1A1A1A"/>
          <w:sz w:val="20"/>
          <w:szCs w:val="20"/>
        </w:rPr>
        <w:t xml:space="preserve">cuenta personal de GitHub y es público</w:t>
      </w:r>
      <w:r>
        <w:rPr>
          <w:color w:val="1A1A1A"/>
          <w:sz w:val="20"/>
          <w:szCs w:val="20"/>
        </w:rPr>
        <w:t xml:space="preserve"> — se comprueba clonándolo sin credenciales. No hay fuga de datos: </w:t>
      </w:r>
      <w:r>
        <w:rPr>
          <w:rFonts w:ascii="Consolas" w:cs="Consolas" w:eastAsia="Consolas" w:hAnsi="Consolas"/>
          <w:color w:val="3A3A3A"/>
          <w:sz w:val="17"/>
          <w:szCs w:val="17"/>
        </w:rPr>
        <w:t xml:space="preserve">.env</w:t>
      </w:r>
      <w:r>
        <w:rPr>
          <w:color w:val="1A1A1A"/>
          <w:sz w:val="20"/>
          <w:szCs w:val="20"/>
        </w:rPr>
        <w:t xml:space="preserve"> y la base SQLite están excluidos del control de versiones y no hay secretos versionados. Pero antes del 22 de septiembre conviene moverlo a una organización del gremio, o al menos añadir un segundo administrador. Es gratis y toma minutos.</w:t>
      </w:r>
    </w:p>
    <w:p>
      <w:pPr>
        <w:pBdr>
          <w:bottom w:val="single" w:color="D4D4D4" w:sz="4" w:space="4"/>
        </w:pBdr>
        <w:spacing w:after="160" w:before="60"/>
      </w:pPr>
    </w:p>
    <w:p>
      <w:pPr>
        <w:pStyle w:val="Heading2"/>
        <w:pBdr>
          <w:bottom w:val="single" w:color="D4D4D4" w:sz="6" w:space="6"/>
        </w:pBdr>
        <w:spacing w:after="160" w:before="360"/>
      </w:pPr>
      <w:r>
        <w:rPr>
          <w:b/>
          <w:bCs/>
          <w:color w:val="C0392B"/>
          <w:sz w:val="25"/>
          <w:szCs w:val="25"/>
        </w:rPr>
        <w:t xml:space="preserve">8. Anexos y evidencia</w:t>
      </w:r>
    </w:p>
    <w:p>
      <w:pPr>
        <w:spacing w:after="140" w:line="288"/>
        <w:jc w:val="both"/>
      </w:pPr>
      <w:r>
        <w:rPr>
          <w:color w:val="1A1A1A"/>
          <w:sz w:val="20"/>
          <w:szCs w:val="20"/>
        </w:rPr>
        <w:t xml:space="preserve">Todo lo citado en este informe es verificable en el repositorio:</w:t>
      </w:r>
    </w:p>
    <w:tbl>
      <w:tblPr>
        <w:tblW w:type="dxa" w:w="9360"/>
        <w:tblBorders>
          <w:top w:val="single" w:color="D4D4D4" w:sz="2"/>
          <w:left w:val="single" w:color="D4D4D4" w:sz="2"/>
          <w:bottom w:val="single" w:color="D4D4D4" w:sz="2"/>
          <w:right w:val="single" w:color="D4D4D4" w:sz="2"/>
          <w:insideH w:val="single" w:color="D4D4D4" w:sz="2"/>
          <w:insideV w:val="single" w:color="D4D4D4" w:sz="2"/>
        </w:tblBorders>
      </w:tblPr>
      <w:tblGrid>
        <w:gridCol w:w="3469"/>
        <w:gridCol w:w="5891"/>
      </w:tblGrid>
      <w:tr>
        <w:trPr>
          <w:cantSplit/>
          <w:tblHeader/>
        </w:trPr>
        <w:tc>
          <w:tcPr>
            <w:tcW w:type="dxa" w:w="3469"/>
            <w:shd w:fill="F2F2F2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b/>
                <w:bCs/>
                <w:color w:val="1A1A1A"/>
                <w:sz w:val="17"/>
                <w:szCs w:val="17"/>
              </w:rPr>
              <w:t xml:space="preserve">Anexo</w:t>
            </w:r>
          </w:p>
        </w:tc>
        <w:tc>
          <w:tcPr>
            <w:tcW w:type="dxa" w:w="5891"/>
            <w:shd w:fill="F2F2F2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b/>
                <w:bCs/>
                <w:color w:val="1A1A1A"/>
                <w:sz w:val="17"/>
                <w:szCs w:val="17"/>
              </w:rPr>
              <w:t xml:space="preserve">Ruta</w:t>
            </w:r>
          </w:p>
        </w:tc>
      </w:tr>
      <w:tr>
        <w:trPr>
          <w:cantSplit/>
          <w:tblHeader w:val="false"/>
        </w:trPr>
        <w:tc>
          <w:tcPr>
            <w:tcW w:type="dxa" w:w="346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color w:val="1A1A1A"/>
                <w:sz w:val="17"/>
                <w:szCs w:val="17"/>
              </w:rPr>
              <w:t xml:space="preserve">A · Matriz de trazabilidad de requisitos y pruebas</w:t>
            </w:r>
          </w:p>
        </w:tc>
        <w:tc>
          <w:tcPr>
            <w:tcW w:type="dxa" w:w="589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3A3A3A"/>
                <w:sz w:val="14"/>
                <w:szCs w:val="14"/>
              </w:rPr>
              <w:t xml:space="preserve">docs/ingenieria/matriz-de-pruebas.md</w:t>
            </w:r>
          </w:p>
        </w:tc>
      </w:tr>
      <w:tr>
        <w:trPr>
          <w:cantSplit/>
          <w:tblHeader w:val="false"/>
        </w:trPr>
        <w:tc>
          <w:tcPr>
            <w:tcW w:type="dxa" w:w="346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color w:val="1A1A1A"/>
                <w:sz w:val="17"/>
                <w:szCs w:val="17"/>
              </w:rPr>
              <w:t xml:space="preserve">B · Manual de usuario del panel (24 pp., 11 capturas)</w:t>
            </w:r>
          </w:p>
        </w:tc>
        <w:tc>
          <w:tcPr>
            <w:tcW w:type="dxa" w:w="589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3A3A3A"/>
                <w:sz w:val="14"/>
                <w:szCs w:val="14"/>
              </w:rPr>
              <w:t xml:space="preserve">docs/ingenieria/Manual de usuario - Panel ASOBARES Quindio.pdf</w:t>
            </w:r>
          </w:p>
        </w:tc>
      </w:tr>
      <w:tr>
        <w:trPr>
          <w:cantSplit/>
          <w:tblHeader w:val="false"/>
        </w:trPr>
        <w:tc>
          <w:tcPr>
            <w:tcW w:type="dxa" w:w="346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color w:val="1A1A1A"/>
                <w:sz w:val="17"/>
                <w:szCs w:val="17"/>
              </w:rPr>
              <w:t xml:space="preserve">C · Diagramas UML y BPMN + fuentes PlantUML</w:t>
            </w:r>
          </w:p>
        </w:tc>
        <w:tc>
          <w:tcPr>
            <w:tcW w:type="dxa" w:w="589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3A3A3A"/>
                <w:sz w:val="14"/>
                <w:szCs w:val="14"/>
              </w:rPr>
              <w:t xml:space="preserve">docs/ingenieria/diagramas/</w:t>
            </w:r>
          </w:p>
        </w:tc>
      </w:tr>
      <w:tr>
        <w:trPr>
          <w:cantSplit/>
          <w:tblHeader w:val="false"/>
        </w:trPr>
        <w:tc>
          <w:tcPr>
            <w:tcW w:type="dxa" w:w="346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color w:val="1A1A1A"/>
                <w:sz w:val="17"/>
                <w:szCs w:val="17"/>
              </w:rPr>
              <w:t xml:space="preserve">D · Medición de rendimiento (RNF-02)</w:t>
            </w:r>
          </w:p>
        </w:tc>
        <w:tc>
          <w:tcPr>
            <w:tcW w:type="dxa" w:w="589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3A3A3A"/>
                <w:sz w:val="14"/>
                <w:szCs w:val="14"/>
              </w:rPr>
              <w:t xml:space="preserve">docs/ingenieria/medicion-de-rendimiento.md</w:t>
            </w:r>
          </w:p>
        </w:tc>
      </w:tr>
      <w:tr>
        <w:trPr>
          <w:cantSplit/>
          <w:tblHeader w:val="false"/>
        </w:trPr>
        <w:tc>
          <w:tcPr>
            <w:tcW w:type="dxa" w:w="346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color w:val="1A1A1A"/>
                <w:sz w:val="17"/>
                <w:szCs w:val="17"/>
              </w:rPr>
              <w:t xml:space="preserve">E · Base de datos exportada (esquema + datos demo)</w:t>
            </w:r>
          </w:p>
        </w:tc>
        <w:tc>
          <w:tcPr>
            <w:tcW w:type="dxa" w:w="589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3A3A3A"/>
                <w:sz w:val="14"/>
                <w:szCs w:val="14"/>
              </w:rPr>
              <w:t xml:space="preserve">docs/ingenieria/base-de-datos/</w:t>
            </w:r>
          </w:p>
        </w:tc>
      </w:tr>
      <w:tr>
        <w:trPr>
          <w:cantSplit/>
          <w:tblHeader w:val="false"/>
        </w:trPr>
        <w:tc>
          <w:tcPr>
            <w:tcW w:type="dxa" w:w="346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color w:val="1A1A1A"/>
                <w:sz w:val="17"/>
                <w:szCs w:val="17"/>
              </w:rPr>
              <w:t xml:space="preserve">F · Runbook de despliegue (512 líneas)</w:t>
            </w:r>
          </w:p>
        </w:tc>
        <w:tc>
          <w:tcPr>
            <w:tcW w:type="dxa" w:w="589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3A3A3A"/>
                <w:sz w:val="14"/>
                <w:szCs w:val="14"/>
              </w:rPr>
              <w:t xml:space="preserve">docs/ingenieria/runbook-despliegue.md</w:t>
            </w:r>
          </w:p>
        </w:tc>
      </w:tr>
      <w:tr>
        <w:trPr>
          <w:cantSplit/>
          <w:tblHeader w:val="false"/>
        </w:trPr>
        <w:tc>
          <w:tcPr>
            <w:tcW w:type="dxa" w:w="346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color w:val="1A1A1A"/>
                <w:sz w:val="17"/>
                <w:szCs w:val="17"/>
              </w:rPr>
              <w:t xml:space="preserve">G · Constancias para firma del gremio</w:t>
            </w:r>
          </w:p>
        </w:tc>
        <w:tc>
          <w:tcPr>
            <w:tcW w:type="dxa" w:w="589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3A3A3A"/>
                <w:sz w:val="14"/>
                <w:szCs w:val="14"/>
              </w:rPr>
              <w:t xml:space="preserve">docs/ingenieria/constancias/</w:t>
            </w:r>
          </w:p>
        </w:tc>
      </w:tr>
      <w:tr>
        <w:trPr>
          <w:cantSplit/>
          <w:tblHeader w:val="false"/>
        </w:trPr>
        <w:tc>
          <w:tcPr>
            <w:tcW w:type="dxa" w:w="346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color w:val="1A1A1A"/>
                <w:sz w:val="17"/>
                <w:szCs w:val="17"/>
              </w:rPr>
              <w:t xml:space="preserve">H · Informe de cumplimiento del cronograma</w:t>
            </w:r>
          </w:p>
        </w:tc>
        <w:tc>
          <w:tcPr>
            <w:tcW w:type="dxa" w:w="589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3A3A3A"/>
                <w:sz w:val="14"/>
                <w:szCs w:val="14"/>
              </w:rPr>
              <w:t xml:space="preserve">docs/ingenieria/Informe de cumplimiento del cronograma - ASOBARES Quindio (19 ago, rev 2).docx</w:t>
            </w:r>
          </w:p>
        </w:tc>
      </w:tr>
      <w:tr>
        <w:trPr>
          <w:cantSplit/>
          <w:tblHeader w:val="false"/>
        </w:trPr>
        <w:tc>
          <w:tcPr>
            <w:tcW w:type="dxa" w:w="346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color w:val="1A1A1A"/>
                <w:sz w:val="17"/>
                <w:szCs w:val="17"/>
              </w:rPr>
              <w:t xml:space="preserve">I · Índice del expediente</w:t>
            </w:r>
          </w:p>
        </w:tc>
        <w:tc>
          <w:tcPr>
            <w:tcW w:type="dxa" w:w="589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3A3A3A"/>
                <w:sz w:val="14"/>
                <w:szCs w:val="14"/>
              </w:rPr>
              <w:t xml:space="preserve">docs/ingenieria/README.md</w:t>
            </w:r>
          </w:p>
        </w:tc>
      </w:tr>
    </w:tbl>
    <w:p>
      <w:pPr>
        <w:spacing w:after="200"/>
      </w:pPr>
    </w:p>
    <w:p>
      <w:pPr>
        <w:pBdr>
          <w:bottom w:val="single" w:color="D4D4D4" w:sz="4" w:space="4"/>
        </w:pBdr>
        <w:spacing w:after="160" w:before="60"/>
      </w:pPr>
    </w:p>
    <w:p>
      <w:pPr>
        <w:spacing w:after="140" w:line="288"/>
        <w:jc w:val="both"/>
      </w:pPr>
      <w:r>
        <w:rPr>
          <w:i/>
          <w:iCs/>
          <w:color w:val="1A1A1A"/>
          <w:sz w:val="20"/>
          <w:szCs w:val="20"/>
        </w:rPr>
        <w:t xml:space="preserve">Juan José Sua Gómez — Practicante, Universidad Alexander von Humboldt</w:t>
      </w:r>
    </w:p>
    <w:p>
      <w:pPr>
        <w:spacing w:after="140" w:line="288"/>
        <w:jc w:val="both"/>
      </w:pPr>
      <w:r>
        <w:rPr>
          <w:i/>
          <w:iCs/>
          <w:color w:val="1A1A1A"/>
          <w:sz w:val="20"/>
          <w:szCs w:val="20"/>
        </w:rPr>
        <w:t xml:space="preserve">ASOBARES Capítulo Quindío · agosto de 2026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C5C5C"/>
        <w:sz w:val="15"/>
        <w:szCs w:val="15"/>
      </w:rPr>
      <w:t xml:space="preserve">Juan José Sua Gómez · Universidad Alexander von Humboldt · agosto de 2026        </w:t>
    </w:r>
    <w:r>
      <w:rPr>
        <w:color w:val="5C5C5C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60"/>
      <w:jc w:val="right"/>
    </w:pPr>
    <w:r>
      <w:rPr>
        <w:color w:val="5C5C5C"/>
        <w:sz w:val="16"/>
        <w:szCs w:val="16"/>
      </w:rPr>
      <w:t xml:space="preserve">ASOBARES Capítulo Quindío · Informe de avance — Persona 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de avance — Persona 1 — ASOBARES Capítulo Quindío</dc:title>
  <dc:creator>Juan José Sua Gómez</dc:creator>
  <dc:description>Informe de avance del frente A (plataforma, administración y producción), corte 2</dc:description>
  <cp:lastModifiedBy>Un-named</cp:lastModifiedBy>
  <cp:revision>1</cp:revision>
  <dcterms:created xsi:type="dcterms:W3CDTF">2026-08-20T13:49:28.267Z</dcterms:created>
  <dcterms:modified xsi:type="dcterms:W3CDTF">2026-08-20T13:49:28.268Z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