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drawing>
          <wp:inline distT="0" distB="0" distL="0" distR="0">
            <wp:extent cx="28194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514350"/>
                    </a:xfrm>
                    <a:prstGeom prst="rect">
                      <a:avLst/>
                    </a:prstGeom>
                  </pic:spPr>
                </pic:pic>
              </a:graphicData>
            </a:graphic>
          </wp:inline>
        </w:drawing>
      </w:r>
    </w:p>
    <w:p>
      <w:pPr>
        <w:spacing w:after="40" w:before="0" w:line="276"/>
        <w:jc w:val="center"/>
      </w:pPr>
      <w:r>
        <w:rPr>
          <w:rFonts w:ascii="Calibri" w:cs="Calibri" w:eastAsia="Calibri" w:hAnsi="Calibri"/>
          <w:b/>
          <w:bCs/>
          <w:color w:val="5A5A5A"/>
          <w:sz w:val="22"/>
          <w:szCs w:val="22"/>
        </w:rPr>
        <w:t xml:space="preserve">ASOBARES CAPÍTULO QUINDÍO</w:t>
      </w:r>
    </w:p>
    <w:p>
      <w:pPr>
        <w:spacing w:after="700" w:before="0" w:line="276"/>
        <w:jc w:val="center"/>
      </w:pPr>
      <w:r>
        <w:rPr>
          <w:rFonts w:ascii="Calibri" w:cs="Calibri" w:eastAsia="Calibri" w:hAnsi="Calibri"/>
          <w:color w:val="5A5A5A"/>
          <w:sz w:val="19"/>
          <w:szCs w:val="19"/>
        </w:rPr>
        <w:t xml:space="preserve">Práctica empresarial · Universidad Alexander von Humboldt</w:t>
      </w:r>
    </w:p>
    <w:p>
      <w:pPr>
        <w:pBdr>
          <w:top w:val="single" w:color="EE4137" w:sz="12"/>
        </w:pBdr>
        <w:spacing w:after="100"/>
        <w:jc w:val="center"/>
      </w:pPr>
      <w:r>
        <w:rPr>
          <w:sz w:val="4"/>
          <w:szCs w:val="4"/>
        </w:rPr>
        <w:t xml:space="preserve"/>
      </w:r>
    </w:p>
    <w:p>
      <w:pPr>
        <w:spacing w:after="60" w:before="0" w:line="276"/>
        <w:jc w:val="center"/>
      </w:pPr>
      <w:r>
        <w:rPr>
          <w:rFonts w:ascii="Calibri" w:cs="Calibri" w:eastAsia="Calibri" w:hAnsi="Calibri"/>
          <w:b/>
          <w:bCs/>
          <w:color w:val="0B090A"/>
          <w:sz w:val="40"/>
          <w:szCs w:val="40"/>
        </w:rPr>
        <w:t xml:space="preserve">INFORME DE CUMPLIMIENTO</w:t>
      </w:r>
    </w:p>
    <w:p>
      <w:pPr>
        <w:spacing w:after="140" w:before="0" w:line="276"/>
        <w:jc w:val="center"/>
      </w:pPr>
      <w:r>
        <w:rPr>
          <w:rFonts w:ascii="Calibri" w:cs="Calibri" w:eastAsia="Calibri" w:hAnsi="Calibri"/>
          <w:b/>
          <w:bCs/>
          <w:color w:val="0B090A"/>
          <w:sz w:val="40"/>
          <w:szCs w:val="40"/>
        </w:rPr>
        <w:t xml:space="preserve">DEL CRONOGRAMA DE PRÁCTICAS</w:t>
      </w:r>
    </w:p>
    <w:p>
      <w:pPr>
        <w:spacing w:after="100" w:before="0" w:line="276"/>
        <w:jc w:val="center"/>
      </w:pPr>
      <w:r>
        <w:rPr>
          <w:rFonts w:ascii="Calibri" w:cs="Calibri" w:eastAsia="Calibri" w:hAnsi="Calibri"/>
          <w:color w:val="EE4137"/>
          <w:sz w:val="24"/>
          <w:szCs w:val="24"/>
        </w:rPr>
        <w:t xml:space="preserve">Proyecto: Sitio Web — ASOBARES Quindío</w:t>
      </w:r>
    </w:p>
    <w:p>
      <w:pPr>
        <w:pBdr>
          <w:bottom w:val="single" w:color="EE4137" w:sz="12"/>
        </w:pBdr>
        <w:spacing w:after="800"/>
        <w:jc w:val="center"/>
      </w:pPr>
      <w:r>
        <w:rPr>
          <w:sz w:val="4"/>
          <w:szCs w:val="4"/>
        </w:rPr>
        <w:t xml:space="preserve"/>
      </w:r>
    </w:p>
    <w:tbl>
      <w:tblPr>
        <w:tblW w:type="dxa" w:w="7800"/>
        <w:jc w:val="center"/>
        <w:tblBorders>
          <w:top w:val="none"/>
          <w:left w:val="none"/>
          <w:bottom w:val="none"/>
          <w:right w:val="none"/>
          <w:insideH w:val="single" w:color="D9D9D9" w:sz="2"/>
          <w:insideV w:val="none"/>
        </w:tblBorders>
      </w:tblPr>
      <w:tblGrid>
        <w:gridCol w:w="2600"/>
        <w:gridCol w:w="5200"/>
      </w:tblGrid>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Corte del informe</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19 de agosto de 2026 — semana 4 de 8</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Documento rector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Cronograma Prácticas Asobares, firmado por la Directora Ejecutiva</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Fecha límite del proyecto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22 de septiembre de 2026</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Elaboró</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Juan José Sua Gómez — practicante, Ingeniería de Software</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Tutora empresarial</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Natalia Gutiérrez — Directora Ejecutiva, ASOBARES Capítulo Quindío</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Docente asesor</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César Augusto Granada Muñoz — Universidad Alexander von Humboldt</w:t>
            </w:r>
          </w:p>
        </w:tc>
      </w:tr>
      <w:tr>
        <w:trPr>
          <w:cantSplit/>
        </w:trPr>
        <w:tc>
          <w:tcPr>
            <w:tcW w:type="dxa" w:w="2600"/>
            <w:tcMar>
              <w:top w:type="dxa" w:w="90"/>
              <w:left w:type="dxa" w:w="110"/>
              <w:bottom w:type="dxa" w:w="90"/>
              <w:right w:type="dxa" w:w="110"/>
            </w:tcMar>
            <w:vAlign w:val="top"/>
          </w:tcPr>
          <w:p>
            <w:pPr>
              <w:spacing w:after="0" w:before="0" w:line="276"/>
            </w:pPr>
            <w:r>
              <w:rPr>
                <w:rFonts w:ascii="Calibri" w:cs="Calibri" w:eastAsia="Calibri" w:hAnsi="Calibri"/>
                <w:b/>
                <w:bCs/>
                <w:color w:val="5A5A5A"/>
                <w:sz w:val="19"/>
                <w:szCs w:val="19"/>
              </w:rPr>
              <w:t xml:space="preserve">Repositorio</w:t>
            </w:r>
          </w:p>
        </w:tc>
        <w:tc>
          <w:tcPr>
            <w:tcW w:type="dxa" w:w="52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github.com/Jsua3/asobares</w:t>
            </w:r>
          </w:p>
        </w:tc>
      </w:tr>
    </w:tbl>
    <w:p>
      <w:r>
        <w:br w:type="page"/>
      </w:r>
    </w:p>
    <w:p>
      <w:pPr>
        <w:pStyle w:val="Heading1"/>
        <w:spacing w:after="180" w:before="360"/>
      </w:pPr>
      <w:r>
        <w:rPr>
          <w:rFonts w:ascii="Calibri" w:cs="Calibri" w:eastAsia="Calibri" w:hAnsi="Calibri"/>
          <w:b/>
          <w:bCs/>
          <w:color w:val="EE4137"/>
          <w:sz w:val="30"/>
          <w:szCs w:val="30"/>
        </w:rPr>
        <w:t xml:space="preserve">Tabla de contenido</w:t>
      </w:r>
    </w:p>
    <w:tbl>
      <w:tblPr>
        <w:tblW w:type="dxa" w:w="9360"/>
        <w:tblBorders>
          <w:top w:val="none"/>
          <w:left w:val="none"/>
          <w:bottom w:val="none"/>
          <w:right w:val="none"/>
          <w:insideH w:val="none"/>
          <w:insideV w:val="none"/>
        </w:tblBorders>
      </w:tblPr>
      <w:tblGrid>
        <w:gridCol w:w="8560"/>
        <w:gridCol w:w="800"/>
      </w:tblGrid>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 Objeto de este informe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1.1  Cómo leer los estados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3</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2. Resumen ejecutivo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3</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2.1  Estado de las ocho semanas</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2.2  Cifras del proyecto al 19 de agosto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3. Cumplimiento semana a semana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1 · Planificación y diseño (semanas 1 y 2)</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2 · Desarrollo base y contenidos (semanas 3 y 4)</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3 · Funcionalidades avanzadas e integraciones (semanas 5 y 6)</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8</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Fase 4 · Pruebas, lanzamiento y entrega (semanas 7 y 8)</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4. Pautas obligatorias transversales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11</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5. Entregables finales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12</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6. Alcance construido por encima del contrato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7. Evidencia documental producida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14</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8. Brechas declaradas, con responsable y fecha</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8.1  Brechas que no dependen del equipo de desarrollo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15</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8.2  Decisión pendiente de la dirección</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8.3  Brechas técnicas a cargo del equipo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16</w:t>
            </w:r>
          </w:p>
        </w:tc>
      </w:tr>
      <w:tr>
        <w:trPr>
          <w:cantSplit/>
        </w:trPr>
        <w:tc>
          <w:tcPr>
            <w:tcW w:type="dxa" w:w="8560"/>
            <w:tcMar>
              <w:top w:type="dxa" w:w="20"/>
              <w:left w:type="dxa" w:w="380"/>
              <w:bottom w:type="dxa" w:w="20"/>
              <w:right w:type="dxa" w:w="100"/>
            </w:tcMar>
          </w:tcPr>
          <w:p>
            <w:pPr>
              <w:spacing w:after="0" w:before="0" w:line="276"/>
            </w:pPr>
            <w:r>
              <w:rPr>
                <w:rFonts w:ascii="Calibri" w:cs="Calibri" w:eastAsia="Calibri" w:hAnsi="Calibri"/>
                <w:b w:val="false"/>
                <w:bCs w:val="false"/>
                <w:color w:val="5A5A5A"/>
                <w:sz w:val="20"/>
                <w:szCs w:val="20"/>
              </w:rPr>
              <w:t xml:space="preserve">8.4  Insumos que la plataforma sigue esperando</w:t>
            </w:r>
          </w:p>
        </w:tc>
        <w:tc>
          <w:tcPr>
            <w:tcW w:type="dxa" w:w="800"/>
            <w:tcMar>
              <w:top w:type="dxa" w:w="20"/>
              <w:left w:type="dxa" w:w="0"/>
              <w:bottom w:type="dxa" w:w="20"/>
              <w:right w:type="dxa" w:w="0"/>
            </w:tcMar>
          </w:tcPr>
          <w:p>
            <w:pPr>
              <w:spacing w:after="0" w:before="0" w:line="276"/>
              <w:jc w:val="right"/>
            </w:pPr>
            <w:r>
              <w:rPr>
                <w:rFonts w:ascii="Calibri" w:cs="Calibri" w:eastAsia="Calibri" w:hAnsi="Calibri"/>
                <w:b w:val="false"/>
                <w:bCs w:val="false"/>
                <w:color w:val="5A5A5A"/>
                <w:sz w:val="20"/>
                <w:szCs w:val="20"/>
              </w:rPr>
              <w:t xml:space="preserve">17</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9. Plan hasta el 22 de septiembre</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18</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10. Constancia de revisión y observaciones</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19</w:t>
            </w:r>
          </w:p>
        </w:tc>
      </w:tr>
      <w:tr>
        <w:trPr>
          <w:cantSplit/>
        </w:trPr>
        <w:tc>
          <w:tcPr>
            <w:tcW w:type="dxa" w:w="8560"/>
            <w:tcMar>
              <w:top w:type="dxa" w:w="90"/>
              <w:left w:type="dxa" w:w="0"/>
              <w:bottom w:type="dxa" w:w="20"/>
              <w:right w:type="dxa" w:w="100"/>
            </w:tcMar>
          </w:tcPr>
          <w:p>
            <w:pPr>
              <w:spacing w:after="0" w:before="0" w:line="276"/>
            </w:pPr>
            <w:r>
              <w:rPr>
                <w:rFonts w:ascii="Calibri" w:cs="Calibri" w:eastAsia="Calibri" w:hAnsi="Calibri"/>
                <w:b/>
                <w:bCs/>
                <w:color w:val="0B090A"/>
                <w:sz w:val="21"/>
                <w:szCs w:val="21"/>
              </w:rPr>
              <w:t xml:space="preserve">Anexo · Índice de documentos del proyecto</w:t>
            </w:r>
          </w:p>
        </w:tc>
        <w:tc>
          <w:tcPr>
            <w:tcW w:type="dxa" w:w="800"/>
            <w:tcMar>
              <w:top w:type="dxa" w:w="90"/>
              <w:left w:type="dxa" w:w="0"/>
              <w:bottom w:type="dxa" w:w="20"/>
              <w:right w:type="dxa" w:w="0"/>
            </w:tcMar>
          </w:tcPr>
          <w:p>
            <w:pPr>
              <w:spacing w:after="0" w:before="0" w:line="276"/>
              <w:jc w:val="right"/>
            </w:pPr>
            <w:r>
              <w:rPr>
                <w:rFonts w:ascii="Calibri" w:cs="Calibri" w:eastAsia="Calibri" w:hAnsi="Calibri"/>
                <w:b/>
                <w:bCs/>
                <w:color w:val="0B090A"/>
                <w:sz w:val="21"/>
                <w:szCs w:val="21"/>
              </w:rPr>
              <w:t xml:space="preserve">20</w:t>
            </w:r>
          </w:p>
        </w:tc>
      </w:tr>
    </w:tbl>
    <w:p>
      <w:r>
        <w:br w:type="page"/>
      </w:r>
    </w:p>
    <w:p>
      <w:pPr>
        <w:pStyle w:val="Heading1"/>
        <w:spacing w:after="180" w:before="360"/>
      </w:pPr>
      <w:r>
        <w:rPr>
          <w:rFonts w:ascii="Calibri" w:cs="Calibri" w:eastAsia="Calibri" w:hAnsi="Calibri"/>
          <w:b/>
          <w:bCs/>
          <w:color w:val="EE4137"/>
          <w:sz w:val="30"/>
          <w:szCs w:val="30"/>
        </w:rPr>
        <w:t xml:space="preserve">1. Objeto de este informe</w:t>
      </w:r>
    </w:p>
    <w:p>
      <w:pPr>
        <w:spacing w:after="120" w:before="0" w:line="276"/>
      </w:pPr>
      <w:r>
        <w:rPr>
          <w:rFonts w:ascii="Calibri" w:cs="Calibri" w:eastAsia="Calibri" w:hAnsi="Calibri"/>
          <w:color w:val="0B090A"/>
          <w:sz w:val="21"/>
          <w:szCs w:val="21"/>
        </w:rPr>
        <w:t xml:space="preserve">Este documento contrasta, punto por punto, lo que exige el cronograma firmado por la dirección ejecutiva de ASOBARES Capítulo Quindío con lo que efectivamente se ha construido y entregado al 19 de agosto de 2026.</w:t>
      </w:r>
    </w:p>
    <w:p>
      <w:pPr>
        <w:spacing w:after="120" w:before="0" w:line="276"/>
      </w:pPr>
      <w:r>
        <w:rPr>
          <w:rFonts w:ascii="Calibri" w:cs="Calibri" w:eastAsia="Calibri" w:hAnsi="Calibri"/>
          <w:color w:val="0B090A"/>
          <w:sz w:val="21"/>
          <w:szCs w:val="21"/>
        </w:rPr>
        <w:t xml:space="preserve">Está organizado por las mismas cuatro fases y ocho semanas del cronograma original, de modo que cada exigencia pueda rastrearse hasta su semana y hasta la evidencia que la respalda. Cada requisito aparece transcrito del documento firmado antes de decir qué se hizo con él.</w:t>
      </w:r>
    </w:p>
    <w:p>
      <w:pPr>
        <w:spacing w:after="120" w:before="0" w:line="276"/>
      </w:pPr>
      <w:r>
        <w:rPr>
          <w:rFonts w:ascii="Calibri" w:cs="Calibri" w:eastAsia="Calibri" w:hAnsi="Calibri"/>
          <w:color w:val="0B090A"/>
          <w:sz w:val="21"/>
          <w:szCs w:val="21"/>
        </w:rPr>
        <w:t xml:space="preserve">El informe cumple dos funciones simultáneas: es el reporte de avance para la dirección ejecutiva y es el soporte documental del capítulo de desarrollo del proyecto de práctica ante la Universidad.</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c>
          <w:tcPr>
            <w:tcW w:type="dxa" w:w="9360"/>
            <w:shd w:fill="FDF3E2"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8A5B00"/>
                <w:sz w:val="20"/>
                <w:szCs w:val="20"/>
              </w:rPr>
              <w:t xml:space="preserve">Sobre las brechas</w:t>
            </w:r>
          </w:p>
          <w:p>
            <w:pPr>
              <w:spacing w:after="0" w:before="0" w:line="276"/>
            </w:pPr>
            <w:r>
              <w:rPr>
                <w:rFonts w:ascii="Calibri" w:cs="Calibri" w:eastAsia="Calibri" w:hAnsi="Calibri"/>
                <w:color w:val="0B090A"/>
                <w:sz w:val="20"/>
                <w:szCs w:val="20"/>
              </w:rPr>
              <w:t xml:space="preserve">Las exigencias no cumplidas aparecen en el cuerpo del informe, en su semana, con el mismo detalle que las cumplidas — no relegadas a un apartado final. La sección 8 recoge cada una con su causa, su responsable y la decisión que requiere. Un informe de avance que solo enumera logros no sirve para dirigir un proyecto.</w:t>
            </w:r>
          </w:p>
        </w:tc>
      </w:tr>
    </w:tbl>
    <w:p>
      <w:pPr>
        <w:pStyle w:val="Heading2"/>
        <w:keepNext/>
        <w:spacing w:after="140" w:before="280"/>
      </w:pPr>
      <w:r>
        <w:rPr>
          <w:rFonts w:ascii="Calibri" w:cs="Calibri" w:eastAsia="Calibri" w:hAnsi="Calibri"/>
          <w:b/>
          <w:bCs/>
          <w:color w:val="0B090A"/>
          <w:sz w:val="25"/>
          <w:szCs w:val="25"/>
        </w:rPr>
        <w:t xml:space="preserve">1.1 Cómo leer los estados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68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6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significa</w:t>
            </w:r>
          </w:p>
        </w:tc>
      </w:tr>
      <w:tr>
        <w:trPr>
          <w:cantSplit/>
        </w:trPr>
        <w:tc>
          <w:tcPr>
            <w:tcW w:type="dxa" w:w="25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La exigencia está cumplida y hay evidencia verificable.</w:t>
            </w:r>
          </w:p>
        </w:tc>
      </w:tr>
      <w:tr>
        <w:trPr>
          <w:cantSplit/>
        </w:trPr>
        <w:tc>
          <w:tcPr>
            <w:tcW w:type="dxa" w:w="25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Cumplida antes de la semana en que el cronograma la sitúa.</w:t>
            </w:r>
          </w:p>
        </w:tc>
      </w:tr>
      <w:tr>
        <w:trPr>
          <w:cantSplit/>
        </w:trPr>
        <w:tc>
          <w:tcPr>
            <w:tcW w:type="dxa" w:w="25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Una parte está cumplida y otra no. En cada caso se dice exactamente cuál es cuál.</w:t>
            </w:r>
          </w:p>
        </w:tc>
      </w:tr>
      <w:tr>
        <w:trPr>
          <w:cantSplit/>
        </w:trPr>
        <w:tc>
          <w:tcPr>
            <w:tcW w:type="dxa" w:w="25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No depende del equipo de desarrollo. Se detalla quién puede destrabarla.</w:t>
            </w:r>
          </w:p>
        </w:tc>
      </w:tr>
      <w:tr>
        <w:trPr>
          <w:cantSplit/>
        </w:trPr>
        <w:tc>
          <w:tcPr>
            <w:tcW w:type="dxa" w:w="25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6860"/>
            <w:tcMar>
              <w:top w:type="dxa" w:w="90"/>
              <w:left w:type="dxa" w:w="110"/>
              <w:bottom w:type="dxa" w:w="90"/>
              <w:right w:type="dxa" w:w="110"/>
            </w:tcMar>
            <w:vAlign w:val="top"/>
          </w:tcPr>
          <w:p>
            <w:pPr>
              <w:spacing w:after="0" w:before="0" w:line="276"/>
            </w:pPr>
            <w:r>
              <w:rPr>
                <w:rFonts w:ascii="Calibri" w:cs="Calibri" w:eastAsia="Calibri" w:hAnsi="Calibri"/>
                <w:color w:val="0B090A"/>
                <w:sz w:val="20"/>
                <w:szCs w:val="20"/>
              </w:rPr>
              <w:t xml:space="preserve">Corresponde a una semana futura del cronograma. No hay incumplimiento.</w:t>
            </w:r>
          </w:p>
        </w:tc>
      </w:tr>
    </w:tbl>
    <w:p>
      <w:pPr>
        <w:spacing w:after="120" w:before="160" w:line="276"/>
      </w:pPr>
      <w:r>
        <w:rPr>
          <w:rFonts w:ascii="Calibri" w:cs="Calibri" w:eastAsia="Calibri" w:hAnsi="Calibri"/>
          <w:i/>
          <w:iCs/>
          <w:color w:val="5A5A5A"/>
          <w:sz w:val="20"/>
          <w:szCs w:val="20"/>
        </w:rPr>
        <w:t xml:space="preserve">Las referencias en la columna «Evidencia» apuntan a archivos reales del repositorio o a pruebas automatizadas que se pueden ejecutar y observar. La trazabilidad completa de cada requisito contra la prueba que lo verifica está en el documento «Matriz de pruebas», anexo a este informe.</w:t>
      </w:r>
    </w:p>
    <w:p>
      <w:pPr>
        <w:pStyle w:val="Heading1"/>
        <w:spacing w:after="180" w:before="360"/>
      </w:pPr>
      <w:r>
        <w:rPr>
          <w:rFonts w:ascii="Calibri" w:cs="Calibri" w:eastAsia="Calibri" w:hAnsi="Calibri"/>
          <w:b/>
          <w:bCs/>
          <w:color w:val="EE4137"/>
          <w:sz w:val="30"/>
          <w:szCs w:val="30"/>
        </w:rPr>
        <w:t xml:space="preserve">2. Resumen ejecutivo</w:t>
      </w:r>
    </w:p>
    <w:p>
      <w:pPr>
        <w:spacing w:after="120" w:before="0" w:line="276"/>
      </w:pPr>
      <w:r>
        <w:rPr>
          <w:rFonts w:ascii="Calibri" w:cs="Calibri" w:eastAsia="Calibri" w:hAnsi="Calibri"/>
          <w:b/>
          <w:bCs/>
          <w:color w:val="0B090A"/>
          <w:sz w:val="21"/>
          <w:szCs w:val="21"/>
        </w:rPr>
        <w:t xml:space="preserve">Al cierre de la semana 4 de 8, el desarrollo del producto está entre dos y tres semanas por delante del cronograma. </w:t>
      </w:r>
      <w:r>
        <w:rPr>
          <w:rFonts w:ascii="Calibri" w:cs="Calibri" w:eastAsia="Calibri" w:hAnsi="Calibri"/>
          <w:color w:val="0B090A"/>
          <w:sz w:val="21"/>
          <w:szCs w:val="21"/>
        </w:rPr>
        <w:t xml:space="preserve">Las semanas 5 y 6 —pasarela de pagos y panel de administración— están terminadas desde principios de agosto, y el alcance construido supera al contratado: además de lo exigido, la plataforma incluye la guía normativa por municipio, la bolsa de empleo del sector, el directorio de artistas, la bolsa de proveedores y el estado de cartera del afiliado.</w:t>
      </w:r>
    </w:p>
    <w:p>
      <w:pPr>
        <w:spacing w:after="120" w:before="0" w:line="276"/>
      </w:pPr>
      <w:r>
        <w:rPr>
          <w:rFonts w:ascii="Calibri" w:cs="Calibri" w:eastAsia="Calibri" w:hAnsi="Calibri"/>
          <w:color w:val="0B090A"/>
          <w:sz w:val="21"/>
          <w:szCs w:val="21"/>
        </w:rPr>
        <w:t xml:space="preserve">Frente a eso, hay un punto único y persistente sin cumplir en las semanas ya vencidas: el hosting de pruebas de la semana 3. No es una brecha técnica. La aplicación está lista para desplegarse; lo que falta es una cuenta de hosting a nombre del gremio y con medio de pago del gremio, decisión que corresponde a la dirección y a la junta.</w:t>
      </w:r>
    </w:p>
    <w:p>
      <w:pPr>
        <w:spacing w:after="120" w:before="0" w:line="276"/>
      </w:pPr>
      <w:r>
        <w:rPr>
          <w:rFonts w:ascii="Calibri" w:cs="Calibri" w:eastAsia="Calibri" w:hAnsi="Calibri"/>
          <w:color w:val="0B090A"/>
          <w:sz w:val="21"/>
          <w:szCs w:val="21"/>
        </w:rPr>
        <w:t xml:space="preserve">Ese único punto arrastra tres consecuencias que conviene ver juntas, porque se resuelven todas con la misma decisión: sin servidor no hay certificado de seguridad (semana 8), no hay dónde probar en dispositivos reales (semana 7) y la tutora empresarial no tiene cómo revisar la plataforma por su cuenta.</w:t>
      </w:r>
    </w:p>
    <w:p>
      <w:pPr>
        <w:spacing w:after="120" w:before="0" w:line="276"/>
      </w:pPr>
      <w:r>
        <w:rPr>
          <w:rFonts w:ascii="Calibri" w:cs="Calibri" w:eastAsia="Calibri" w:hAnsi="Calibri"/>
          <w:b/>
          <w:bCs/>
          <w:color w:val="0B090A"/>
          <w:sz w:val="21"/>
          <w:szCs w:val="21"/>
        </w:rPr>
        <w:t xml:space="preserve">Además, buena parte de la fase de cierre ya está adelantada. </w:t>
      </w:r>
      <w:r>
        <w:rPr>
          <w:rFonts w:ascii="Calibri" w:cs="Calibri" w:eastAsia="Calibri" w:hAnsi="Calibri"/>
          <w:color w:val="0B090A"/>
          <w:sz w:val="21"/>
          <w:szCs w:val="21"/>
        </w:rPr>
        <w:t xml:space="preserve">La documentación técnica, el manual de usuario con sus once capturas, la matriz de pruebas, los siete diagramas de ingeniería, la base de datos exportada y la medición de rendimiento están terminados y entregados, pese a que el cronograma los sitúa en las semanas 7 y 8. El requisito de que la página principal cargue en menos de 2,5 segundos dejó de ser una promesa: está medido en 972 milisegundos.</w:t>
      </w:r>
    </w:p>
    <w:p>
      <w:pPr>
        <w:pStyle w:val="Heading2"/>
        <w:keepNext/>
        <w:spacing w:after="140" w:before="280"/>
      </w:pPr>
      <w:r>
        <w:rPr>
          <w:rFonts w:ascii="Calibri" w:cs="Calibri" w:eastAsia="Calibri" w:hAnsi="Calibri"/>
          <w:b/>
          <w:bCs/>
          <w:color w:val="0B090A"/>
          <w:sz w:val="25"/>
          <w:szCs w:val="25"/>
        </w:rPr>
        <w:t xml:space="preserve">2.1 Estado de las ocho semanas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00"/>
        <w:gridCol w:w="1900"/>
        <w:gridCol w:w="3200"/>
        <w:gridCol w:w="3360"/>
      </w:tblGrid>
      <w:tr>
        <w:trPr>
          <w:tblHeader/>
        </w:trPr>
        <w:tc>
          <w:tcPr>
            <w:tcW w:type="dxa" w:w="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32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Foco según el cronograma</w:t>
            </w:r>
          </w:p>
        </w:tc>
        <w:tc>
          <w:tcPr>
            <w:tcW w:type="dxa" w:w="3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1</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27 al 31 de julio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Levantamiento de información y arquitectura</w:t>
            </w:r>
          </w:p>
        </w:tc>
        <w:tc>
          <w:tcPr>
            <w:tcW w:type="dxa" w:w="3360"/>
            <w:shd w:fill="E9F5EC"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B5E35"/>
                <w:sz w:val="18"/>
                <w:szCs w:val="18"/>
              </w:rPr>
              <w:t xml:space="preserve">Cumplido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2</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 al 7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Diseño de interfaz</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3</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10 al 14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Maquetación inicial y secciones institucionales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4</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17 al 21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Módulos dinámicos: asociados y eventos</w:t>
            </w:r>
          </w:p>
        </w:tc>
        <w:tc>
          <w:tcPr>
            <w:tcW w:type="dxa" w:w="3360"/>
            <w:shd w:fill="FDF3E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8A5B00"/>
                <w:sz w:val="18"/>
                <w:szCs w:val="18"/>
              </w:rPr>
              <w:t xml:space="preserve">Cumplido parcialmente</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24 al 28 de agosto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Pasarela de pagos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31 de agosto al 4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Panel de administración (CMS)</w:t>
            </w:r>
          </w:p>
        </w:tc>
        <w:tc>
          <w:tcPr>
            <w:tcW w:type="dxa" w:w="3360"/>
            <w:shd w:fill="E4EEFB"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11408A"/>
                <w:sz w:val="18"/>
                <w:szCs w:val="18"/>
              </w:rPr>
              <w:t xml:space="preserve">Cumplido (adelantado)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7 al 11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Pruebas globales y correcciones</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r>
        <w:trPr>
          <w:cantSplit/>
        </w:trPr>
        <w:tc>
          <w:tcPr>
            <w:tcW w:type="dxa" w:w="900"/>
            <w:tcMar>
              <w:top w:type="dxa" w:w="90"/>
              <w:left w:type="dxa" w:w="110"/>
              <w:bottom w:type="dxa" w:w="90"/>
              <w:right w:type="dxa" w:w="110"/>
            </w:tcMar>
            <w:vAlign w:val="center"/>
          </w:tcPr>
          <w:p>
            <w:pPr>
              <w:spacing w:after="0" w:before="0" w:line="276"/>
              <w:jc w:val="center"/>
            </w:pPr>
            <w:r>
              <w:rPr>
                <w:rFonts w:ascii="Calibri" w:cs="Calibri" w:eastAsia="Calibri" w:hAnsi="Calibri"/>
                <w:b/>
                <w:bCs/>
                <w:color w:val="0B090A"/>
                <w:sz w:val="20"/>
                <w:szCs w:val="20"/>
              </w:rPr>
              <w:t xml:space="preserve">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8"/>
                <w:szCs w:val="18"/>
              </w:rPr>
              <w:t xml:space="preserve">14 al 18 de septiembre de 2026</w:t>
            </w:r>
          </w:p>
        </w:tc>
        <w:tc>
          <w:tcPr>
            <w:tcW w:type="dxa" w:w="32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Despliegue en vivo y capacitación</w:t>
            </w:r>
          </w:p>
        </w:tc>
        <w:tc>
          <w:tcPr>
            <w:tcW w:type="dxa" w:w="3360"/>
            <w:shd w:fill="F2F2F2" w:color="auto" w:val="clear"/>
            <w:tcMar>
              <w:top w:type="dxa" w:w="90"/>
              <w:left w:type="dxa" w:w="110"/>
              <w:bottom w:type="dxa" w:w="90"/>
              <w:right w:type="dxa" w:w="110"/>
            </w:tcMar>
            <w:vAlign w:val="center"/>
          </w:tcPr>
          <w:p>
            <w:pPr>
              <w:spacing w:after="0" w:before="0" w:line="276"/>
            </w:pPr>
            <w:r>
              <w:rPr>
                <w:rFonts w:ascii="Calibri" w:cs="Calibri" w:eastAsia="Calibri" w:hAnsi="Calibri"/>
                <w:b/>
                <w:bCs/>
                <w:color w:val="4A4A4A"/>
                <w:sz w:val="18"/>
                <w:szCs w:val="18"/>
              </w:rPr>
              <w:t xml:space="preserve">No iniciado (dentro de plazo)</w:t>
            </w:r>
          </w:p>
        </w:tc>
      </w:tr>
    </w:tbl>
    <w:p>
      <w:pPr>
        <w:spacing w:after="120" w:before="140" w:line="276"/>
      </w:pPr>
      <w:r>
        <w:rPr>
          <w:rFonts w:ascii="Calibri" w:cs="Calibri" w:eastAsia="Calibri" w:hAnsi="Calibri"/>
          <w:i/>
          <w:iCs/>
          <w:color w:val="5A5A5A"/>
          <w:sz w:val="20"/>
          <w:szCs w:val="20"/>
        </w:rPr>
        <w:t xml:space="preserve">Las semanas 7 y 8 corresponden a septiembre: figuran como no iniciadas y no hay incumplimiento. Buena parte de su contenido, sin embargo, ya está entregado: la documentación técnica, el manual de usuario, la matriz de pruebas, los diagramas, la base de datos exportada y la medición de rendimiento. Lo que falta de esas dos semanas son las actividades que exigen un servidor publicado, dispositivos reales y la presencia del equipo administrativo.</w:t>
      </w:r>
    </w:p>
    <w:p>
      <w:pPr>
        <w:pStyle w:val="Heading2"/>
        <w:keepNext/>
        <w:spacing w:after="140" w:before="280"/>
      </w:pPr>
      <w:r>
        <w:rPr>
          <w:rFonts w:ascii="Calibri" w:cs="Calibri" w:eastAsia="Calibri" w:hAnsi="Calibri"/>
          <w:b/>
          <w:bCs/>
          <w:color w:val="0B090A"/>
          <w:sz w:val="25"/>
          <w:szCs w:val="25"/>
        </w:rPr>
        <w:t xml:space="preserve">2.2 Cifras del proyecto al 19 de agosto</w:t>
      </w:r>
    </w:p>
    <w:tbl>
      <w:tblPr>
        <w:tblW w:type="dxa" w:w="9360"/>
        <w:tblBorders>
          <w:top w:val="none"/>
          <w:left w:val="none"/>
          <w:bottom w:val="none"/>
          <w:right w:val="none"/>
          <w:insideH w:val="single" w:color="D9D9D9" w:sz="2"/>
          <w:insideV w:val="none"/>
        </w:tblBorders>
      </w:tblPr>
      <w:tblGrid>
        <w:gridCol w:w="1200"/>
        <w:gridCol w:w="8160"/>
      </w:tblGrid>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21</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entidades de datos modeladas e implementadas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19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módulos de gestión en el panel administrativo</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460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métodos de prueba automatizados, en 48 archivos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599</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casos de prueba ejecutados (15 métodos se parametrizan y expanden a varios casos)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0</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fallos en la suite, re-ejecutada y verificada el 18 de agosto (1.699 aserciones)</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972</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milisegundos de carga de la página principal en móvil 4G, contra un techo de 2.500</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78</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mediciones de rendimiento sobre navegador real, sin un solo error</w:t>
            </w:r>
          </w:p>
        </w:tc>
      </w:tr>
      <w:tr>
        <w:trPr>
          <w:cantSplit/>
        </w:trPr>
        <w:tc>
          <w:tcPr>
            <w:tcW w:type="dxa" w:w="1200"/>
            <w:tcMar>
              <w:top w:type="dxa" w:w="90"/>
              <w:left w:type="dxa" w:w="110"/>
              <w:bottom w:type="dxa" w:w="90"/>
              <w:right w:type="dxa" w:w="110"/>
            </w:tcMar>
            <w:vAlign w:val="center"/>
          </w:tcPr>
          <w:p>
            <w:pPr>
              <w:spacing w:after="0" w:before="0" w:line="276"/>
              <w:jc w:val="right"/>
            </w:pPr>
            <w:r>
              <w:rPr>
                <w:rFonts w:ascii="Calibri" w:cs="Calibri" w:eastAsia="Calibri" w:hAnsi="Calibri"/>
                <w:b/>
                <w:bCs/>
                <w:color w:val="EE4137"/>
                <w:sz w:val="28"/>
                <w:szCs w:val="28"/>
              </w:rPr>
              <w:t xml:space="preserve">7</w:t>
            </w:r>
          </w:p>
        </w:tc>
        <w:tc>
          <w:tcPr>
            <w:tcW w:type="dxa" w:w="8160"/>
            <w:tcMar>
              <w:top w:type="dxa" w:w="90"/>
              <w:left w:type="dxa" w:w="110"/>
              <w:bottom w:type="dxa" w:w="90"/>
              <w:right w:type="dxa" w:w="110"/>
            </w:tcMar>
            <w:vAlign w:val="center"/>
          </w:tcPr>
          <w:p>
            <w:pPr>
              <w:spacing w:after="0" w:before="0" w:line="276"/>
            </w:pPr>
            <w:r>
              <w:rPr>
                <w:rFonts w:ascii="Calibri" w:cs="Calibri" w:eastAsia="Calibri" w:hAnsi="Calibri"/>
                <w:color w:val="0B090A"/>
                <w:sz w:val="20"/>
                <w:szCs w:val="20"/>
              </w:rPr>
              <w:t xml:space="preserve">diagramas de ingeniería con sus fuentes editables</w:t>
            </w:r>
          </w:p>
        </w:tc>
      </w:tr>
    </w:tbl>
    <w:p>
      <w:pPr>
        <w:spacing w:after="120" w:before="160" w:line="276"/>
      </w:pPr>
      <w:r>
        <w:rPr>
          <w:rFonts w:ascii="Calibri" w:cs="Calibri" w:eastAsia="Calibri" w:hAnsi="Calibri"/>
          <w:i/>
          <w:iCs/>
          <w:color w:val="5A5A5A"/>
          <w:sz w:val="20"/>
          <w:szCs w:val="20"/>
        </w:rPr>
        <w:t xml:space="preserve">Las dos cifras de pruebas miden cosas distintas y ambas son correctas: 460 es el número de métodos escritos; 599 es el número de casos que se ejecutan, porque quince de esos métodos se prueban con varios juegos de datos cada uno. Ninguna cifra de este informe es una estimación: la suite se re-ejecutó y el rendimiento se midió sobre un navegador real.</w:t>
      </w:r>
    </w:p>
    <w:p>
      <w:pPr>
        <w:pStyle w:val="Heading1"/>
        <w:spacing w:after="180" w:before="360"/>
      </w:pPr>
      <w:r>
        <w:rPr>
          <w:rFonts w:ascii="Calibri" w:cs="Calibri" w:eastAsia="Calibri" w:hAnsi="Calibri"/>
          <w:b/>
          <w:bCs/>
          <w:color w:val="EE4137"/>
          <w:sz w:val="30"/>
          <w:szCs w:val="30"/>
        </w:rPr>
        <w:t xml:space="preserve">3. Cumplimiento semana a semana</w:t>
      </w:r>
    </w:p>
    <w:p>
      <w:pPr>
        <w:spacing w:after="120" w:before="0" w:line="276"/>
      </w:pPr>
      <w:r>
        <w:rPr>
          <w:rFonts w:ascii="Calibri" w:cs="Calibri" w:eastAsia="Calibri" w:hAnsi="Calibri"/>
          <w:color w:val="0B090A"/>
          <w:sz w:val="21"/>
          <w:szCs w:val="21"/>
        </w:rPr>
        <w:t xml:space="preserve">Cada exigencia aparece transcrita del cronograma firmado, seguida de lo realmente ejecutado y de la evidencia que lo respalda.</w:t>
      </w:r>
    </w:p>
    <w:p>
      <w:pPr>
        <w:shd w:fill="EE4137" w:color="auto" w:val="clear"/>
        <w:spacing w:after="60" w:before="340"/>
      </w:pPr>
      <w:r>
        <w:rPr>
          <w:rFonts w:ascii="Calibri" w:cs="Calibri" w:eastAsia="Calibri" w:hAnsi="Calibri"/>
          <w:b/>
          <w:bCs/>
          <w:color w:val="FFFFFF"/>
          <w:sz w:val="24"/>
          <w:szCs w:val="24"/>
        </w:rPr>
        <w:t xml:space="preserve">  FASE 1 · Planificación y Diseño</w:t>
      </w:r>
    </w:p>
    <w:p>
      <w:pPr>
        <w:spacing w:after="200" w:before="0" w:line="276"/>
      </w:pPr>
      <w:r>
        <w:rPr>
          <w:rFonts w:ascii="Calibri" w:cs="Calibri" w:eastAsia="Calibri" w:hAnsi="Calibri"/>
          <w:i/>
          <w:iCs/>
          <w:color w:val="5A5A5A"/>
          <w:sz w:val="20"/>
          <w:szCs w:val="20"/>
        </w:rPr>
        <w:t xml:space="preserve">Dejar todo definido antes de escribir la primera línea de código.</w:t>
      </w:r>
    </w:p>
    <w:p>
      <w:pPr>
        <w:pStyle w:val="Heading2"/>
        <w:keepNext/>
        <w:spacing w:after="140" w:before="280"/>
      </w:pPr>
      <w:r>
        <w:rPr>
          <w:rFonts w:ascii="Calibri" w:cs="Calibri" w:eastAsia="Calibri" w:hAnsi="Calibri"/>
          <w:b/>
          <w:bCs/>
          <w:color w:val="0B090A"/>
          <w:sz w:val="25"/>
          <w:szCs w:val="25"/>
        </w:rPr>
        <w:t xml:space="preserve">Semana 1 · Levantamiento de información y arquitectura</w:t>
      </w:r>
    </w:p>
    <w:p>
      <w:pPr>
        <w:spacing w:after="160" w:before="0" w:line="276"/>
      </w:pPr>
      <w:r>
        <w:rPr>
          <w:rFonts w:ascii="Calibri" w:cs="Calibri" w:eastAsia="Calibri" w:hAnsi="Calibri"/>
          <w:b/>
          <w:bCs/>
          <w:color w:val="5A5A5A"/>
          <w:sz w:val="20"/>
          <w:szCs w:val="20"/>
        </w:rPr>
        <w:t xml:space="preserve">27 al 31 de julio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Reunión de inicio para recopilar textos: «Quiénes somos», lista de beneficios, convenios, logos de aliados y datos de asociados iniciales.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realizaron dos sesiones de levantamiento: Reunión 1 con la dirección ejecutiva (28 de julio) y Reunión 2 con el directivo del capítulo (31 de julio). Ambas transcritas y con acta.</w:t>
            </w:r>
          </w:p>
          <w:p>
            <w:pPr>
              <w:spacing w:after="0" w:before="0" w:line="276"/>
            </w:pPr>
            <w:r>
              <w:rPr>
                <w:rFonts w:ascii="Calibri" w:cs="Calibri" w:eastAsia="Calibri" w:hAnsi="Calibri"/>
                <w:i/>
                <w:iCs/>
                <w:color w:val="5A5A5A"/>
                <w:sz w:val="17"/>
                <w:szCs w:val="17"/>
              </w:rPr>
              <w:t xml:space="preserve">transcripcion-reunion-1.md · transcripcion-reunion-2.md · acta-reunion-2.md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mapa del sitio (sitemap) definitivo.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Sitemap definido y ejecutado. El sitio publicado tiene además sitemap.xml generado por ruta y robots.txt que excluye las zonas privadas.</w:t>
            </w:r>
          </w:p>
          <w:p>
            <w:pPr>
              <w:spacing w:after="0" w:before="0" w:line="276"/>
            </w:pPr>
            <w:r>
              <w:rPr>
                <w:rFonts w:ascii="Calibri" w:cs="Calibri" w:eastAsia="Calibri" w:hAnsi="Calibri"/>
                <w:i/>
                <w:iCs/>
                <w:color w:val="5A5A5A"/>
                <w:sz w:val="17"/>
                <w:szCs w:val="17"/>
              </w:rPr>
              <w:t xml:space="preserve">SitemapController · rutas verificadas por prueba automatizada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Elección del stack tecnológico (ej.: WordPress / Astro + Strapi / Laravel).</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eligió Laravel 13 + Filament 4 + Livewire 3 sobre PHP 8.3+, con Tailwind 4 y base de datos SQLite en desarrollo. La elección se sustentó en una comparativa de alternativas.</w:t>
            </w:r>
          </w:p>
          <w:p>
            <w:pPr>
              <w:spacing w:after="0" w:before="0" w:line="276"/>
            </w:pPr>
            <w:r>
              <w:rPr>
                <w:rFonts w:ascii="Calibri" w:cs="Calibri" w:eastAsia="Calibri" w:hAnsi="Calibri"/>
                <w:i/>
                <w:iCs/>
                <w:color w:val="5A5A5A"/>
                <w:sz w:val="17"/>
                <w:szCs w:val="17"/>
              </w:rPr>
              <w:t xml:space="preserve">comparativa-stacks-asobares.html · README.md</w:t>
            </w:r>
          </w:p>
        </w:tc>
      </w:tr>
    </w:tbl>
    <w:p>
      <w:pPr>
        <w:pStyle w:val="Heading2"/>
        <w:keepNext/>
        <w:spacing w:after="140" w:before="280"/>
      </w:pPr>
      <w:r>
        <w:rPr>
          <w:rFonts w:ascii="Calibri" w:cs="Calibri" w:eastAsia="Calibri" w:hAnsi="Calibri"/>
          <w:b/>
          <w:bCs/>
          <w:color w:val="0B090A"/>
          <w:sz w:val="25"/>
          <w:szCs w:val="25"/>
        </w:rPr>
        <w:t xml:space="preserve">Semana 2 · Diseño de interfaz</w:t>
      </w:r>
    </w:p>
    <w:p>
      <w:pPr>
        <w:spacing w:after="160" w:before="0" w:line="276"/>
      </w:pPr>
      <w:r>
        <w:rPr>
          <w:rFonts w:ascii="Calibri" w:cs="Calibri" w:eastAsia="Calibri" w:hAnsi="Calibri"/>
          <w:b/>
          <w:bCs/>
          <w:color w:val="5A5A5A"/>
          <w:sz w:val="20"/>
          <w:szCs w:val="20"/>
        </w:rPr>
        <w:t xml:space="preserve">3 al 7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 wireframes (bocetos) para versión móvil y escritorio.</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Se entregaron maquetas navegables de alta fidelidad en lugar de bocetos, tanto en móvil como en escritorio, acompañadas de un brief de diseño.</w:t>
            </w:r>
          </w:p>
          <w:p>
            <w:pPr>
              <w:spacing w:after="0" w:before="0" w:line="276"/>
            </w:pPr>
            <w:r>
              <w:rPr>
                <w:rFonts w:ascii="Calibri" w:cs="Calibri" w:eastAsia="Calibri" w:hAnsi="Calibri"/>
                <w:i/>
                <w:iCs/>
                <w:color w:val="5A5A5A"/>
                <w:sz w:val="17"/>
                <w:szCs w:val="17"/>
              </w:rPr>
              <w:t xml:space="preserve">mockups-asobares-quindio.html · brief-diseno-mockups-v1.md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Definición de la paleta de colores corporativos de Asobares y tipografías.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Aplicado el Manual de Marca de Asobares Colombia: Pub Red, Ambient White, Pub Black y la familia Poppins. El sitio funciona en tema claro y oscuro con una sola fuente de color, y una prueba automatizada falla si alguien vuelve a escribir un color a mano.</w:t>
            </w:r>
          </w:p>
          <w:p>
            <w:pPr>
              <w:spacing w:after="0" w:before="0" w:line="276"/>
            </w:pPr>
            <w:r>
              <w:rPr>
                <w:rFonts w:ascii="Calibri" w:cs="Calibri" w:eastAsia="Calibri" w:hAnsi="Calibri"/>
                <w:i/>
                <w:iCs/>
                <w:color w:val="5A5A5A"/>
                <w:sz w:val="17"/>
                <w:szCs w:val="17"/>
              </w:rPr>
              <w:t xml:space="preserve">TemaClaroOscuroTest · TemaDelPanelTest · Manual de Marca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HITO DE LA FASE: aprobación del diseño por parte de la directiva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El diseño se presentó y se trabajó sobre él sin objeciones, pero NO existe constancia escrita de la aprobación. El hito contractual está sin formalizar.</w:t>
            </w:r>
          </w:p>
          <w:p>
            <w:pPr>
              <w:spacing w:after="0" w:before="0" w:line="276"/>
            </w:pPr>
            <w:r>
              <w:rPr>
                <w:rFonts w:ascii="Calibri" w:cs="Calibri" w:eastAsia="Calibri" w:hAnsi="Calibri"/>
                <w:i/>
                <w:iCs/>
                <w:color w:val="5A5A5A"/>
                <w:sz w:val="17"/>
                <w:szCs w:val="17"/>
              </w:rPr>
              <w:t xml:space="preserve">Pendiente: acta o firma de aprobación del diseño.</w:t>
            </w:r>
          </w:p>
        </w:tc>
      </w:tr>
    </w:tbl>
    <w:p>
      <w:pPr>
        <w:shd w:fill="EE4137" w:color="auto" w:val="clear"/>
        <w:spacing w:after="60" w:before="340"/>
      </w:pPr>
      <w:r>
        <w:rPr>
          <w:rFonts w:ascii="Calibri" w:cs="Calibri" w:eastAsia="Calibri" w:hAnsi="Calibri"/>
          <w:b/>
          <w:bCs/>
          <w:color w:val="FFFFFF"/>
          <w:sz w:val="24"/>
          <w:szCs w:val="24"/>
        </w:rPr>
        <w:t xml:space="preserve">  FASE 2 · Desarrollo Base y Contenidos</w:t>
      </w:r>
    </w:p>
    <w:p>
      <w:pPr>
        <w:spacing w:after="200" w:before="0" w:line="276"/>
      </w:pPr>
      <w:r>
        <w:rPr>
          <w:rFonts w:ascii="Calibri" w:cs="Calibri" w:eastAsia="Calibri" w:hAnsi="Calibri"/>
          <w:i/>
          <w:iCs/>
          <w:color w:val="5A5A5A"/>
          <w:sz w:val="20"/>
          <w:szCs w:val="20"/>
        </w:rPr>
        <w:t xml:space="preserve">Construcción de la estructura y las secciones institucionales.</w:t>
      </w:r>
    </w:p>
    <w:p>
      <w:pPr>
        <w:pStyle w:val="Heading2"/>
        <w:keepNext/>
        <w:spacing w:after="140" w:before="280"/>
      </w:pPr>
      <w:r>
        <w:rPr>
          <w:rFonts w:ascii="Calibri" w:cs="Calibri" w:eastAsia="Calibri" w:hAnsi="Calibri"/>
          <w:b/>
          <w:bCs/>
          <w:color w:val="0B090A"/>
          <w:sz w:val="25"/>
          <w:szCs w:val="25"/>
        </w:rPr>
        <w:t xml:space="preserve">Semana 3 · Maquetación inicial y secciones institucionales</w:t>
      </w:r>
    </w:p>
    <w:p>
      <w:pPr>
        <w:spacing w:after="160" w:before="0" w:line="276"/>
      </w:pPr>
      <w:r>
        <w:rPr>
          <w:rFonts w:ascii="Calibri" w:cs="Calibri" w:eastAsia="Calibri" w:hAnsi="Calibri"/>
          <w:b/>
          <w:bCs/>
          <w:color w:val="5A5A5A"/>
          <w:sz w:val="20"/>
          <w:szCs w:val="20"/>
        </w:rPr>
        <w:t xml:space="preserve">10 al 14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proyecto, hosting de pruebas y base de datos.</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Proyecto y base de datos: cumplidos (21 entidades, 32 migraciones, 20 juegos de datos de ejemplo). HOSTING DE PRUEBAS: NO EXISTE. El proveedor está decidido (Laravel Cloud, plan Starter) y la aplicación está validada contra el motor de base de datos que usa ese proveedor, pero la cuenta debe crearse a nombre del gremio y con medio de pago del gremio.</w:t>
            </w:r>
          </w:p>
          <w:p>
            <w:pPr>
              <w:spacing w:after="0" w:before="0" w:line="276"/>
            </w:pPr>
            <w:r>
              <w:rPr>
                <w:rFonts w:ascii="Calibri" w:cs="Calibri" w:eastAsia="Calibri" w:hAnsi="Calibri"/>
                <w:i/>
                <w:iCs/>
                <w:color w:val="5A5A5A"/>
                <w:sz w:val="17"/>
                <w:szCs w:val="17"/>
              </w:rPr>
              <w:t xml:space="preserve">Ver sección 8, riesgo R-01. Es el único punto de las semanas 1 a 6 sin cumplir.</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menú de navegación, con enlace a Asobares Nacional, y sección «Quiénes somos».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Menú de navegación adaptado a móvil y escritorio, con enlace al sitio nacional. Sección «Quiénes somos» publicada y editable desde el panel, sin nada escrito en el código.</w:t>
            </w:r>
          </w:p>
          <w:p>
            <w:pPr>
              <w:spacing w:after="0" w:before="0" w:line="276"/>
            </w:pPr>
            <w:r>
              <w:rPr>
                <w:rFonts w:ascii="Calibri" w:cs="Calibri" w:eastAsia="Calibri" w:hAnsi="Calibri"/>
                <w:i/>
                <w:iCs/>
                <w:color w:val="5A5A5A"/>
                <w:sz w:val="17"/>
                <w:szCs w:val="17"/>
              </w:rPr>
              <w:t xml:space="preserve">MenuMovilTest · SitioPublicoTest · AccionesDelPanelTest</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Construcción de la sección «Beneficios y Aliados» (carrusel de logos).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Publicada. Además, el detalle de cada convenio queda reservado a los asociados con sesión iniciada, tal como pidió la dirección: es un privilegio de la afiliación y no información pública.</w:t>
            </w:r>
          </w:p>
          <w:p>
            <w:pPr>
              <w:spacing w:after="0" w:before="0" w:line="276"/>
            </w:pPr>
            <w:r>
              <w:rPr>
                <w:rFonts w:ascii="Calibri" w:cs="Calibri" w:eastAsia="Calibri" w:hAnsi="Calibri"/>
                <w:i/>
                <w:iCs/>
                <w:color w:val="5A5A5A"/>
                <w:sz w:val="17"/>
                <w:szCs w:val="17"/>
              </w:rPr>
              <w:t xml:space="preserve">FormulariosPublicosTest (el detalle no aparece en el sitio público)</w:t>
            </w:r>
          </w:p>
        </w:tc>
      </w:tr>
    </w:tbl>
    <w:p>
      <w:pPr>
        <w:pStyle w:val="Heading2"/>
        <w:keepNext/>
        <w:spacing w:after="140" w:before="280"/>
      </w:pPr>
      <w:r>
        <w:rPr>
          <w:rFonts w:ascii="Calibri" w:cs="Calibri" w:eastAsia="Calibri" w:hAnsi="Calibri"/>
          <w:b/>
          <w:bCs/>
          <w:color w:val="0B090A"/>
          <w:sz w:val="25"/>
          <w:szCs w:val="25"/>
        </w:rPr>
        <w:t xml:space="preserve">Semana 4 · Módulos dinámicos: asociados y eventos</w:t>
      </w:r>
    </w:p>
    <w:p>
      <w:pPr>
        <w:spacing w:after="160" w:before="0" w:line="276"/>
      </w:pPr>
      <w:r>
        <w:rPr>
          <w:rFonts w:ascii="Calibri" w:cs="Calibri" w:eastAsia="Calibri" w:hAnsi="Calibri"/>
          <w:b/>
          <w:bCs/>
          <w:color w:val="5A5A5A"/>
          <w:sz w:val="20"/>
          <w:szCs w:val="20"/>
        </w:rPr>
        <w:t xml:space="preserve">17 al 21 de agosto de 2026</w:t>
      </w:r>
      <w:r>
        <w:rPr>
          <w:rFonts w:ascii="Calibri" w:cs="Calibri" w:eastAsia="Calibri" w:hAnsi="Calibri"/>
          <w:b/>
          <w:bCs/>
          <w:color w:val="EE4137"/>
          <w:sz w:val="20"/>
          <w:szCs w:val="20"/>
        </w:rPr>
        <w:t xml:space="preserve">   ·   SEMANA EN CURSO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Creación del directorio de asociados con filtros por municipio (Armenia, Salento, Filandia, etc.).</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5 de agosto, dos semanas antes de lo previsto. Filtros por municipio y por categoría, combinables y compartibles por enlace, búsqueda por nombre, mapa interactivo y ficha individual. La ficha respeta la decisión del propietario sobre qué datos suyos se publican.</w:t>
            </w:r>
          </w:p>
          <w:p>
            <w:pPr>
              <w:spacing w:after="0" w:before="0" w:line="276"/>
            </w:pPr>
            <w:r>
              <w:rPr>
                <w:rFonts w:ascii="Calibri" w:cs="Calibri" w:eastAsia="Calibri" w:hAnsi="Calibri"/>
                <w:i/>
                <w:iCs/>
                <w:color w:val="5A5A5A"/>
                <w:sz w:val="17"/>
                <w:szCs w:val="17"/>
              </w:rPr>
              <w:t xml:space="preserve">SitioPublicoTest · FormulariosPublicosTest · matriz de pruebas, RF-06 a RF-11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Desarrollo del módulo de capacitaciones y eventos: calendario + formularios de inscripción.</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Los formularios de inscripción están completos: control de aforo, autorización de tratamiento de datos obligatoria, confirmación al inscrito y pago en línea cuando el evento tiene costo. LA VISTA DE CALENDARIO NO SE CONSTRUYÓ: los eventos se presentan como listado «Próximos / Pasados». Es una diferencia real con el cronograma firmado y se somete a decisión de la dirección (sección 8).</w:t>
            </w:r>
          </w:p>
          <w:p>
            <w:pPr>
              <w:spacing w:after="0" w:before="0" w:line="276"/>
            </w:pPr>
            <w:r>
              <w:rPr>
                <w:rFonts w:ascii="Calibri" w:cs="Calibri" w:eastAsia="Calibri" w:hAnsi="Calibri"/>
                <w:i/>
                <w:iCs/>
                <w:color w:val="5A5A5A"/>
                <w:sz w:val="17"/>
                <w:szCs w:val="17"/>
              </w:rPr>
              <w:t xml:space="preserve">CuposDeEventoTest · FlujoDePagoTest · ConfirmacionDeInscripcionTest</w:t>
            </w:r>
          </w:p>
        </w:tc>
      </w:tr>
    </w:tbl>
    <w:p>
      <w:pPr>
        <w:shd w:fill="EE4137" w:color="auto" w:val="clear"/>
        <w:spacing w:after="60" w:before="340"/>
      </w:pPr>
      <w:r>
        <w:rPr>
          <w:rFonts w:ascii="Calibri" w:cs="Calibri" w:eastAsia="Calibri" w:hAnsi="Calibri"/>
          <w:b/>
          <w:bCs/>
          <w:color w:val="FFFFFF"/>
          <w:sz w:val="24"/>
          <w:szCs w:val="24"/>
        </w:rPr>
        <w:t xml:space="preserve">  FASE 3 · Funcionalidades Avanzadas e Integraciones</w:t>
      </w:r>
    </w:p>
    <w:p>
      <w:pPr>
        <w:spacing w:after="200" w:before="0" w:line="276"/>
      </w:pPr>
      <w:r>
        <w:rPr>
          <w:rFonts w:ascii="Calibri" w:cs="Calibri" w:eastAsia="Calibri" w:hAnsi="Calibri"/>
          <w:i/>
          <w:iCs/>
          <w:color w:val="5A5A5A"/>
          <w:sz w:val="20"/>
          <w:szCs w:val="20"/>
        </w:rPr>
        <w:t xml:space="preserve">Conexión de la pasarela de pagos y del panel administrativo.</w:t>
      </w:r>
    </w:p>
    <w:p>
      <w:pPr>
        <w:pStyle w:val="Heading2"/>
        <w:keepNext/>
        <w:spacing w:after="140" w:before="280"/>
      </w:pPr>
      <w:r>
        <w:rPr>
          <w:rFonts w:ascii="Calibri" w:cs="Calibri" w:eastAsia="Calibri" w:hAnsi="Calibri"/>
          <w:b/>
          <w:bCs/>
          <w:color w:val="0B090A"/>
          <w:sz w:val="25"/>
          <w:szCs w:val="25"/>
        </w:rPr>
        <w:t xml:space="preserve">Semana 5 · Pasarela de pagos</w:t>
      </w:r>
    </w:p>
    <w:p>
      <w:pPr>
        <w:spacing w:after="160" w:before="0" w:line="276"/>
      </w:pPr>
      <w:r>
        <w:rPr>
          <w:rFonts w:ascii="Calibri" w:cs="Calibri" w:eastAsia="Calibri" w:hAnsi="Calibri"/>
          <w:b/>
          <w:bCs/>
          <w:color w:val="5A5A5A"/>
          <w:sz w:val="20"/>
          <w:szCs w:val="20"/>
        </w:rPr>
        <w:t xml:space="preserve">24 al 28 de agosto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Integración con la pasarela seleccionada (Wompi, Bold o PayU) para cobro de cuotas o inscripciones.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4 de agosto, tres semanas antes de lo previsto. Se integró BOLD, la pasarela que el gremio ya tiene contratada, contra su documentación oficial. Conviven dos pasarelas conmutables por configuración: la real de Bold y una simulada para demostrar el flujo sin credenciales. Pasar a producción no exige tocar código.</w:t>
            </w:r>
          </w:p>
          <w:p>
            <w:pPr>
              <w:spacing w:after="0" w:before="0" w:line="276"/>
            </w:pPr>
            <w:r>
              <w:rPr>
                <w:rFonts w:ascii="Calibri" w:cs="Calibri" w:eastAsia="Calibri" w:hAnsi="Calibri"/>
                <w:i/>
                <w:iCs/>
                <w:color w:val="5A5A5A"/>
                <w:sz w:val="17"/>
                <w:szCs w:val="17"/>
              </w:rPr>
              <w:t xml:space="preserve">FlujoDePagoTest (26 casos) · README.md, sección «Activar Bold de verdad»</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de transacción en entorno de desarrollo.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Cubiertas con 26 casos automatizados que incluyen la validación de la firma de seguridad de las notificaciones de Bold, el rechazo de pagos con monto o moneda alterados, la imposibilidad de cobrar dos veces por lo mismo y la negativa del sistema a usar la pasarela simulada fuera del entorno local.</w:t>
            </w:r>
          </w:p>
          <w:p>
            <w:pPr>
              <w:spacing w:after="0" w:before="0" w:line="276"/>
            </w:pPr>
            <w:r>
              <w:rPr>
                <w:rFonts w:ascii="Calibri" w:cs="Calibri" w:eastAsia="Calibri" w:hAnsi="Calibri"/>
                <w:i/>
                <w:iCs/>
                <w:color w:val="5A5A5A"/>
                <w:sz w:val="17"/>
                <w:szCs w:val="17"/>
              </w:rPr>
              <w:t xml:space="preserve">FlujoDePagoTest · matriz de pruebas, RF-32 a RF-34</w:t>
            </w:r>
          </w:p>
        </w:tc>
      </w:tr>
    </w:tbl>
    <w:p>
      <w:pPr>
        <w:pStyle w:val="Heading2"/>
        <w:keepNext/>
        <w:spacing w:after="140" w:before="280"/>
      </w:pPr>
      <w:r>
        <w:rPr>
          <w:rFonts w:ascii="Calibri" w:cs="Calibri" w:eastAsia="Calibri" w:hAnsi="Calibri"/>
          <w:b/>
          <w:bCs/>
          <w:color w:val="0B090A"/>
          <w:sz w:val="25"/>
          <w:szCs w:val="25"/>
        </w:rPr>
        <w:t xml:space="preserve">Semana 6 · Panel de administración (CMS)</w:t>
      </w:r>
    </w:p>
    <w:p>
      <w:pPr>
        <w:spacing w:after="160" w:before="0" w:line="276"/>
      </w:pPr>
      <w:r>
        <w:rPr>
          <w:rFonts w:ascii="Calibri" w:cs="Calibri" w:eastAsia="Calibri" w:hAnsi="Calibri"/>
          <w:b/>
          <w:bCs/>
          <w:color w:val="5A5A5A"/>
          <w:sz w:val="20"/>
          <w:szCs w:val="20"/>
        </w:rPr>
        <w:t xml:space="preserve">31 de agosto al 4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panel interno para que el personal de Asobares pueda agregar, editar o eliminar asociados, eventos y capacitaciones sin código.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Terminado desde el 9 de agosto, tres semanas antes de lo previsto, y con más alcance del exigido: 19 módulos de gestión en español, dos niveles de permiso (dirección y secretaría), flujo de aprobación donde la secretaría redacta y solo la dirección publica, bitácora de quién hizo qué y cuándo, doble factor de autenticación obligatorio, e importación del archivo de cartera de la contadora.</w:t>
            </w:r>
          </w:p>
          <w:p>
            <w:pPr>
              <w:spacing w:after="0" w:before="0" w:line="276"/>
            </w:pPr>
            <w:r>
              <w:rPr>
                <w:rFonts w:ascii="Calibri" w:cs="Calibri" w:eastAsia="Calibri" w:hAnsi="Calibri"/>
                <w:i/>
                <w:iCs/>
                <w:color w:val="5A5A5A"/>
                <w:sz w:val="17"/>
                <w:szCs w:val="17"/>
              </w:rPr>
              <w:t xml:space="preserve">PanelCompletoTest · FlujoDeAprobacionTest · PanelAdminTest · manual-de-usuario.md</w:t>
            </w:r>
          </w:p>
        </w:tc>
      </w:tr>
    </w:tbl>
    <w:p>
      <w:pPr>
        <w:shd w:fill="EE4137" w:color="auto" w:val="clear"/>
        <w:spacing w:after="60" w:before="340"/>
      </w:pPr>
      <w:r>
        <w:rPr>
          <w:rFonts w:ascii="Calibri" w:cs="Calibri" w:eastAsia="Calibri" w:hAnsi="Calibri"/>
          <w:b/>
          <w:bCs/>
          <w:color w:val="FFFFFF"/>
          <w:sz w:val="24"/>
          <w:szCs w:val="24"/>
        </w:rPr>
        <w:t xml:space="preserve">  FASE 4 · Pruebas, Lanzamiento y Entrega</w:t>
      </w:r>
    </w:p>
    <w:p>
      <w:pPr>
        <w:spacing w:after="200" w:before="0" w:line="276"/>
      </w:pPr>
      <w:r>
        <w:rPr>
          <w:rFonts w:ascii="Calibri" w:cs="Calibri" w:eastAsia="Calibri" w:hAnsi="Calibri"/>
          <w:i/>
          <w:iCs/>
          <w:color w:val="5A5A5A"/>
          <w:sz w:val="20"/>
          <w:szCs w:val="20"/>
        </w:rPr>
        <w:t xml:space="preserve">Asegurar que todo funcione sin errores y capacitar al equipo.</w:t>
      </w:r>
    </w:p>
    <w:p>
      <w:pPr>
        <w:pStyle w:val="Heading2"/>
        <w:keepNext/>
        <w:spacing w:after="140" w:before="280"/>
      </w:pPr>
      <w:r>
        <w:rPr>
          <w:rFonts w:ascii="Calibri" w:cs="Calibri" w:eastAsia="Calibri" w:hAnsi="Calibri"/>
          <w:b/>
          <w:bCs/>
          <w:color w:val="0B090A"/>
          <w:sz w:val="25"/>
          <w:szCs w:val="25"/>
        </w:rPr>
        <w:t xml:space="preserve">Semana 7 · Pruebas globales y correcciones</w:t>
      </w:r>
    </w:p>
    <w:p>
      <w:pPr>
        <w:spacing w:after="160" w:before="0" w:line="276"/>
      </w:pPr>
      <w:r>
        <w:rPr>
          <w:rFonts w:ascii="Calibri" w:cs="Calibri" w:eastAsia="Calibri" w:hAnsi="Calibri"/>
          <w:b/>
          <w:bCs/>
          <w:color w:val="5A5A5A"/>
          <w:sz w:val="20"/>
          <w:szCs w:val="20"/>
        </w:rPr>
        <w:t xml:space="preserve">7 al 11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diferentes dispositivos (celulares Android/iOS, tablets, laptops).</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Como base ya existe una suite de 460 pruebas automatizadas que verifica el comportamiento táctil y la maquetación adaptable, pero ninguna se ha ejecutado sobre un teléfono real.</w:t>
            </w:r>
          </w:p>
          <w:p>
            <w:pPr>
              <w:spacing w:after="0" w:before="0" w:line="276"/>
            </w:pPr>
            <w:r>
              <w:rPr>
                <w:rFonts w:ascii="Calibri" w:cs="Calibri" w:eastAsia="Calibri" w:hAnsi="Calibri"/>
                <w:i/>
                <w:iCs/>
                <w:color w:val="5A5A5A"/>
                <w:sz w:val="17"/>
                <w:szCs w:val="17"/>
              </w:rPr>
              <w:t xml:space="preserve">Programado para la semana 7.</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 velocidad de carga y optimización de imágenes.</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CUMPLIDA POR ANTICIPADO, y con margen. Optimización de imágenes: el sistema convierte y comprime automáticamente a formato .webp. Velocidad de carga: MEDIDA. La página principal termina de pintarse en 972 milisegundos sobre una conexión móvil 4G, contra el techo contractual de 2.500. Ninguna de las doce rutas públicas lo incumple; la más lenta es el boletín, con 2.132 milisegundos. Son 78 mediciones sobre un navegador real, en móvil y escritorio, en los dos temas y con la caché vacía.</w:t>
            </w:r>
          </w:p>
          <w:p>
            <w:pPr>
              <w:spacing w:after="0" w:before="0" w:line="276"/>
            </w:pPr>
            <w:r>
              <w:rPr>
                <w:rFonts w:ascii="Calibri" w:cs="Calibri" w:eastAsia="Calibri" w:hAnsi="Calibri"/>
                <w:i/>
                <w:iCs/>
                <w:color w:val="5A5A5A"/>
                <w:sz w:val="17"/>
                <w:szCs w:val="17"/>
              </w:rPr>
              <w:t xml:space="preserve">docs/ingenieria/medicion-de-rendimiento.md · SubidaDeImagenesTest (11 casos)</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Corrección de errores (bugs) reportados por el tutor de práctica.</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depende de que la tutora empresarial pruebe la plataforma. Se propone abrir el registro de observaciones desde ya, con este mismo informe (sección 10), para no concentrar todo el ciclo en una sola semana.</w:t>
            </w:r>
          </w:p>
          <w:p>
            <w:pPr>
              <w:spacing w:after="0" w:before="0" w:line="276"/>
            </w:pPr>
            <w:r>
              <w:rPr>
                <w:rFonts w:ascii="Calibri" w:cs="Calibri" w:eastAsia="Calibri" w:hAnsi="Calibri"/>
                <w:i/>
                <w:iCs/>
                <w:color w:val="5A5A5A"/>
                <w:sz w:val="17"/>
                <w:szCs w:val="17"/>
              </w:rPr>
              <w:t xml:space="preserve">Programado para la semana 7.</w:t>
            </w:r>
          </w:p>
        </w:tc>
      </w:tr>
    </w:tbl>
    <w:p>
      <w:pPr>
        <w:pStyle w:val="Heading2"/>
        <w:keepNext/>
        <w:spacing w:after="140" w:before="280"/>
      </w:pPr>
      <w:r>
        <w:rPr>
          <w:rFonts w:ascii="Calibri" w:cs="Calibri" w:eastAsia="Calibri" w:hAnsi="Calibri"/>
          <w:b/>
          <w:bCs/>
          <w:color w:val="0B090A"/>
          <w:sz w:val="25"/>
          <w:szCs w:val="25"/>
        </w:rPr>
        <w:t xml:space="preserve">Semana 8 · Despliegue en vivo y capacitación</w:t>
      </w:r>
    </w:p>
    <w:p>
      <w:pPr>
        <w:spacing w:after="160" w:before="0" w:line="276"/>
      </w:pPr>
      <w:r>
        <w:rPr>
          <w:rFonts w:ascii="Calibri" w:cs="Calibri" w:eastAsia="Calibri" w:hAnsi="Calibri"/>
          <w:b/>
          <w:bCs/>
          <w:color w:val="5A5A5A"/>
          <w:sz w:val="20"/>
          <w:szCs w:val="20"/>
        </w:rPr>
        <w:t xml:space="preserve">14 al 18 de septiembre de 2026</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00"/>
        <w:gridCol w:w="2100"/>
        <w:gridCol w:w="4160"/>
      </w:tblGrid>
      <w:tr>
        <w:trPr>
          <w:tblHeader/>
        </w:trPr>
        <w:tc>
          <w:tcPr>
            <w:tcW w:type="dxa" w:w="3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que exige el cronograma</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41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Lo ejecutado y su evidencia</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Configuración del dominio final y certificado de seguridad (SSL/HTTPS), o en su defecto el requerido.</w:t>
            </w:r>
          </w:p>
        </w:tc>
        <w:tc>
          <w:tcPr>
            <w:tcW w:type="dxa" w:w="2100"/>
            <w:shd w:fill="FCEAE8"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9B1C14"/>
                <w:sz w:val="18"/>
                <w:szCs w:val="18"/>
              </w:rPr>
              <w:t xml:space="preserve">Bloqueado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La aplicación está preparada (cookies seguras, cabeceras de seguridad y validación contra el motor de base de datos del proveedor elegido), pero depende del mismo bloqueo de la semana 3: sin cuenta institucional no hay servidor ni certificado.</w:t>
            </w:r>
          </w:p>
          <w:p>
            <w:pPr>
              <w:spacing w:after="0" w:before="0" w:line="276"/>
            </w:pPr>
            <w:r>
              <w:rPr>
                <w:rFonts w:ascii="Calibri" w:cs="Calibri" w:eastAsia="Calibri" w:hAnsi="Calibri"/>
                <w:i/>
                <w:iCs/>
                <w:color w:val="5A5A5A"/>
                <w:sz w:val="17"/>
                <w:szCs w:val="17"/>
              </w:rPr>
              <w:t xml:space="preserve">CabecerasDeSeguridadTest. Ver sección 8, riesgo R-01.</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Sesión de capacitación al equipo administrativo de Asobares para el uso del panel.</w:t>
            </w:r>
          </w:p>
        </w:tc>
        <w:tc>
          <w:tcPr>
            <w:tcW w:type="dxa" w:w="2100"/>
            <w:shd w:fill="F2F2F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4A4A4A"/>
                <w:sz w:val="18"/>
                <w:szCs w:val="18"/>
              </w:rPr>
              <w:t xml:space="preserve">No iniciado (dentro de plazo)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No iniciada; corresponde a septiembre. El manual que la soporta ya está redactado (siguiente fila).</w:t>
            </w:r>
          </w:p>
          <w:p>
            <w:pPr>
              <w:spacing w:after="0" w:before="0" w:line="276"/>
            </w:pPr>
            <w:r>
              <w:rPr>
                <w:rFonts w:ascii="Calibri" w:cs="Calibri" w:eastAsia="Calibri" w:hAnsi="Calibri"/>
                <w:i/>
                <w:iCs/>
                <w:color w:val="5A5A5A"/>
                <w:sz w:val="17"/>
                <w:szCs w:val="17"/>
              </w:rPr>
              <w:t xml:space="preserve">Programado para la semana 8.</w:t>
            </w:r>
          </w:p>
        </w:tc>
      </w:tr>
      <w:tr>
        <w:trPr>
          <w:cantSplit/>
        </w:trPr>
        <w:tc>
          <w:tcPr>
            <w:tcW w:type="dxa" w:w="31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de documentación técnica y manual de usuario.</w:t>
            </w:r>
          </w:p>
        </w:tc>
        <w:tc>
          <w:tcPr>
            <w:tcW w:type="dxa" w:w="2100"/>
            <w:shd w:fill="E4EEFB"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1408A"/>
                <w:sz w:val="18"/>
                <w:szCs w:val="18"/>
              </w:rPr>
              <w:t xml:space="preserve">Cumplido (adelantado)</w:t>
            </w:r>
          </w:p>
        </w:tc>
        <w:tc>
          <w:tcPr>
            <w:tcW w:type="dxa" w:w="4160"/>
            <w:tcMar>
              <w:top w:type="dxa" w:w="90"/>
              <w:left w:type="dxa" w:w="110"/>
              <w:bottom w:type="dxa" w:w="90"/>
              <w:right w:type="dxa" w:w="110"/>
            </w:tcMar>
            <w:vAlign w:val="top"/>
          </w:tcPr>
          <w:p>
            <w:pPr>
              <w:spacing w:after="80" w:before="0" w:line="276"/>
            </w:pPr>
            <w:r>
              <w:rPr>
                <w:rFonts w:ascii="Calibri" w:cs="Calibri" w:eastAsia="Calibri" w:hAnsi="Calibri"/>
                <w:color w:val="0B090A"/>
                <w:sz w:val="19"/>
                <w:szCs w:val="19"/>
              </w:rPr>
              <w:t xml:space="preserve">ADELANTADO. La documentación técnica está escrita (instalación, credenciales de demostración, tecnologías, estructura de la base de datos y cinco guiones de demostración de punta a punta). El manual de usuario está terminado: redactado por tarea y con sus once capturas del panel real. Queda únicamente exportarlo a PDF, que es un paso de formato.</w:t>
            </w:r>
          </w:p>
          <w:p>
            <w:pPr>
              <w:spacing w:after="0" w:before="0" w:line="276"/>
            </w:pPr>
            <w:r>
              <w:rPr>
                <w:rFonts w:ascii="Calibri" w:cs="Calibri" w:eastAsia="Calibri" w:hAnsi="Calibri"/>
                <w:i/>
                <w:iCs/>
                <w:color w:val="5A5A5A"/>
                <w:sz w:val="17"/>
                <w:szCs w:val="17"/>
              </w:rPr>
              <w:t xml:space="preserve">README.md · docs/ingenieria/manual-de-usuario.md · docs/ingenieria/capturas/</w:t>
            </w:r>
          </w:p>
        </w:tc>
      </w:tr>
    </w:tbl>
    <w:p>
      <w:r>
        <w:br w:type="page"/>
      </w:r>
    </w:p>
    <w:p>
      <w:pPr>
        <w:pStyle w:val="Heading1"/>
        <w:spacing w:after="180" w:before="360"/>
      </w:pPr>
      <w:r>
        <w:rPr>
          <w:rFonts w:ascii="Calibri" w:cs="Calibri" w:eastAsia="Calibri" w:hAnsi="Calibri"/>
          <w:b/>
          <w:bCs/>
          <w:color w:val="EE4137"/>
          <w:sz w:val="30"/>
          <w:szCs w:val="30"/>
        </w:rPr>
        <w:t xml:space="preserve">4. Pautas obligatorias transversales</w:t>
      </w:r>
    </w:p>
    <w:p>
      <w:pPr>
        <w:spacing w:after="120" w:before="0" w:line="276"/>
      </w:pPr>
      <w:r>
        <w:rPr>
          <w:rFonts w:ascii="Calibri" w:cs="Calibri" w:eastAsia="Calibri" w:hAnsi="Calibri"/>
          <w:color w:val="0B090A"/>
          <w:sz w:val="21"/>
          <w:szCs w:val="21"/>
        </w:rPr>
        <w:t xml:space="preserve">El cronograma define cinco pautas que rigen todo el desarrollo, con independencia de la semana. Se evalúan aquí una por una.</w:t>
      </w:r>
    </w:p>
    <w:p>
      <w:pPr>
        <w:pStyle w:val="Heading2"/>
        <w:keepNext/>
        <w:spacing w:after="140" w:before="280"/>
      </w:pPr>
      <w:r>
        <w:rPr>
          <w:rFonts w:ascii="Calibri" w:cs="Calibri" w:eastAsia="Calibri" w:hAnsi="Calibri"/>
          <w:b/>
          <w:bCs/>
          <w:color w:val="0B090A"/>
          <w:sz w:val="25"/>
          <w:szCs w:val="25"/>
        </w:rPr>
        <w:t xml:space="preserve">1. Enfoque móvil</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Más del 80 % de los usuarios navegarán desde smartphones. Todo diseño, maquetación y componente debe conceptualizarse y probarse primero en teléfonos móviles. Los menús desplegables, los formularios de inscripción y el directorio deben ser 100 % funcionales y cómodos al uso táctil.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Todo el sitio se construyó primero para móvil. Los menús desplegables, los formularios y el directorio funcionan al tacto, y hay pruebas automatizadas que verifican que cada elemento con efecto de pasar el cursor tenga su equivalente táctil. Pendiente: la verificación sobre teléfonos reales, que el cronograma sitúa en la semana 7.</w:t>
      </w:r>
    </w:p>
    <w:p>
      <w:pPr>
        <w:pStyle w:val="Heading2"/>
        <w:keepNext/>
        <w:spacing w:after="140" w:before="280"/>
      </w:pPr>
      <w:r>
        <w:rPr>
          <w:rFonts w:ascii="Calibri" w:cs="Calibri" w:eastAsia="Calibri" w:hAnsi="Calibri"/>
          <w:b/>
          <w:bCs/>
          <w:color w:val="0B090A"/>
          <w:sz w:val="25"/>
          <w:szCs w:val="25"/>
        </w:rPr>
        <w:t xml:space="preserve">2. Autonomía administrativa</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El personal debe poder crear, editar y eliminar contenidos (noticias, capacitaciones, nuevos afiliados y logos de aliados) de forma intuitiva. No se aceptarán secciones clave escritas en el código.</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y verificado por prueba: los 19 módulos del panel abren su listado, su formulario de creación y su formulario de edición, y una prueba comprueba que no quede ninguna pantalla del panel sin registrar. Los datos de contacto, redes y textos generales se cambian desde «Ajustes del sitio» y se reflejan en todo el sitio. Nada del contenido cambiante está escrito en el código.</w:t>
      </w:r>
    </w:p>
    <w:p>
      <w:pPr>
        <w:pStyle w:val="Heading2"/>
        <w:keepNext/>
        <w:spacing w:after="140" w:before="280"/>
      </w:pPr>
      <w:r>
        <w:rPr>
          <w:rFonts w:ascii="Calibri" w:cs="Calibri" w:eastAsia="Calibri" w:hAnsi="Calibri"/>
          <w:b/>
          <w:bCs/>
          <w:color w:val="0B090A"/>
          <w:sz w:val="25"/>
          <w:szCs w:val="25"/>
        </w:rPr>
        <w:t xml:space="preserve">3. Seguridad e integración de pagos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Certificado SSL (HTTPS) indispensable. La pasarela debe integrarse primero en entorno de pruebas (sandbox); ninguna prueba con dinero real hasta validar respuestas del servidor. Los formularios deben cumplir la normativa de tratamiento de datos personales (Habeas Data).</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8A5B00"/>
          <w:sz w:val="20"/>
          <w:szCs w:val="20"/>
        </w:rPr>
        <w:t xml:space="preserve">Cumplido parcialmente</w:t>
      </w:r>
    </w:p>
    <w:p>
      <w:pPr>
        <w:spacing w:after="160" w:before="0" w:line="276"/>
      </w:pPr>
      <w:r>
        <w:rPr>
          <w:rFonts w:ascii="Calibri" w:cs="Calibri" w:eastAsia="Calibri" w:hAnsi="Calibri"/>
          <w:color w:val="0B090A"/>
          <w:sz w:val="21"/>
          <w:szCs w:val="21"/>
        </w:rPr>
        <w:t xml:space="preserve">Pasarela en entorno de pruebas: cumplido, y el sistema se niega por diseño a operar la pasarela simulada fuera del entorno local. Habeas Data: cumplido por encima de lo exigido — además de exigir la autorización en los siete formularios del sitio y guardar constancia con fecha, hora y versión del texto aceptado, los datos personales de las bolsas de empleo se eliminan automáticamente al vencer su plazo de conservación, y cada borrado queda en la bitácora. SSL: bloqueado por la ausencia de servidor.</w:t>
      </w:r>
    </w:p>
    <w:p>
      <w:pPr>
        <w:pStyle w:val="Heading2"/>
        <w:keepNext/>
        <w:spacing w:after="140" w:before="280"/>
      </w:pPr>
      <w:r>
        <w:rPr>
          <w:rFonts w:ascii="Calibri" w:cs="Calibri" w:eastAsia="Calibri" w:hAnsi="Calibri"/>
          <w:b/>
          <w:bCs/>
          <w:color w:val="0B090A"/>
          <w:sz w:val="25"/>
          <w:szCs w:val="25"/>
        </w:rPr>
        <w:t xml:space="preserve">4. Rendimiento y optimización web</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Imágenes comprimidas en .webp o .svg. La página principal no debe tardar más de 2,5 segundos en cargar. Estructuración correcta de etiquetas HTML para posicionar en buscadores.</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Imágenes: cumplido, con conversión automática a .webp verificada por 11 pruebas. Tiempo de carga: cumplido y MEDIDO — la página principal pinta su elemento principal en 972 milisegundos sobre móvil 4G, un 61 % por debajo del techo de 2,5 segundos que fija el cronograma, y ninguna de las doce rutas públicas lo incumple. Posicionamiento: la estructura está completa (mapa del sitio, datos estructurados en cuatro tipos de ficha, etiquetas sociales), aunque el posicionamiento real solo puede observarse con un dominio publicado. Salvedad: la medición se tomó contra el servidor local, de modo que no incluye la latencia de red hasta un servidor real; debe repetirse contra el dominio definitivo cuando exista despliegue.</w:t>
      </w:r>
    </w:p>
    <w:p>
      <w:pPr>
        <w:pStyle w:val="Heading2"/>
        <w:keepNext/>
        <w:spacing w:after="140" w:before="280"/>
      </w:pPr>
      <w:r>
        <w:rPr>
          <w:rFonts w:ascii="Calibri" w:cs="Calibri" w:eastAsia="Calibri" w:hAnsi="Calibri"/>
          <w:b/>
          <w:bCs/>
          <w:color w:val="0B090A"/>
          <w:sz w:val="25"/>
          <w:szCs w:val="25"/>
        </w:rPr>
        <w:t xml:space="preserve">5. Control de versiones y entregables</w:t>
      </w:r>
    </w:p>
    <w:tbl>
      <w:tblPr>
        <w:tblW w:type="dxa" w:w="9360"/>
        <w:tblBorders>
          <w:top w:val="none"/>
          <w:left w:val="single" w:color="D9D9D9" w:sz="12"/>
          <w:bottom w:val="none"/>
          <w:right w:val="none"/>
          <w:insideH w:val="none"/>
          <w:insideV w:val="none"/>
        </w:tblBorders>
      </w:tblPr>
      <w:tblGrid>
        <w:gridCol w:w="9360"/>
      </w:tblGrid>
      <w:tr>
        <w:trPr>
          <w:cantSplit/>
        </w:trPr>
        <w:tc>
          <w:tcPr>
            <w:tcW w:type="dxa" w:w="9360"/>
            <w:tcMar>
              <w:top w:type="dxa" w:w="90"/>
              <w:left w:type="dxa" w:w="110"/>
              <w:bottom w:type="dxa" w:w="90"/>
              <w:right w:type="dxa" w:w="110"/>
            </w:tcMar>
            <w:vAlign w:val="top"/>
          </w:tcPr>
          <w:p>
            <w:pPr>
              <w:spacing w:after="50" w:before="0" w:line="276"/>
            </w:pPr>
            <w:r>
              <w:rPr>
                <w:rFonts w:ascii="Calibri" w:cs="Calibri" w:eastAsia="Calibri" w:hAnsi="Calibri"/>
                <w:b/>
                <w:bCs/>
                <w:color w:val="5A5A5A"/>
                <w:sz w:val="17"/>
                <w:szCs w:val="17"/>
              </w:rPr>
              <w:t xml:space="preserve">Lo que exige el cronograma</w:t>
            </w:r>
          </w:p>
          <w:p>
            <w:pPr>
              <w:spacing w:after="0" w:before="0" w:line="276"/>
            </w:pPr>
            <w:r>
              <w:rPr>
                <w:rFonts w:ascii="Calibri" w:cs="Calibri" w:eastAsia="Calibri" w:hAnsi="Calibri"/>
                <w:i/>
                <w:iCs/>
                <w:color w:val="0B090A"/>
                <w:sz w:val="19"/>
                <w:szCs w:val="19"/>
              </w:rPr>
              <w:t xml:space="preserve">Todo el código fuente debe gestionarse en un repositorio GitHub / GitLab con commits descriptivos de cada avance semanal.</w:t>
            </w:r>
          </w:p>
        </w:tc>
      </w:tr>
    </w:tbl>
    <w:p>
      <w:pPr>
        <w:spacing w:after="60" w:before="120"/>
      </w:pPr>
      <w:r>
        <w:rPr>
          <w:rFonts w:ascii="Calibri" w:cs="Calibri" w:eastAsia="Calibri" w:hAnsi="Calibri"/>
          <w:b/>
          <w:bCs/>
          <w:color w:val="5A5A5A"/>
          <w:sz w:val="20"/>
          <w:szCs w:val="20"/>
        </w:rPr>
        <w:t xml:space="preserve">Estado:  </w:t>
      </w:r>
      <w:r>
        <w:rPr>
          <w:rFonts w:ascii="Calibri" w:cs="Calibri" w:eastAsia="Calibri" w:hAnsi="Calibri"/>
          <w:b/>
          <w:bCs/>
          <w:color w:val="1B5E35"/>
          <w:sz w:val="20"/>
          <w:szCs w:val="20"/>
        </w:rPr>
        <w:t xml:space="preserve">Cumplido</w:t>
      </w:r>
    </w:p>
    <w:p>
      <w:pPr>
        <w:spacing w:after="160" w:before="0" w:line="276"/>
      </w:pPr>
      <w:r>
        <w:rPr>
          <w:rFonts w:ascii="Calibri" w:cs="Calibri" w:eastAsia="Calibri" w:hAnsi="Calibri"/>
          <w:color w:val="0B090A"/>
          <w:sz w:val="21"/>
          <w:szCs w:val="21"/>
        </w:rPr>
        <w:t xml:space="preserve">Cumplido. El repositorio está en GitHub con historial descriptivo. Se corrige aquí, por transparencia, una desviación ya subsanada: entre el 5 y el 14 de agosto el repositorio remoto quedó desactualizado frente al trabajo local. Se detectó en una auditoría interna del 14 de agosto y quedó resuelto: hoy el repositorio remoto refleja íntegramente el avance.</w:t>
      </w:r>
    </w:p>
    <w:p>
      <w:pPr>
        <w:pStyle w:val="Heading1"/>
        <w:spacing w:after="180" w:before="360"/>
      </w:pPr>
      <w:r>
        <w:rPr>
          <w:rFonts w:ascii="Calibri" w:cs="Calibri" w:eastAsia="Calibri" w:hAnsi="Calibri"/>
          <w:b/>
          <w:bCs/>
          <w:color w:val="EE4137"/>
          <w:sz w:val="30"/>
          <w:szCs w:val="30"/>
        </w:rPr>
        <w:t xml:space="preserve">5. Entregables finales</w:t>
      </w:r>
    </w:p>
    <w:p>
      <w:pPr>
        <w:spacing w:after="120" w:before="0" w:line="276"/>
      </w:pPr>
      <w:r>
        <w:rPr>
          <w:rFonts w:ascii="Calibri" w:cs="Calibri" w:eastAsia="Calibri" w:hAnsi="Calibri"/>
          <w:color w:val="0B090A"/>
          <w:sz w:val="21"/>
          <w:szCs w:val="21"/>
        </w:rPr>
        <w:t xml:space="preserve">El cronograma exige tres entregables al cierre del proyecto. Este es su estado con cinco semanas de antelación.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2100"/>
        <w:gridCol w:w="38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Entregable exigido</w:t>
            </w:r>
          </w:p>
        </w:tc>
        <w:tc>
          <w:tcPr>
            <w:tcW w:type="dxa" w:w="21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Estado</w:t>
            </w:r>
          </w:p>
        </w:tc>
        <w:tc>
          <w:tcPr>
            <w:tcW w:type="dxa" w:w="38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Situación actual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 usuario sencillo (guía en PDF o video) para el administrador de Asobares.</w:t>
            </w:r>
          </w:p>
        </w:tc>
        <w:tc>
          <w:tcPr>
            <w:tcW w:type="dxa" w:w="2100"/>
            <w:shd w:fill="FDF3E2"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8A5B00"/>
                <w:sz w:val="18"/>
                <w:szCs w:val="18"/>
              </w:rPr>
              <w:t xml:space="preserve">Cumplido parcialmente</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Terminado en contenido: dirigido a personal sin conocimientos técnicos, organizado por tarea, con preguntas frecuentes, la explicación del flujo de aprobación y once capturas del panel real. Queda exportarlo a PDF, que es un paso de formato y no de 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básica (credenciales de acceso, estructura de base de datos y tecnologías utilizadas).</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Completa, y ampliada con material que no se exigía: cinco guiones de demostración de punta a punta, siete diagramas de ingeniería (incluido el modelo de datos de las 21 entidades), una matriz que traza cada requisito contratado contra la prueba que lo verifica, y un informe de medición de rendimiento con 78 mediciones sobre navegador real.</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del proyecto y base de datos exportada.</w:t>
            </w:r>
          </w:p>
        </w:tc>
        <w:tc>
          <w:tcPr>
            <w:tcW w:type="dxa" w:w="2100"/>
            <w:shd w:fill="E9F5EC"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1B5E35"/>
                <w:sz w:val="18"/>
                <w:szCs w:val="18"/>
              </w:rPr>
              <w:t xml:space="preserve">Cumplido</w:t>
            </w:r>
          </w:p>
        </w:tc>
        <w:tc>
          <w:tcPr>
            <w:tcW w:type="dxa" w:w="38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Código fuente: disponible en el repositorio, íntegro y sincronizado con el remoto. Base de datos exportada: entregada en dos formas — el esquema solo (37 tablas con sus índices y claves foráneas) y el volcado completo con los datos de demostración, ambos con instrucciones de restauración.</w:t>
            </w:r>
          </w:p>
        </w:tc>
      </w:tr>
    </w:tbl>
    <w:p>
      <w:r>
        <w:br w:type="page"/>
      </w:r>
    </w:p>
    <w:p>
      <w:pPr>
        <w:pStyle w:val="Heading1"/>
        <w:spacing w:after="180" w:before="360"/>
      </w:pPr>
      <w:r>
        <w:rPr>
          <w:rFonts w:ascii="Calibri" w:cs="Calibri" w:eastAsia="Calibri" w:hAnsi="Calibri"/>
          <w:b/>
          <w:bCs/>
          <w:color w:val="EE4137"/>
          <w:sz w:val="30"/>
          <w:szCs w:val="30"/>
        </w:rPr>
        <w:t xml:space="preserve">6. Alcance construido por encima del contrato</w:t>
      </w:r>
    </w:p>
    <w:p>
      <w:pPr>
        <w:spacing w:after="120" w:before="0" w:line="276"/>
      </w:pPr>
      <w:r>
        <w:rPr>
          <w:rFonts w:ascii="Calibri" w:cs="Calibri" w:eastAsia="Calibri" w:hAnsi="Calibri"/>
          <w:color w:val="0B090A"/>
          <w:sz w:val="21"/>
          <w:szCs w:val="21"/>
        </w:rPr>
        <w:t xml:space="preserve">Los módulos siguientes no figuran en el cronograma firmado. Surgieron de la segunda reunión de levantamiento, en la que el directivo del capítulo reordenó las prioridades del proyecto, y se construyeron sin desplazar ninguna exigencia contractual. Se listan aquí para que la dirección los evalúe formalmente y decidan qué se mantiene en el alcance de esta entrega.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Módulo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resuelve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Guía normativa por municipio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Requisitos y trámites para abrir y operar un establecimiento nocturno, por municipio, con formatos oficiales descargables. Incluye una métrica anónima de consultas y descargas que permite demostrarle a una alcaldía cuánta gente usa la guía, sin registrar quién la consulta.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empleo del sector</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publica sus vacantes desde su propio portal y el gremio modera; los candidatos se postulan en línea y el establecimiento recibe aviso. Los datos personales de los candidatos se eliminan solos al vencer el plazo de conservación.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Directorio de artistas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Fichas de DJ, músicos y agrupaciones con género, tarifa y video, por inscripción pública moderada.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Bolsa de proveedores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Proveedores del sector por categoría (hielo, licor, aseo, seguridad, mantenimiento), con la estructura lista para el cobro que la junta decida.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Estado de cartera del afiliado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asociado entra, ve cuánto debe y paga en línea. Responde a la petición textual de la Reunión 2: la gente no paga porque no sabe cuánto debe.</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Observatorio del gremio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Seis indicadores del sector para la dirección, con una regla explícita: cada gráfica se abstiene de dibujar cuando su muestra es insuficiente, en lugar de mostrar una cifra que no se sostiene.</w:t>
            </w:r>
          </w:p>
        </w:tc>
      </w:tr>
    </w:tbl>
    <w:tbl>
      <w:tblPr>
        <w:tblW w:type="dxa" w:w="9360"/>
        <w:tblBorders>
          <w:top w:val="single" w:color="E4EEFB" w:sz="2"/>
          <w:left w:val="single" w:color="11408A" w:sz="18"/>
          <w:bottom w:val="single" w:color="E4EEFB" w:sz="2"/>
          <w:right w:val="single" w:color="E4EEFB" w:sz="2"/>
          <w:insideH w:val="none"/>
          <w:insideV w:val="none"/>
        </w:tblBorders>
      </w:tblPr>
      <w:tblGrid>
        <w:gridCol w:w="9360"/>
      </w:tblGrid>
      <w:tr>
        <w:tc>
          <w:tcPr>
            <w:tcW w:type="dxa" w:w="9360"/>
            <w:shd w:fill="E4EEFB"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11408A"/>
                <w:sz w:val="20"/>
                <w:szCs w:val="20"/>
              </w:rPr>
              <w:t xml:space="preserve">Recomendación</w:t>
            </w:r>
          </w:p>
          <w:p>
            <w:pPr>
              <w:spacing w:after="0" w:before="0" w:line="276"/>
            </w:pPr>
            <w:r>
              <w:rPr>
                <w:rFonts w:ascii="Calibri" w:cs="Calibri" w:eastAsia="Calibri" w:hAnsi="Calibri"/>
                <w:color w:val="0B090A"/>
                <w:sz w:val="20"/>
                <w:szCs w:val="20"/>
              </w:rPr>
              <w:t xml:space="preserve">Se sugiere congelar el alcance en este punto. Lo que resta del proyecto —despliegue, pruebas en dispositivos, capacitación y entrega— no es trabajo de construcción y no se puede comprimir: depende de terceros y de agendas. Añadir un módulo más a estas alturas se paga con esas actividades, que son las que el cronograma sitúa al final y las que cierran el proyecto.</w:t>
            </w:r>
          </w:p>
        </w:tc>
      </w:tr>
    </w:tbl>
    <w:p>
      <w:pPr>
        <w:pStyle w:val="Heading1"/>
        <w:spacing w:after="180" w:before="360"/>
      </w:pPr>
      <w:r>
        <w:rPr>
          <w:rFonts w:ascii="Calibri" w:cs="Calibri" w:eastAsia="Calibri" w:hAnsi="Calibri"/>
          <w:b/>
          <w:bCs/>
          <w:color w:val="EE4137"/>
          <w:sz w:val="30"/>
          <w:szCs w:val="30"/>
        </w:rPr>
        <w:t xml:space="preserve">7. Evidencia documental producida</w:t>
      </w:r>
    </w:p>
    <w:p>
      <w:pPr>
        <w:spacing w:after="120" w:before="0" w:line="276"/>
      </w:pPr>
      <w:r>
        <w:rPr>
          <w:rFonts w:ascii="Calibri" w:cs="Calibri" w:eastAsia="Calibri" w:hAnsi="Calibri"/>
          <w:color w:val="0B090A"/>
          <w:sz w:val="21"/>
          <w:szCs w:val="21"/>
        </w:rPr>
        <w:t xml:space="preserve">La documentación técnica y de ingeniería del proyecto está consolidada dentro del propio repositorio, en la carpeta docs/ingenieria. Se entrega junto con el código fuente.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660"/>
      </w:tblGrid>
      <w:tr>
        <w:trPr>
          <w:tblHeader/>
        </w:trPr>
        <w:tc>
          <w:tcPr>
            <w:tcW w:type="dxa" w:w="27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66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Matriz de pruebas</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 los 62 requisitos funcionales y los 14 no funcionales contratados contra la prueba automatizada que verifica cada uno, e identifica explícitamente los que no tienen cobertura y por qué.</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de usuario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Guía del panel administrativo para personal sin conocimientos técnicos, organizada por tarea. Incluye el flujo de aprobación, la importación de cartera y preguntas frecuentes.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Diagramas de ingeniería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con sus fuentes editables: casos de uso, contexto, dos procesos de negocio en notación BPMN, el proceso de trabajo del equipo, el ciclo semanal y el modelo de datos de las 21 entidades.</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Medición de rendimiento</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78 mediciones con navegador real sobre las doce rutas públicas, en móvil 4G y escritorio, en los dos temas y con la caché vacía.</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exportada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de las 37 tablas y volcado completo con los datos de demostración, con instrucciones de restauración.</w:t>
            </w:r>
          </w:p>
        </w:tc>
      </w:tr>
      <w:tr>
        <w:trPr>
          <w:cantSplit/>
        </w:trPr>
        <w:tc>
          <w:tcPr>
            <w:tcW w:type="dxa" w:w="27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Documentación técnica</w:t>
            </w:r>
          </w:p>
        </w:tc>
        <w:tc>
          <w:tcPr>
            <w:tcW w:type="dxa" w:w="66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Instalación, credenciales de demostración, tecnologías, estructura de datos y cinco guiones de demostración de punta a punta.</w:t>
            </w:r>
          </w:p>
        </w:tc>
      </w:tr>
    </w:tbl>
    <w:p>
      <w:pPr>
        <w:spacing w:after="120" w:before="160" w:line="276"/>
      </w:pPr>
      <w:r>
        <w:rPr>
          <w:rFonts w:ascii="Calibri" w:cs="Calibri" w:eastAsia="Calibri" w:hAnsi="Calibri"/>
          <w:i/>
          <w:iCs/>
          <w:color w:val="5A5A5A"/>
          <w:sz w:val="20"/>
          <w:szCs w:val="20"/>
        </w:rPr>
        <w:t xml:space="preserve">El modelo de datos no documenta intenciones: se construyó leyendo las migraciones y las relaciones declaradas en el código, de modo que refleja el sistema tal como existe.</w:t>
      </w:r>
    </w:p>
    <w:p>
      <w:pPr>
        <w:pStyle w:val="Heading1"/>
        <w:spacing w:after="180" w:before="360"/>
      </w:pPr>
      <w:r>
        <w:rPr>
          <w:rFonts w:ascii="Calibri" w:cs="Calibri" w:eastAsia="Calibri" w:hAnsi="Calibri"/>
          <w:b/>
          <w:bCs/>
          <w:color w:val="EE4137"/>
          <w:sz w:val="30"/>
          <w:szCs w:val="30"/>
        </w:rPr>
        <w:t xml:space="preserve">8. Brechas declaradas, con responsable y fecha</w:t>
      </w:r>
    </w:p>
    <w:p>
      <w:pPr>
        <w:spacing w:after="120" w:before="0" w:line="276"/>
      </w:pPr>
      <w:r>
        <w:rPr>
          <w:rFonts w:ascii="Calibri" w:cs="Calibri" w:eastAsia="Calibri" w:hAnsi="Calibri"/>
          <w:color w:val="0B090A"/>
          <w:sz w:val="21"/>
          <w:szCs w:val="21"/>
        </w:rPr>
        <w:t xml:space="preserve">Cada punto no cumplido, con su causa real y quién puede resolverlo. Ninguno de estos es desconocimiento del equipo: todos están identificados, medidos y con vía de solución.</w:t>
      </w:r>
    </w:p>
    <w:p>
      <w:pPr>
        <w:pStyle w:val="Heading2"/>
        <w:keepNext/>
        <w:spacing w:after="140" w:before="280"/>
      </w:pPr>
      <w:r>
        <w:rPr>
          <w:rFonts w:ascii="Calibri" w:cs="Calibri" w:eastAsia="Calibri" w:hAnsi="Calibri"/>
          <w:b/>
          <w:bCs/>
          <w:color w:val="0B090A"/>
          <w:sz w:val="25"/>
          <w:szCs w:val="25"/>
        </w:rPr>
        <w:t xml:space="preserve">8.1 Brechas que no dependen del equipo de desarrollo</w:t>
      </w:r>
    </w:p>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rPr>
          <w:cantSplit/>
        </w:trPr>
        <w:tc>
          <w:tcPr>
            <w:tcW w:type="dxa" w:w="9360"/>
            <w:shd w:fill="FCEAE8"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9B1C14"/>
                <w:sz w:val="22"/>
                <w:szCs w:val="22"/>
              </w:rPr>
              <w:t xml:space="preserve">R-01 · La plataforma no vive en ningún servidor</w:t>
            </w:r>
          </w:p>
          <w:p>
            <w:pPr>
              <w:spacing w:after="100" w:before="0" w:line="276"/>
            </w:pPr>
            <w:r>
              <w:rPr>
                <w:rFonts w:ascii="Calibri" w:cs="Calibri" w:eastAsia="Calibri" w:hAnsi="Calibri"/>
                <w:color w:val="0B090A"/>
                <w:sz w:val="20"/>
                <w:szCs w:val="20"/>
              </w:rPr>
              <w:t xml:space="preserve">Afecta a: semana 3 (hosting de pruebas), semana 7 (pruebas en dispositivos), semana 8 (dominio y certificado SSL) y a la revisión de la plataforma por parte de la tutora empresarial.</w:t>
            </w:r>
          </w:p>
          <w:p>
            <w:pPr>
              <w:spacing w:after="100" w:before="0" w:line="276"/>
            </w:pPr>
            <w:r>
              <w:rPr>
                <w:rFonts w:ascii="Calibri" w:cs="Calibri" w:eastAsia="Calibri" w:hAnsi="Calibri"/>
                <w:color w:val="0B090A"/>
                <w:sz w:val="20"/>
                <w:szCs w:val="20"/>
              </w:rPr>
              <w:t xml:space="preserve">Qué falta exactamente: crear la cuenta del proveedor de hosting con el correo institucional del gremio y un medio de pago del gremio. El proveedor ya está elegido tras un análisis comparativo, y la aplicación ya fue validada contra el motor de base de datos que ese proveedor utiliza. El costo estimado es de aproximadamente cinco dólares mensuales, con un tope de gasto configurable desde el primer día.</w:t>
            </w:r>
          </w:p>
          <w:p>
            <w:pPr>
              <w:spacing w:after="100" w:before="0" w:line="276"/>
            </w:pPr>
            <w:r>
              <w:rPr>
                <w:rFonts w:ascii="Calibri" w:cs="Calibri" w:eastAsia="Calibri" w:hAnsi="Calibri"/>
                <w:color w:val="0B090A"/>
                <w:sz w:val="20"/>
                <w:szCs w:val="20"/>
              </w:rPr>
              <w:t xml:space="preserve">Por qué no se resuelve con una cuenta personal del practicante: porque la vinculación del practicante termina el 22 de septiembre. Una plataforma alojada en una cuenta personal se queda sin dueño el día que la práctica acaba, y el gremio tendría que reconstruir el despliegue desde cero en el peor momento posible. Es un riesgo de continuidad, no una preferencia técnica.</w:t>
            </w:r>
          </w:p>
          <w:p>
            <w:pPr>
              <w:spacing w:after="60" w:before="0" w:line="276"/>
            </w:pPr>
            <w:r>
              <w:rPr>
                <w:rFonts w:ascii="Calibri" w:cs="Calibri" w:eastAsia="Calibri" w:hAnsi="Calibri"/>
                <w:b/>
                <w:bCs/>
                <w:color w:val="0B090A"/>
                <w:sz w:val="20"/>
                <w:szCs w:val="20"/>
              </w:rPr>
              <w:t xml:space="preserve">Responsable de la decisión: dirección ejecutiva y junta directiva.</w:t>
            </w:r>
          </w:p>
          <w:p>
            <w:pPr>
              <w:spacing w:after="0" w:before="0" w:line="276"/>
            </w:pPr>
            <w:r>
              <w:rPr>
                <w:rFonts w:ascii="Calibri" w:cs="Calibri" w:eastAsia="Calibri" w:hAnsi="Calibri"/>
                <w:b/>
                <w:bCs/>
                <w:color w:val="0B090A"/>
                <w:sz w:val="20"/>
                <w:szCs w:val="20"/>
              </w:rPr>
              <w:t xml:space="preserve">Fecha sugerida: antes del 29 de agosto de 2026, para que quede margen de despliegue y pruebas antes de la semana 7.</w:t>
            </w:r>
          </w:p>
        </w:tc>
      </w:tr>
    </w:tbl>
    <w:p>
      <w:pPr>
        <w:spacing w:after="120" w:before="200" w:line="276"/>
      </w:pPr>
      <w:r>
        <w:rPr>
          <w:rFonts w:ascii="Calibri" w:cs="Calibri" w:eastAsia="Calibri" w:hAnsi="Calibri"/>
          <w:color w:val="0B090A"/>
          <w:sz w:val="20"/>
          <w:szCs w:val="20"/>
        </w:rPr>
        <w:t xml:space="preserve">Recomendación adicional, del mismo orden: el repositorio de código está hoy en una cuenta personal de GitHub. Conviene trasladarlo a una organización del gremio, o al menos añadir un segundo administrador, antes del cierre del proyecto. Es gratuito y toma minutos.</w:t>
      </w:r>
    </w:p>
    <w:p>
      <w:pPr>
        <w:pStyle w:val="Heading2"/>
        <w:keepNext/>
        <w:spacing w:after="140" w:before="280"/>
      </w:pPr>
      <w:r>
        <w:rPr>
          <w:rFonts w:ascii="Calibri" w:cs="Calibri" w:eastAsia="Calibri" w:hAnsi="Calibri"/>
          <w:b/>
          <w:bCs/>
          <w:color w:val="0B090A"/>
          <w:sz w:val="25"/>
          <w:szCs w:val="25"/>
        </w:rPr>
        <w:t xml:space="preserve">8.2 Decisión pendiente de la dirección</w:t>
      </w:r>
    </w:p>
    <w:tbl>
      <w:tblPr>
        <w:tblW w:type="dxa" w:w="9360"/>
        <w:tblBorders>
          <w:top w:val="single" w:color="FDF3E2" w:sz="2"/>
          <w:left w:val="single" w:color="8A5B00" w:sz="18"/>
          <w:bottom w:val="single" w:color="FDF3E2" w:sz="2"/>
          <w:right w:val="single" w:color="FDF3E2" w:sz="2"/>
          <w:insideH w:val="none"/>
          <w:insideV w:val="none"/>
        </w:tblBorders>
      </w:tblPr>
      <w:tblGrid>
        <w:gridCol w:w="9360"/>
      </w:tblGrid>
      <w:tr>
        <w:trPr>
          <w:cantSplit/>
        </w:trPr>
        <w:tc>
          <w:tcPr>
            <w:tcW w:type="dxa" w:w="9360"/>
            <w:shd w:fill="FDF3E2" w:color="auto" w:val="clear"/>
            <w:tcMar>
              <w:top w:type="dxa" w:w="90"/>
              <w:left w:type="dxa" w:w="110"/>
              <w:bottom w:type="dxa" w:w="90"/>
              <w:right w:type="dxa" w:w="110"/>
            </w:tcMar>
            <w:vAlign w:val="top"/>
          </w:tcPr>
          <w:p>
            <w:pPr>
              <w:spacing w:after="100" w:before="0" w:line="276"/>
            </w:pPr>
            <w:r>
              <w:rPr>
                <w:rFonts w:ascii="Calibri" w:cs="Calibri" w:eastAsia="Calibri" w:hAnsi="Calibri"/>
                <w:b/>
                <w:bCs/>
                <w:color w:val="8A5B00"/>
                <w:sz w:val="22"/>
                <w:szCs w:val="22"/>
              </w:rPr>
              <w:t xml:space="preserve">D-01 · El calendario de eventos</w:t>
            </w:r>
          </w:p>
          <w:p>
            <w:pPr>
              <w:spacing w:after="100" w:before="0" w:line="276"/>
            </w:pPr>
            <w:r>
              <w:rPr>
                <w:rFonts w:ascii="Calibri" w:cs="Calibri" w:eastAsia="Calibri" w:hAnsi="Calibri"/>
                <w:color w:val="0B090A"/>
                <w:sz w:val="20"/>
                <w:szCs w:val="20"/>
              </w:rPr>
              <w:t xml:space="preserve">El cronograma firmado pide, en la semana 4, un «calendario + formularios de inscripción». Los formularios están completos. La vista de calendario no se construyó: los eventos se presentan como un listado de «Próximos» y «Pasados».</w:t>
            </w:r>
          </w:p>
          <w:p>
            <w:pPr>
              <w:spacing w:after="100" w:before="0" w:line="276"/>
            </w:pPr>
            <w:r>
              <w:rPr>
                <w:rFonts w:ascii="Calibri" w:cs="Calibri" w:eastAsia="Calibri" w:hAnsi="Calibri"/>
                <w:color w:val="0B090A"/>
                <w:sz w:val="20"/>
                <w:szCs w:val="20"/>
              </w:rPr>
              <w:t xml:space="preserve">Se plantea abiertamente porque es una diferencia con el documento firmado, y las diferencias que no se nombran aparecen en la revisión final. Hay dos salidas y ambas son válidas:</w:t>
            </w:r>
          </w:p>
          <w:p>
            <w:pPr>
              <w:spacing w:after="60" w:before="0" w:line="276"/>
            </w:pPr>
            <w:r>
              <w:rPr>
                <w:rFonts w:ascii="Calibri" w:cs="Calibri" w:eastAsia="Calibri" w:hAnsi="Calibri"/>
                <w:color w:val="0B090A"/>
                <w:sz w:val="20"/>
                <w:szCs w:val="20"/>
              </w:rPr>
              <w:t xml:space="preserve">a)  Construir la vista de calendario. Es trabajo acotado y cabe en el plazo restante.</w:t>
            </w:r>
          </w:p>
          <w:p>
            <w:pPr>
              <w:spacing w:after="100" w:before="0" w:line="276"/>
            </w:pPr>
            <w:r>
              <w:rPr>
                <w:rFonts w:ascii="Calibri" w:cs="Calibri" w:eastAsia="Calibri" w:hAnsi="Calibri"/>
                <w:color w:val="0B090A"/>
                <w:sz w:val="20"/>
                <w:szCs w:val="20"/>
              </w:rPr>
              <w:t xml:space="preserve">b)  Acordar por escrito que el listado la sustituye. Es defendible: el gremio publica pocos eventos propios al año y un calendario mensual se vería mayormente vacío, mientras que un listado ordenado por proximidad se lee mejor en teléfono, que es donde estará el 80 % de los usuarios.</w:t>
            </w:r>
          </w:p>
          <w:p>
            <w:pPr>
              <w:spacing w:after="60" w:before="0" w:line="276"/>
            </w:pPr>
            <w:r>
              <w:rPr>
                <w:rFonts w:ascii="Calibri" w:cs="Calibri" w:eastAsia="Calibri" w:hAnsi="Calibri"/>
                <w:b/>
                <w:bCs/>
                <w:color w:val="0B090A"/>
                <w:sz w:val="20"/>
                <w:szCs w:val="20"/>
              </w:rPr>
              <w:t xml:space="preserve">Recomendación del equipo: la opción (b), dejándola registrada en el acta de la reunión.</w:t>
            </w:r>
          </w:p>
          <w:p>
            <w:pPr>
              <w:spacing w:after="0" w:before="0" w:line="276"/>
            </w:pPr>
            <w:r>
              <w:rPr>
                <w:rFonts w:ascii="Calibri" w:cs="Calibri" w:eastAsia="Calibri" w:hAnsi="Calibri"/>
                <w:b/>
                <w:bCs/>
                <w:color w:val="0B090A"/>
                <w:sz w:val="20"/>
                <w:szCs w:val="20"/>
              </w:rPr>
              <w:t xml:space="preserve">Responsable de la decisión: dirección ejecutiva.  ·  Fecha sugerida: 21 de agosto de 2026.</w:t>
            </w:r>
          </w:p>
        </w:tc>
      </w:tr>
    </w:tbl>
    <w:p>
      <w:pPr>
        <w:pStyle w:val="Heading2"/>
        <w:keepNext/>
        <w:spacing w:after="140" w:before="280"/>
      </w:pPr>
      <w:r>
        <w:rPr>
          <w:rFonts w:ascii="Calibri" w:cs="Calibri" w:eastAsia="Calibri" w:hAnsi="Calibri"/>
          <w:b/>
          <w:bCs/>
          <w:color w:val="0B090A"/>
          <w:sz w:val="25"/>
          <w:szCs w:val="25"/>
        </w:rPr>
        <w:t xml:space="preserve">8.3 Brechas técnicas a cargo del equipo</w:t>
      </w:r>
    </w:p>
    <w:p>
      <w:pPr>
        <w:spacing w:after="120" w:before="0" w:line="276"/>
      </w:pPr>
      <w:r>
        <w:rPr>
          <w:rFonts w:ascii="Calibri" w:cs="Calibri" w:eastAsia="Calibri" w:hAnsi="Calibri"/>
          <w:color w:val="0B090A"/>
          <w:sz w:val="21"/>
          <w:szCs w:val="21"/>
        </w:rPr>
        <w:t xml:space="preserve">Estas dependen únicamente del equipo de desarrollo y se cierran dentro del plazo previsto. Se hace constar que cuatro brechas que figuraban en la versión anterior de este informe —la medición del tiempo de carga, las capturas del manual, la re-ejecución verificada de la suite de pruebas y la exportación de la base de datos— quedaron cerradas el 18 y 19 de agosto y ya no aparecen en esta tabla.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3900"/>
        <w:gridCol w:w="1500"/>
        <w:gridCol w:w="1460"/>
      </w:tblGrid>
      <w:tr>
        <w:trPr>
          <w:tblHeader/>
        </w:trPr>
        <w:tc>
          <w:tcPr>
            <w:tcW w:type="dxa" w:w="2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Brecha</w:t>
            </w:r>
          </w:p>
        </w:tc>
        <w:tc>
          <w:tcPr>
            <w:tcW w:type="dxa" w:w="3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Detalle y forma de cierre</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Cierre previsto</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Foco visible en formularios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Los campos de formulario del sitio anulan el indicador que señala dónde está el cursor, lo que dificulta el uso a quien navega con teclado. Detectado en auditoría interna del 18 de agosto. Se corrige eliminando una línea de estilo.</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5</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Áreas táctiles pequeñas</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 75 elementos interactivos, 41 quedan por debajo del tamaño mínimo recomendado para el uso con el dedo. Afecta a la pauta de enfoque móvil.</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6</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Manual sin exportar a PDF</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El manual está terminado en contenido, con sus once capturas. Falta publicarlo en el formato que pide el cronograma.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6</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Rendimiento medido en local</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medición se tomó contra el servidor local y no incluye la latencia de red real. Debe repetirse contra el dominio definitivo cuando exista despliegue.</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Equipo</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Depende de R-01</w:t>
            </w:r>
          </w:p>
        </w:tc>
      </w:tr>
      <w:tr>
        <w:trPr>
          <w:cantSplit/>
        </w:trPr>
        <w:tc>
          <w:tcPr>
            <w:tcW w:type="dxa" w:w="25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Hito de diseño sin firmar</w:t>
            </w:r>
          </w:p>
        </w:tc>
        <w:tc>
          <w:tcPr>
            <w:tcW w:type="dxa" w:w="3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aprobación del diseño por la directiva (hito de la semana 2) nunca quedó por escrito. Se resuelve con una constancia en acta.</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Semana 5</w:t>
            </w:r>
          </w:p>
        </w:tc>
      </w:tr>
    </w:tbl>
    <w:p>
      <w:pPr>
        <w:pStyle w:val="Heading2"/>
        <w:keepNext/>
        <w:spacing w:after="140" w:before="280"/>
      </w:pPr>
      <w:r>
        <w:rPr>
          <w:rFonts w:ascii="Calibri" w:cs="Calibri" w:eastAsia="Calibri" w:hAnsi="Calibri"/>
          <w:b/>
          <w:bCs/>
          <w:color w:val="0B090A"/>
          <w:sz w:val="25"/>
          <w:szCs w:val="25"/>
        </w:rPr>
        <w:t xml:space="preserve">8.4 Insumos que la plataforma sigue esperando</w:t>
      </w:r>
    </w:p>
    <w:p>
      <w:pPr>
        <w:spacing w:after="120" w:before="0" w:line="276"/>
      </w:pPr>
      <w:r>
        <w:rPr>
          <w:rFonts w:ascii="Calibri" w:cs="Calibri" w:eastAsia="Calibri" w:hAnsi="Calibri"/>
          <w:color w:val="0B090A"/>
          <w:sz w:val="21"/>
          <w:szCs w:val="21"/>
        </w:rPr>
        <w:t xml:space="preserve">Estos no son brechas de construcción: son datos y contenidos que solo el gremio puede entregar, y sin ellos algunos módulos se lanzarían vacíos.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000"/>
        <w:gridCol w:w="4900"/>
        <w:gridCol w:w="1460"/>
      </w:tblGrid>
      <w:tr>
        <w:trPr>
          <w:tblHeader/>
        </w:trPr>
        <w:tc>
          <w:tcPr>
            <w:tcW w:type="dxa" w:w="30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Insumo</w:t>
            </w:r>
          </w:p>
        </w:tc>
        <w:tc>
          <w:tcPr>
            <w:tcW w:type="dxa" w:w="4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Qué bloquea</w:t>
            </w:r>
          </w:p>
        </w:tc>
        <w:tc>
          <w:tcPr>
            <w:tcW w:type="dxa" w:w="14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Responsable</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Base de datos de los ~60 asociados, con su autorización de publicación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Sin ella, el directorio se lanza vacío o con datos de ejemplo. Es el insumo más urgente y se ha solicitado desde principios de agosto. La autorización de cada establecimiento es además una exigencia legal antes de publicar sus datos.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Listas de chequeo por entidad y municipio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Alimentan la guía normativa. Bomberos y Salud ya fueron remitidos; faltan las demás entidades y los demás municipios.</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Lista vigente de aliados con el beneficio de cada uno</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 sección existe y funciona; le falta el contenido real.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Textos definitivos de «Quiénes somos»</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Hoy se muestra el texto elaborado a partir del plan estratégico y el documento gremial.</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r>
        <w:trPr>
          <w:cantSplit/>
        </w:trPr>
        <w:tc>
          <w:tcPr>
            <w:tcW w:type="dxa" w:w="3000"/>
            <w:tcMar>
              <w:top w:type="dxa" w:w="90"/>
              <w:left w:type="dxa" w:w="110"/>
              <w:bottom w:type="dxa" w:w="90"/>
              <w:right w:type="dxa" w:w="110"/>
            </w:tcMar>
            <w:vAlign w:val="top"/>
          </w:tcPr>
          <w:p>
            <w:pPr>
              <w:spacing w:after="0" w:before="0" w:line="276"/>
            </w:pPr>
            <w:r>
              <w:rPr>
                <w:rFonts w:ascii="Calibri" w:cs="Calibri" w:eastAsia="Calibri" w:hAnsi="Calibri"/>
                <w:b/>
                <w:bCs/>
                <w:color w:val="0B090A"/>
                <w:sz w:val="19"/>
                <w:szCs w:val="19"/>
              </w:rPr>
              <w:t xml:space="preserve">Documentos del gremio para activar la pasarela en producción</w:t>
            </w:r>
          </w:p>
        </w:tc>
        <w:tc>
          <w:tcPr>
            <w:tcW w:type="dxa" w:w="490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RUT, cámara de comercio y datos de la cuenta receptora. Sin ellos el cobro real no puede habilitarse, aunque la integración esté lista.</w:t>
            </w:r>
          </w:p>
        </w:tc>
        <w:tc>
          <w:tcPr>
            <w:tcW w:type="dxa" w:w="14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Dirección</w:t>
            </w:r>
          </w:p>
        </w:tc>
      </w:tr>
    </w:tbl>
    <w:p>
      <w:r>
        <w:br w:type="page"/>
      </w:r>
    </w:p>
    <w:p>
      <w:pPr>
        <w:pStyle w:val="Heading1"/>
        <w:spacing w:after="180" w:before="360"/>
      </w:pPr>
      <w:r>
        <w:rPr>
          <w:rFonts w:ascii="Calibri" w:cs="Calibri" w:eastAsia="Calibri" w:hAnsi="Calibri"/>
          <w:b/>
          <w:bCs/>
          <w:color w:val="EE4137"/>
          <w:sz w:val="30"/>
          <w:szCs w:val="30"/>
        </w:rPr>
        <w:t xml:space="preserve">9. Plan hasta el 22 de septiembre</w:t>
      </w:r>
    </w:p>
    <w:p>
      <w:pPr>
        <w:spacing w:after="120" w:before="0" w:line="276"/>
      </w:pPr>
      <w:r>
        <w:rPr>
          <w:rFonts w:ascii="Calibri" w:cs="Calibri" w:eastAsia="Calibri" w:hAnsi="Calibri"/>
          <w:color w:val="0B090A"/>
          <w:sz w:val="21"/>
          <w:szCs w:val="21"/>
        </w:rPr>
        <w:t xml:space="preserve">Las semanas 5 y 6 del cronograma están terminadas, lo que libera esas dos semanas. Se propone usarlas para adelantar la fase de cierre, que es la que no se puede comprimir.</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1900"/>
        <w:gridCol w:w="5960"/>
      </w:tblGrid>
      <w:tr>
        <w:trPr>
          <w:tblHeader/>
        </w:trPr>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Semana</w:t>
            </w:r>
          </w:p>
        </w:tc>
        <w:tc>
          <w:tcPr>
            <w:tcW w:type="dxa" w:w="19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Fechas</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Actividades propuestas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5</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24 – 28 ago</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Desplegar en cuanto exista la cuenta institucional, y repetir contra el dominio la medición de rendimiento. Corregir el foco visible de los formularios. Registrar por escrito el hito de diseño y la decisión sobre el calendario de eventos.</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6</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31 ago – 4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Publicar el manual de usuario en PDF. Corregir las áreas táctiles. Cargar la base real de asociados en cuanto la dirección la entregue.</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7</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7 – 11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Pruebas en dispositivos reales (Android, iOS, tabletas y escritorio). Atender las observaciones que reporte la tutora empresarial. Corregir lo que salga.</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Semana 8</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14 – 18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Dominio final y certificado de seguridad. Sesión de capacitación al equipo administrativo, con su constancia. Entrega formal del expediente, que ya está construido.</w:t>
            </w:r>
          </w:p>
        </w:tc>
      </w:tr>
      <w:tr>
        <w:trPr>
          <w:cantSplit/>
        </w:trPr>
        <w:tc>
          <w:tcPr>
            <w:tcW w:type="dxa" w:w="1500"/>
            <w:tcMar>
              <w:top w:type="dxa" w:w="90"/>
              <w:left w:type="dxa" w:w="110"/>
              <w:bottom w:type="dxa" w:w="90"/>
              <w:right w:type="dxa" w:w="110"/>
            </w:tcMar>
            <w:vAlign w:val="center"/>
          </w:tcPr>
          <w:p>
            <w:pPr>
              <w:spacing w:after="0" w:before="0" w:line="276"/>
            </w:pPr>
            <w:r>
              <w:rPr>
                <w:rFonts w:ascii="Calibri" w:cs="Calibri" w:eastAsia="Calibri" w:hAnsi="Calibri"/>
                <w:b/>
                <w:bCs/>
                <w:color w:val="0B090A"/>
                <w:sz w:val="19"/>
                <w:szCs w:val="19"/>
              </w:rPr>
              <w:t xml:space="preserve">Cierre</w:t>
            </w:r>
          </w:p>
        </w:tc>
        <w:tc>
          <w:tcPr>
            <w:tcW w:type="dxa" w:w="190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22 sep</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Entrega formal del proyecto y traspaso de accesos.</w:t>
            </w:r>
          </w:p>
        </w:tc>
      </w:tr>
    </w:tbl>
    <w:tbl>
      <w:tblPr>
        <w:tblW w:type="dxa" w:w="9360"/>
        <w:tblBorders>
          <w:top w:val="single" w:color="FCEAE8" w:sz="2"/>
          <w:left w:val="single" w:color="9B1C14" w:sz="18"/>
          <w:bottom w:val="single" w:color="FCEAE8" w:sz="2"/>
          <w:right w:val="single" w:color="FCEAE8" w:sz="2"/>
          <w:insideH w:val="none"/>
          <w:insideV w:val="none"/>
        </w:tblBorders>
      </w:tblPr>
      <w:tblGrid>
        <w:gridCol w:w="9360"/>
      </w:tblGrid>
      <w:tr>
        <w:tc>
          <w:tcPr>
            <w:tcW w:type="dxa" w:w="9360"/>
            <w:shd w:fill="FCEAE8" w:color="auto" w:val="clear"/>
            <w:tcMar>
              <w:top w:type="dxa" w:w="90"/>
              <w:left w:type="dxa" w:w="110"/>
              <w:bottom w:type="dxa" w:w="90"/>
              <w:right w:type="dxa" w:w="110"/>
            </w:tcMar>
            <w:vAlign w:val="top"/>
          </w:tcPr>
          <w:p>
            <w:pPr>
              <w:spacing w:after="60" w:before="0" w:line="276"/>
            </w:pPr>
            <w:r>
              <w:rPr>
                <w:rFonts w:ascii="Calibri" w:cs="Calibri" w:eastAsia="Calibri" w:hAnsi="Calibri"/>
                <w:b/>
                <w:bCs/>
                <w:color w:val="9B1C14"/>
                <w:sz w:val="20"/>
                <w:szCs w:val="20"/>
              </w:rPr>
              <w:t xml:space="preserve">El camino crítico</w:t>
            </w:r>
          </w:p>
          <w:p>
            <w:pPr>
              <w:spacing w:after="0" w:before="0" w:line="276"/>
            </w:pPr>
            <w:r>
              <w:rPr>
                <w:rFonts w:ascii="Calibri" w:cs="Calibri" w:eastAsia="Calibri" w:hAnsi="Calibri"/>
                <w:color w:val="0B090A"/>
                <w:sz w:val="20"/>
                <w:szCs w:val="20"/>
              </w:rPr>
              <w:t xml:space="preserve">Todo el plan de arriba depende de una sola decisión: la cuenta de hosting institucional. Mientras no exista, la semana 7 no puede ejecutarse como está escrita en el cronograma y el certificado de seguridad de la semana 8 no puede instalarse. Es el punto que conviene resolver primero, aunque cueste cinco dólares al mes.</w:t>
            </w:r>
          </w:p>
        </w:tc>
      </w:tr>
    </w:tbl>
    <w:p>
      <w:r>
        <w:br w:type="page"/>
      </w:r>
    </w:p>
    <w:p>
      <w:pPr>
        <w:pStyle w:val="Heading1"/>
        <w:spacing w:after="180" w:before="360"/>
      </w:pPr>
      <w:r>
        <w:rPr>
          <w:rFonts w:ascii="Calibri" w:cs="Calibri" w:eastAsia="Calibri" w:hAnsi="Calibri"/>
          <w:b/>
          <w:bCs/>
          <w:color w:val="EE4137"/>
          <w:sz w:val="30"/>
          <w:szCs w:val="30"/>
        </w:rPr>
        <w:t xml:space="preserve">10. Constancia de revisión y observaciones</w:t>
      </w:r>
    </w:p>
    <w:p>
      <w:pPr>
        <w:spacing w:after="120" w:before="0" w:line="276"/>
      </w:pPr>
      <w:r>
        <w:rPr>
          <w:rFonts w:ascii="Calibri" w:cs="Calibri" w:eastAsia="Calibri" w:hAnsi="Calibri"/>
          <w:color w:val="0B090A"/>
          <w:sz w:val="21"/>
          <w:szCs w:val="21"/>
        </w:rPr>
        <w:t xml:space="preserve">El cronograma establece, para la semana 7, la corrección de los errores reportados por la tutora empresarial. Este apartado abre ese canal desde ahora, para no concentrar todo el ciclo de revisión en una sola semana de septiembre.</w:t>
      </w:r>
    </w:p>
    <w:p>
      <w:pPr>
        <w:spacing w:after="120" w:before="0" w:line="276"/>
      </w:pPr>
      <w:r>
        <w:rPr>
          <w:rFonts w:ascii="Calibri" w:cs="Calibri" w:eastAsia="Calibri" w:hAnsi="Calibri"/>
          <w:color w:val="0B090A"/>
          <w:sz w:val="21"/>
          <w:szCs w:val="21"/>
        </w:rPr>
        <w:t xml:space="preserve">Se solicita a la tutora empresarial dejar constancia de su revisión del avance y de las observaciones que considere pertinentes. Este registro forma parte del expediente del proyecto y del proceso de práctica ante la Universidad.</w:t>
      </w:r>
    </w:p>
    <w:p>
      <w:pPr>
        <w:pStyle w:val="Heading2"/>
        <w:keepNext/>
        <w:spacing w:after="140" w:before="280"/>
      </w:pPr>
      <w:r>
        <w:rPr>
          <w:rFonts w:ascii="Calibri" w:cs="Calibri" w:eastAsia="Calibri" w:hAnsi="Calibri"/>
          <w:b/>
          <w:bCs/>
          <w:color w:val="0B090A"/>
          <w:sz w:val="25"/>
          <w:szCs w:val="25"/>
        </w:rPr>
        <w:t xml:space="preserve">Observaciones de la tutora empresarial</w:t>
      </w:r>
    </w:p>
    <w:tbl>
      <w:tblPr>
        <w:tblW w:type="dxa" w:w="9360"/>
        <w:tblBorders>
          <w:top w:val="single" w:color="D9D9D9" w:sz="2"/>
          <w:left w:val="single" w:color="D9D9D9" w:sz="2"/>
          <w:bottom w:val="single" w:color="D9D9D9" w:sz="2"/>
          <w:right w:val="single" w:color="D9D9D9" w:sz="2"/>
          <w:insideH w:val="single" w:color="D9D9D9" w:sz="2"/>
          <w:insideV w:val="none"/>
        </w:tblBorders>
      </w:tblPr>
      <w:tblGrid>
        <w:gridCol w:w="9360"/>
      </w:tblGrid>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00" w:hRule="atLeast"/>
        </w:trPr>
        <w:tc>
          <w:tcPr>
            <w:tcW w:type="dxa" w:w="936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pStyle w:val="Heading2"/>
        <w:keepNext/>
        <w:spacing w:after="140" w:before="280"/>
      </w:pPr>
      <w:r>
        <w:rPr>
          <w:rFonts w:ascii="Calibri" w:cs="Calibri" w:eastAsia="Calibri" w:hAnsi="Calibri"/>
          <w:b/>
          <w:bCs/>
          <w:color w:val="0B090A"/>
          <w:sz w:val="25"/>
          <w:szCs w:val="25"/>
        </w:rPr>
        <w:t xml:space="preserve">Decisiones que este informe somete a la dirección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360"/>
        <w:gridCol w:w="1500"/>
        <w:gridCol w:w="1500"/>
      </w:tblGrid>
      <w:tr>
        <w:trPr>
          <w:tblHeader/>
        </w:trPr>
        <w:tc>
          <w:tcPr>
            <w:tcW w:type="dxa" w:w="63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Decisión requerida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Aprobada</w:t>
            </w:r>
          </w:p>
        </w:tc>
        <w:tc>
          <w:tcPr>
            <w:tcW w:type="dxa" w:w="15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Fecha</w:t>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Cuenta de hosting institucional del gremio (riesgo R-01, sección 8.1).</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Vista de calendario de eventos: construirla o sustituirla formalmente por el listado (decisión D-01, sección 8.2).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Constancia escrita del hito de aprobación del diseño (semana 2).</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Fecha comprometida para la entrega de la base de datos de asociados con sus autorizaciones.</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r>
        <w:trPr>
          <w:cantSplit/>
          <w:trHeight w:val="460" w:hRule="atLeast"/>
        </w:trPr>
        <w:tc>
          <w:tcPr>
            <w:tcW w:type="dxa" w:w="6360"/>
            <w:tcMar>
              <w:top w:type="dxa" w:w="90"/>
              <w:left w:type="dxa" w:w="110"/>
              <w:bottom w:type="dxa" w:w="90"/>
              <w:right w:type="dxa" w:w="110"/>
            </w:tcMar>
            <w:vAlign w:val="center"/>
          </w:tcPr>
          <w:p>
            <w:pPr>
              <w:spacing w:after="0" w:before="0" w:line="276"/>
            </w:pPr>
            <w:r>
              <w:rPr>
                <w:rFonts w:ascii="Calibri" w:cs="Calibri" w:eastAsia="Calibri" w:hAnsi="Calibri"/>
                <w:color w:val="0B090A"/>
                <w:sz w:val="19"/>
                <w:szCs w:val="19"/>
              </w:rPr>
              <w:t xml:space="preserve">Congelación del alcance en los módulos ya construidos (sección 6).</w:t>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15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r>
    </w:tbl>
    <w:p>
      <w:pPr>
        <w:keepNext/>
        <w:spacing w:after="0" w:before="220" w:line="276"/>
      </w:pPr>
      <w:r>
        <w:rPr>
          <w:rFonts w:ascii="Calibri" w:cs="Calibri" w:eastAsia="Calibri" w:hAnsi="Calibri"/>
          <w:color w:val="0B090A"/>
          <w:sz w:val="21"/>
          <w:szCs w:val="21"/>
        </w:rPr>
        <w:t xml:space="preserve"/>
      </w:r>
    </w:p>
    <w:tbl>
      <w:tblPr>
        <w:tblW w:type="dxa" w:w="9360"/>
        <w:tblBorders>
          <w:top w:val="none"/>
          <w:left w:val="none"/>
          <w:bottom w:val="none"/>
          <w:right w:val="none"/>
          <w:insideH w:val="none"/>
          <w:insideV w:val="none"/>
        </w:tblBorders>
      </w:tblPr>
      <w:tblGrid>
        <w:gridCol w:w="4380"/>
        <w:gridCol w:w="600"/>
        <w:gridCol w:w="4380"/>
      </w:tblGrid>
      <w:tr>
        <w:trPr>
          <w:cantSplit/>
        </w:trPr>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Natalia Gutiérrez</w:t>
            </w:r>
          </w:p>
          <w:p>
            <w:pPr>
              <w:spacing w:after="20" w:before="0" w:line="276"/>
              <w:jc w:val="center"/>
            </w:pPr>
            <w:r>
              <w:rPr>
                <w:rFonts w:ascii="Calibri" w:cs="Calibri" w:eastAsia="Calibri" w:hAnsi="Calibri"/>
                <w:color w:val="5A5A5A"/>
                <w:sz w:val="18"/>
                <w:szCs w:val="18"/>
              </w:rPr>
              <w:t xml:space="preserve">Directora Ejecutiva · Tutora empresarial</w:t>
            </w:r>
          </w:p>
          <w:p>
            <w:pPr>
              <w:spacing w:after="0" w:before="0" w:line="276"/>
              <w:jc w:val="center"/>
            </w:pPr>
            <w:r>
              <w:rPr>
                <w:rFonts w:ascii="Calibri" w:cs="Calibri" w:eastAsia="Calibri" w:hAnsi="Calibri"/>
                <w:color w:val="5A5A5A"/>
                <w:sz w:val="18"/>
                <w:szCs w:val="18"/>
              </w:rPr>
              <w:t xml:space="preserve">ASOBARES Capítulo Quindío</w:t>
            </w:r>
          </w:p>
        </w:tc>
        <w:tc>
          <w:tcPr>
            <w:tcW w:type="dxa" w:w="600"/>
            <w:tcMar>
              <w:top w:type="dxa" w:w="90"/>
              <w:left w:type="dxa" w:w="110"/>
              <w:bottom w:type="dxa" w:w="90"/>
              <w:right w:type="dxa" w:w="110"/>
            </w:tcMar>
            <w:vAlign w:val="top"/>
          </w:tcPr>
          <w:p>
            <w:pPr>
              <w:spacing w:after="0" w:before="0" w:line="276"/>
            </w:pPr>
            <w:r>
              <w:rPr>
                <w:rFonts w:ascii="Calibri" w:cs="Calibri" w:eastAsia="Calibri" w:hAnsi="Calibri"/>
                <w:color w:val="0B090A"/>
                <w:sz w:val="21"/>
                <w:szCs w:val="21"/>
              </w:rPr>
              <w:t xml:space="preserve"/>
            </w:r>
          </w:p>
        </w:tc>
        <w:tc>
          <w:tcPr>
            <w:tcW w:type="dxa" w:w="4380"/>
            <w:tcMar>
              <w:top w:type="dxa" w:w="90"/>
              <w:left w:type="dxa" w:w="110"/>
              <w:bottom w:type="dxa" w:w="90"/>
              <w:right w:type="dxa" w:w="110"/>
            </w:tcMar>
            <w:vAlign w:val="top"/>
          </w:tcPr>
          <w:p>
            <w:pPr>
              <w:pBdr>
                <w:top w:val="single" w:color="0B090A" w:sz="6"/>
              </w:pBdr>
              <w:spacing w:after="60" w:before="520"/>
            </w:pPr>
            <w:r>
              <w:rPr>
                <w:sz w:val="4"/>
                <w:szCs w:val="4"/>
              </w:rPr>
              <w:t xml:space="preserve"/>
            </w:r>
          </w:p>
          <w:p>
            <w:pPr>
              <w:spacing w:after="20" w:before="0" w:line="276"/>
              <w:jc w:val="center"/>
            </w:pPr>
            <w:r>
              <w:rPr>
                <w:rFonts w:ascii="Calibri" w:cs="Calibri" w:eastAsia="Calibri" w:hAnsi="Calibri"/>
                <w:b/>
                <w:bCs/>
                <w:color w:val="0B090A"/>
                <w:sz w:val="20"/>
                <w:szCs w:val="20"/>
              </w:rPr>
              <w:t xml:space="preserve">Juan José Sua Gómez</w:t>
            </w:r>
          </w:p>
          <w:p>
            <w:pPr>
              <w:spacing w:after="20" w:before="0" w:line="276"/>
              <w:jc w:val="center"/>
            </w:pPr>
            <w:r>
              <w:rPr>
                <w:rFonts w:ascii="Calibri" w:cs="Calibri" w:eastAsia="Calibri" w:hAnsi="Calibri"/>
                <w:color w:val="5A5A5A"/>
                <w:sz w:val="18"/>
                <w:szCs w:val="18"/>
              </w:rPr>
              <w:t xml:space="preserve">Practicante · Ingeniería de Software</w:t>
            </w:r>
          </w:p>
          <w:p>
            <w:pPr>
              <w:spacing w:after="0" w:before="0" w:line="276"/>
              <w:jc w:val="center"/>
            </w:pPr>
            <w:r>
              <w:rPr>
                <w:rFonts w:ascii="Calibri" w:cs="Calibri" w:eastAsia="Calibri" w:hAnsi="Calibri"/>
                <w:color w:val="5A5A5A"/>
                <w:sz w:val="18"/>
                <w:szCs w:val="18"/>
              </w:rPr>
              <w:t xml:space="preserve">Universidad Alexander von Humboldt</w:t>
            </w:r>
          </w:p>
        </w:tc>
      </w:tr>
    </w:tbl>
    <w:p>
      <w:pPr>
        <w:spacing w:after="120" w:before="300" w:line="276"/>
        <w:jc w:val="center"/>
      </w:pPr>
      <w:r>
        <w:rPr>
          <w:rFonts w:ascii="Calibri" w:cs="Calibri" w:eastAsia="Calibri" w:hAnsi="Calibri"/>
          <w:color w:val="0B090A"/>
          <w:sz w:val="20"/>
          <w:szCs w:val="20"/>
        </w:rPr>
        <w:t xml:space="preserve">Fecha de la revisión: ______________________________</w:t>
      </w:r>
    </w:p>
    <w:p>
      <w:pPr>
        <w:pStyle w:val="Heading1"/>
        <w:spacing w:after="180" w:before="360"/>
      </w:pPr>
      <w:r>
        <w:rPr>
          <w:rFonts w:ascii="Calibri" w:cs="Calibri" w:eastAsia="Calibri" w:hAnsi="Calibri"/>
          <w:b/>
          <w:bCs/>
          <w:color w:val="EE4137"/>
          <w:sz w:val="30"/>
          <w:szCs w:val="30"/>
        </w:rPr>
        <w:t xml:space="preserve">Anexo. Índice de documentos del proyecto</w:t>
      </w:r>
    </w:p>
    <w:p>
      <w:pPr>
        <w:spacing w:after="120" w:before="0" w:line="276"/>
      </w:pPr>
      <w:r>
        <w:rPr>
          <w:rFonts w:ascii="Calibri" w:cs="Calibri" w:eastAsia="Calibri" w:hAnsi="Calibri"/>
          <w:color w:val="0B090A"/>
          <w:sz w:val="21"/>
          <w:szCs w:val="21"/>
        </w:rPr>
        <w:t xml:space="preserve">Todo lo referenciado en este informe está disponible en el repositorio del proyecto.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5960"/>
      </w:tblGrid>
      <w:tr>
        <w:trPr>
          <w:tblHeader/>
        </w:trPr>
        <w:tc>
          <w:tcPr>
            <w:tcW w:type="dxa" w:w="340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Documento</w:t>
            </w:r>
          </w:p>
        </w:tc>
        <w:tc>
          <w:tcPr>
            <w:tcW w:type="dxa" w:w="5960"/>
            <w:shd w:fill="EE4137" w:color="auto" w:val="clear"/>
            <w:tcMar>
              <w:top w:type="dxa" w:w="90"/>
              <w:left w:type="dxa" w:w="110"/>
              <w:bottom w:type="dxa" w:w="90"/>
              <w:right w:type="dxa" w:w="110"/>
            </w:tcMar>
            <w:vAlign w:val="top"/>
          </w:tcPr>
          <w:p>
            <w:pPr>
              <w:spacing w:after="0" w:before="0" w:line="276"/>
            </w:pPr>
            <w:r>
              <w:rPr>
                <w:rFonts w:ascii="Calibri" w:cs="Calibri" w:eastAsia="Calibri" w:hAnsi="Calibri"/>
                <w:b/>
                <w:bCs/>
                <w:color w:val="FFFFFF"/>
                <w:sz w:val="19"/>
                <w:szCs w:val="19"/>
              </w:rPr>
              <w:t xml:space="preserve">Contenido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docs/ingenieria/matriz-de-pruebas.md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Trazabilidad de los 62 requisitos funcionales y 14 no funcionales contra las pruebas que los verifican.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docs/ingenieria/manual-de-usuario.md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Manual del panel administrativo para personal no técnico.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docs/ingenieria/medicion-de-rendimiento.md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Verificación del requisito de los 2,5 segundos, con las 78 mediciones y su método.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docs/ingenieria/base-de-datos/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Esquema y volcado completo de la base de datos, con instrucciones de restauración.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docs/ingenieria/diagramas/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Siete diagramas de ingeniería en imagen, con sus fuentes editables.</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docs/ingenieria/capturas/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Las once capturas del panel que ilustran el manual de usuario.</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README.md</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Documentación técnica: instalación, credenciales, tecnologías y cinco guiones de demostración.</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Cronograma Prácticas Asobares</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Documento rector firmado por la dirección ejecutiva. Fuente de todas las exigencias citadas en este informe.</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Especificación de requisitos v3.0</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Línea base de requisitos del proyecto: 62 requisitos funcionales, 14 no funcionales y 253 criterios de aceptación. Pendiente de firma.</w:t>
            </w:r>
          </w:p>
        </w:tc>
      </w:tr>
      <w:tr>
        <w:trPr>
          <w:cantSplit/>
        </w:trPr>
        <w:tc>
          <w:tcPr>
            <w:tcW w:type="dxa" w:w="3400"/>
            <w:tcMar>
              <w:top w:type="dxa" w:w="90"/>
              <w:left w:type="dxa" w:w="110"/>
              <w:bottom w:type="dxa" w:w="90"/>
              <w:right w:type="dxa" w:w="110"/>
            </w:tcMar>
            <w:vAlign w:val="top"/>
          </w:tcPr>
          <w:p>
            <w:pPr>
              <w:spacing w:after="0" w:before="0" w:line="276"/>
            </w:pPr>
            <w:r>
              <w:rPr>
                <w:rFonts w:ascii="Calibri" w:cs="Calibri" w:eastAsia="Calibri" w:hAnsi="Calibri"/>
                <w:b/>
                <w:bCs/>
                <w:color w:val="0B090A"/>
                <w:sz w:val="18"/>
                <w:szCs w:val="18"/>
              </w:rPr>
              <w:t xml:space="preserve">Actas de las reuniones 1 y 2</w:t>
            </w:r>
          </w:p>
        </w:tc>
        <w:tc>
          <w:tcPr>
            <w:tcW w:type="dxa" w:w="5960"/>
            <w:tcMar>
              <w:top w:type="dxa" w:w="90"/>
              <w:left w:type="dxa" w:w="110"/>
              <w:bottom w:type="dxa" w:w="90"/>
              <w:right w:type="dxa" w:w="110"/>
            </w:tcMar>
            <w:vAlign w:val="top"/>
          </w:tcPr>
          <w:p>
            <w:pPr>
              <w:spacing w:after="0" w:before="0" w:line="276"/>
            </w:pPr>
            <w:r>
              <w:rPr>
                <w:rFonts w:ascii="Calibri" w:cs="Calibri" w:eastAsia="Calibri" w:hAnsi="Calibri"/>
                <w:color w:val="0B090A"/>
                <w:sz w:val="19"/>
                <w:szCs w:val="19"/>
              </w:rPr>
              <w:t xml:space="preserve">Levantamiento de información con la dirección ejecutiva y con el directivo del capítulo.</w:t>
            </w:r>
          </w:p>
        </w:tc>
      </w:tr>
    </w:tbl>
    <w:p>
      <w:pPr>
        <w:spacing w:after="120" w:before="300" w:line="276"/>
        <w:jc w:val="center"/>
      </w:pPr>
      <w:r>
        <w:rPr>
          <w:rFonts w:ascii="Calibri" w:cs="Calibri" w:eastAsia="Calibri" w:hAnsi="Calibri"/>
          <w:i/>
          <w:iCs/>
          <w:color w:val="5A5A5A"/>
          <w:sz w:val="18"/>
          <w:szCs w:val="18"/>
        </w:rPr>
        <w:t xml:space="preserve">Informe elaborado el 19 de agosto de 2026 sobre el estado del repositorio en la revisión 1ff87d0. Todas las cifras de este informe provienen de ejecuciones y mediciones reales, verificadas el 18 y 19 de agosto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5A5A"/>
        <w:sz w:val="16"/>
        <w:szCs w:val="16"/>
      </w:rPr>
      <w:t xml:space="preserve">Corte al 19 de agosto de 2026   ·   </w:t>
    </w:r>
    <w:r>
      <w:rPr>
        <w:rFonts w:ascii="Calibri" w:cs="Calibri" w:eastAsia="Calibri" w:hAnsi="Calibri"/>
        <w:color w:val="5A5A5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200"/>
      <w:jc w:val="right"/>
    </w:pPr>
    <w:r>
      <w:rPr>
        <w:rFonts w:ascii="Calibri" w:cs="Calibri" w:eastAsia="Calibri" w:hAnsi="Calibri"/>
        <w:color w:val="5A5A5A"/>
        <w:sz w:val="16"/>
        <w:szCs w:val="16"/>
      </w:rPr>
      <w:t xml:space="preserve">Informe de cumplimiento del cronograma  ·  Plataforma Web ASOBARES Quindío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9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83d9c911f59e9c3052d7fa48f44b63a414d1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cumplimiento del cronograma — Plataforma Web ASOBARES Quindío</dc:title>
  <dc:creator>Juan José Sua Gómez</dc:creator>
  <dc:description>Contraste entre el cronograma firmado y lo ejecutado, al 18 de agosto de 2026.</dc:description>
  <cp:lastModifiedBy>Un-named</cp:lastModifiedBy>
  <cp:revision>1</cp:revision>
  <dcterms:created xsi:type="dcterms:W3CDTF">2026-08-19T12:43:36.022Z</dcterms:created>
  <dcterms:modified xsi:type="dcterms:W3CDTF">2026-08-19T12:43:36.023Z</dcterms:modified>
</cp:coreProperties>
</file>

<file path=docProps/custom.xml><?xml version="1.0" encoding="utf-8"?>
<Properties xmlns="http://schemas.openxmlformats.org/officeDocument/2006/custom-properties" xmlns:vt="http://schemas.openxmlformats.org/officeDocument/2006/docPropsVTypes"/>
</file>