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caps/>
        </w:rPr>
      </w:pPr>
    </w:p>
    <w:p>
      <w:pPr>
        <w:pStyle w:val="Titre"/>
        <w:jc w:val="center"/>
        <w:rPr>
          <w:rStyle w:val="Titredulivre"/>
          <w:i w:val="0"/>
          <w:sz w:val="44"/>
          <w:szCs w:val="44"/>
        </w:rPr>
      </w:pPr>
      <w:r>
        <w:rPr>
          <w:rStyle w:val="Titredulivre"/>
          <w:i w:val="0"/>
          <w:sz w:val="44"/>
          <w:szCs w:val="44"/>
        </w:rPr>
        <w:t>APACHE</w:t>
      </w:r>
    </w:p>
    <w:p>
      <w:pPr>
        <w:pStyle w:val="Titre"/>
        <w:jc w:val="center"/>
        <w:rPr>
          <w:rStyle w:val="Titredulivre"/>
          <w:i w:val="0"/>
          <w:sz w:val="44"/>
          <w:szCs w:val="44"/>
        </w:rPr>
      </w:pPr>
      <w:r>
        <w:rPr>
          <w:rStyle w:val="Titredulivre"/>
          <w:i w:val="0"/>
          <w:sz w:val="44"/>
          <w:szCs w:val="44"/>
        </w:rPr>
        <w:t>Exercice complÉmentaire</w:t>
      </w:r>
    </w:p>
    <w:p/>
    <w:p>
      <w:pPr>
        <w:spacing w:before="0" w:after="0" w:line="240" w:lineRule="auto"/>
        <w:ind w:right="-142"/>
        <w:jc w:val="center"/>
        <w:rPr>
          <w:rFonts w:cs="Arial"/>
          <w:b/>
          <w:sz w:val="32"/>
          <w:szCs w:val="32"/>
        </w:rPr>
      </w:pPr>
      <w:r>
        <w:rPr>
          <w:b/>
          <w:sz w:val="32"/>
          <w:szCs w:val="32"/>
        </w:rPr>
        <w:t>SYS-LNXSVR-060</w:t>
      </w: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</w:p>
    <w:p>
      <w:pPr>
        <w:spacing w:before="0" w:after="0" w:line="240" w:lineRule="auto"/>
        <w:ind w:right="-143"/>
        <w:jc w:val="center"/>
        <w:rPr>
          <w:rFonts w:cs="Arial"/>
          <w:b/>
          <w:sz w:val="40"/>
          <w:szCs w:val="22"/>
        </w:rPr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br w:type="page"/>
      </w:r>
    </w:p>
    <w:p>
      <w:pPr>
        <w:pStyle w:val="Titre1"/>
        <w:spacing w:before="0" w:line="240" w:lineRule="auto"/>
      </w:pPr>
      <w:bookmarkStart w:id="0" w:name="_Toc373139983"/>
      <w:bookmarkStart w:id="1" w:name="_Toc401575847"/>
      <w:bookmarkStart w:id="2" w:name="_Toc440267198"/>
      <w:bookmarkStart w:id="3" w:name="_Toc73004627"/>
      <w:r>
        <w:lastRenderedPageBreak/>
        <w:t xml:space="preserve">ATELIER 1 : </w:t>
      </w:r>
      <w:bookmarkEnd w:id="0"/>
      <w:bookmarkEnd w:id="1"/>
      <w:bookmarkEnd w:id="2"/>
      <w:bookmarkEnd w:id="3"/>
      <w:r>
        <w:t>Configuration de votre serveur apache</w:t>
      </w:r>
    </w:p>
    <w:p>
      <w:pPr>
        <w:pStyle w:val="TitrePerso2"/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Objectifs</w:t>
      </w:r>
    </w:p>
    <w:p>
      <w:pPr>
        <w:pStyle w:val="Paragraphedeliste"/>
        <w:numPr>
          <w:ilvl w:val="0"/>
          <w:numId w:val="2"/>
        </w:numPr>
        <w:spacing w:before="0" w:after="0" w:line="240" w:lineRule="auto"/>
      </w:pPr>
      <w:r>
        <w:t>Éditez voter fichier httpd.conf pour paramétrer votre serveur Web ;</w:t>
      </w:r>
    </w:p>
    <w:p>
      <w:pPr>
        <w:spacing w:before="0" w:after="0" w:line="240" w:lineRule="auto"/>
      </w:pPr>
    </w:p>
    <w:p>
      <w:pPr>
        <w:pStyle w:val="TitrePerso2"/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Prérequis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201"/>
        <w:gridCol w:w="1213"/>
        <w:gridCol w:w="1215"/>
        <w:gridCol w:w="1201"/>
        <w:gridCol w:w="1202"/>
        <w:gridCol w:w="1202"/>
        <w:gridCol w:w="1202"/>
      </w:tblGrid>
      <w:tr>
        <w:tc>
          <w:tcPr>
            <w:tcW w:w="9671" w:type="dxa"/>
            <w:gridSpan w:val="8"/>
          </w:tcPr>
          <w:p>
            <w:pPr>
              <w:pStyle w:val="Sansinterligne"/>
            </w:pPr>
            <w:r>
              <w:t>Atelier à faire sur :</w:t>
            </w: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8930" cy="328930"/>
                  <wp:effectExtent l="0" t="0" r="0" b="0"/>
                  <wp:docPr id="40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785" cy="311785"/>
                  <wp:effectExtent l="0" t="0" r="0" b="0"/>
                  <wp:docPr id="8" name="Picture 4" descr="G:\picol-2\png\main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4" descr="G:\picol-2\png\main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117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color w:val="BFBFBF" w:themeColor="background1" w:themeShade="BF"/>
              </w:rPr>
              <w:t>VM Admin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  <w:rPr>
                <w:color w:val="BFBFBF" w:themeColor="background1" w:themeShade="BF"/>
              </w:rPr>
            </w:pPr>
            <w:r>
              <w:t>VM Serveur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  <w:tr>
        <w:tc>
          <w:tcPr>
            <w:tcW w:w="9671" w:type="dxa"/>
            <w:gridSpan w:val="8"/>
          </w:tcPr>
          <w:p>
            <w:pPr>
              <w:pStyle w:val="Sansinterligne"/>
            </w:pPr>
            <w:r>
              <w:t>Avec le(s) utilisateur(s) :</w:t>
            </w: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12" name="Image 12" descr="U:\2_Linux\25_Documents\TUX\74-218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:\2_Linux\25_Documents\TUX\74-218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4102" name="Picture 6" descr="G:\Rap_t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2" name="Picture 6" descr="G:\Rap_tu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t>root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color w:val="BFBFBF" w:themeColor="background1" w:themeShade="BF"/>
              </w:rPr>
              <w:t>stagiaire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</w:tbl>
    <w:p>
      <w:pPr>
        <w:pStyle w:val="Sansinterligne"/>
      </w:pPr>
    </w:p>
    <w:p>
      <w:pPr>
        <w:pStyle w:val="Sansinterligne"/>
      </w:pPr>
    </w:p>
    <w:p>
      <w:pPr>
        <w:pStyle w:val="Paragraphedeliste"/>
        <w:numPr>
          <w:ilvl w:val="0"/>
          <w:numId w:val="4"/>
        </w:numPr>
        <w:spacing w:before="0" w:after="0" w:line="240" w:lineRule="auto"/>
      </w:pPr>
      <w:r>
        <w:t xml:space="preserve">Connectez-vous  en ssh via putty avec l’utilisateur </w:t>
      </w:r>
      <w:r>
        <w:rPr>
          <w:b/>
          <w:color w:val="FF0000"/>
        </w:rPr>
        <w:t>stagiaire (mot de passe : stagiaire)</w:t>
      </w:r>
      <w:r>
        <w:rPr>
          <w:b/>
        </w:rPr>
        <w:t>.</w:t>
      </w:r>
    </w:p>
    <w:p>
      <w:pPr>
        <w:pStyle w:val="Paragraphedeliste"/>
        <w:spacing w:before="0" w:after="0" w:line="240" w:lineRule="auto"/>
      </w:pPr>
    </w:p>
    <w:p>
      <w:pPr>
        <w:pStyle w:val="Sansinterligne"/>
        <w:ind w:left="720"/>
        <w:jc w:val="center"/>
        <w:rPr>
          <w:b/>
          <w:u w:val="single"/>
        </w:rPr>
      </w:pPr>
      <w:r>
        <w:rPr>
          <w:b/>
          <w:u w:val="single"/>
        </w:rPr>
        <w:t>N’oubliez pas que le compte « root » n’est pas accessible en prise en main à distance</w:t>
      </w:r>
    </w:p>
    <w:p>
      <w:pPr>
        <w:pStyle w:val="Sansinterligne"/>
        <w:ind w:left="720"/>
        <w:jc w:val="center"/>
        <w:rPr>
          <w:b/>
          <w:u w:val="single"/>
        </w:rPr>
      </w:pPr>
    </w:p>
    <w:p>
      <w:pPr>
        <w:spacing w:before="0" w:after="0" w:line="240" w:lineRule="auto"/>
      </w:pPr>
    </w:p>
    <w:p>
      <w:pPr>
        <w:pStyle w:val="Titre2"/>
        <w:spacing w:before="0" w:line="240" w:lineRule="auto"/>
      </w:pPr>
      <w:bookmarkStart w:id="4" w:name="_Toc440267199"/>
      <w:bookmarkStart w:id="5" w:name="_Toc73004628"/>
      <w:r>
        <w:t xml:space="preserve">Exercice 1.1 : </w:t>
      </w:r>
      <w:bookmarkEnd w:id="4"/>
      <w:bookmarkEnd w:id="5"/>
      <w:r>
        <w:t>Contact de l’administrateur du serveur Web</w:t>
      </w:r>
    </w:p>
    <w:p>
      <w:pPr>
        <w:pStyle w:val="Paragraphedeliste"/>
        <w:spacing w:before="0" w:after="0" w:line="240" w:lineRule="auto"/>
      </w:pPr>
    </w:p>
    <w:p>
      <w:pPr>
        <w:pStyle w:val="Paragraphedeliste"/>
        <w:numPr>
          <w:ilvl w:val="0"/>
          <w:numId w:val="1"/>
        </w:numPr>
        <w:spacing w:before="0" w:after="0" w:line="240" w:lineRule="auto"/>
        <w:contextualSpacing w:val="0"/>
      </w:pPr>
      <w:r>
        <w:t>Configurez l’adresse mail de l’administrateur du serveur : admin@etrs.lan</w:t>
      </w:r>
    </w:p>
    <w:p>
      <w:pPr>
        <w:spacing w:before="0" w:after="0" w:line="240" w:lineRule="auto"/>
        <w:ind w:left="360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  <w:bookmarkStart w:id="6" w:name="_GoBack"/>
      <w:bookmarkEnd w:id="6"/>
    </w:p>
    <w:p>
      <w:pPr>
        <w:pStyle w:val="Titre2"/>
        <w:spacing w:before="0" w:line="240" w:lineRule="auto"/>
      </w:pPr>
      <w:r>
        <w:t>Exercice 1.2 : paramÉtrage du timeout à la connection</w:t>
      </w:r>
    </w:p>
    <w:p>
      <w:pPr>
        <w:pStyle w:val="Paragraphedeliste"/>
        <w:spacing w:before="0" w:after="0" w:line="240" w:lineRule="auto"/>
      </w:pPr>
    </w:p>
    <w:p>
      <w:pPr>
        <w:pStyle w:val="Paragraphedeliste"/>
        <w:numPr>
          <w:ilvl w:val="0"/>
          <w:numId w:val="4"/>
        </w:numPr>
        <w:spacing w:before="0" w:after="0" w:line="240" w:lineRule="auto"/>
      </w:pPr>
      <w:r>
        <w:t>Faites-en sorte que les connexions restent actives pendant 5 minutes.</w:t>
      </w:r>
    </w:p>
    <w:p>
      <w:pPr>
        <w:pStyle w:val="Paragraphedeliste"/>
        <w:spacing w:before="0" w:after="0" w:line="240" w:lineRule="auto"/>
      </w:pPr>
      <w:r>
        <w:t xml:space="preserve"> 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Titre2"/>
        <w:spacing w:before="0" w:line="240" w:lineRule="auto"/>
      </w:pPr>
      <w:r>
        <w:lastRenderedPageBreak/>
        <w:t>Exercice 1.3 : activation de module</w:t>
      </w:r>
    </w:p>
    <w:p>
      <w:pPr>
        <w:pStyle w:val="Paragraphedeliste"/>
        <w:numPr>
          <w:ilvl w:val="0"/>
          <w:numId w:val="1"/>
        </w:numPr>
      </w:pPr>
      <w:r>
        <w:t>Activez le module « unique_id_module ».</w:t>
      </w:r>
    </w:p>
    <w:p>
      <w:pPr>
        <w:pStyle w:val="Paragraphedeliste"/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Titre2"/>
        <w:spacing w:before="0" w:line="240" w:lineRule="auto"/>
      </w:pPr>
      <w:r>
        <w:t>Exercice 1.4 : Info du serveur web</w:t>
      </w:r>
    </w:p>
    <w:p>
      <w:pPr>
        <w:spacing w:before="0" w:after="0" w:line="240" w:lineRule="auto"/>
      </w:pPr>
    </w:p>
    <w:p>
      <w:pPr>
        <w:pStyle w:val="Paragraphedeliste"/>
        <w:numPr>
          <w:ilvl w:val="0"/>
          <w:numId w:val="1"/>
        </w:numPr>
        <w:spacing w:before="0" w:after="0" w:line="240" w:lineRule="auto"/>
        <w:contextualSpacing w:val="0"/>
      </w:pPr>
      <w:r>
        <w:t>Vous activerez le paramètre « Signature » sur votre serveur en mode « Mail ».</w:t>
      </w:r>
    </w:p>
    <w:p>
      <w:pPr>
        <w:pStyle w:val="Paragraphedeliste"/>
        <w:spacing w:before="0" w:after="0" w:line="240" w:lineRule="auto"/>
        <w:contextualSpacing w:val="0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Titre2"/>
        <w:spacing w:before="0" w:line="240" w:lineRule="auto"/>
      </w:pPr>
      <w:r>
        <w:t>Exercice 1.5 : page d’information de votre serveur</w:t>
      </w:r>
    </w:p>
    <w:p>
      <w:pPr>
        <w:spacing w:before="0" w:after="0" w:line="240" w:lineRule="auto"/>
      </w:pPr>
    </w:p>
    <w:p>
      <w:pPr>
        <w:pStyle w:val="Paragraphedeliste"/>
        <w:numPr>
          <w:ilvl w:val="0"/>
          <w:numId w:val="1"/>
        </w:numPr>
        <w:spacing w:before="0" w:after="0" w:line="240" w:lineRule="auto"/>
        <w:contextualSpacing w:val="0"/>
      </w:pPr>
      <w:r>
        <w:t>Activez la page « server-info », mais pour des raisons de sécurité, celle-ci ne devra être accessible qu’à partir de votre serveur.</w:t>
      </w:r>
    </w:p>
    <w:p>
      <w:pPr>
        <w:spacing w:before="0" w:after="0" w:line="240" w:lineRule="auto"/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spacing w:before="0" w:after="0" w:line="240" w:lineRule="auto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Titre1"/>
        <w:spacing w:before="0" w:line="240" w:lineRule="auto"/>
      </w:pPr>
      <w:bookmarkStart w:id="7" w:name="_Toc401575848"/>
      <w:bookmarkStart w:id="8" w:name="_Toc440267202"/>
      <w:bookmarkStart w:id="9" w:name="_Toc73004631"/>
      <w:r>
        <w:lastRenderedPageBreak/>
        <w:t xml:space="preserve">ATELIER 2 : </w:t>
      </w:r>
      <w:bookmarkEnd w:id="7"/>
      <w:bookmarkEnd w:id="8"/>
      <w:bookmarkEnd w:id="9"/>
      <w:r>
        <w:t>gestion des logs pour vos sites web</w:t>
      </w:r>
    </w:p>
    <w:p>
      <w:pPr>
        <w:pStyle w:val="TitrePerso2"/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Objectifs</w:t>
      </w:r>
    </w:p>
    <w:p>
      <w:pPr>
        <w:pStyle w:val="Paragraphedeliste"/>
        <w:numPr>
          <w:ilvl w:val="0"/>
          <w:numId w:val="2"/>
        </w:numPr>
        <w:spacing w:before="0" w:after="0" w:line="240" w:lineRule="auto"/>
      </w:pPr>
      <w:r>
        <w:t>Apprendre à gérer les logs de vos sites web</w:t>
      </w:r>
    </w:p>
    <w:p>
      <w:pPr>
        <w:spacing w:before="0" w:after="0" w:line="240" w:lineRule="auto"/>
      </w:pPr>
    </w:p>
    <w:p>
      <w:pPr>
        <w:pStyle w:val="TitrePerso2"/>
        <w:spacing w:before="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Prérequis</w:t>
      </w: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"/>
        <w:gridCol w:w="1201"/>
        <w:gridCol w:w="1213"/>
        <w:gridCol w:w="1215"/>
        <w:gridCol w:w="1201"/>
        <w:gridCol w:w="1202"/>
        <w:gridCol w:w="1202"/>
        <w:gridCol w:w="1202"/>
      </w:tblGrid>
      <w:tr>
        <w:tc>
          <w:tcPr>
            <w:tcW w:w="9671" w:type="dxa"/>
            <w:gridSpan w:val="8"/>
          </w:tcPr>
          <w:p>
            <w:pPr>
              <w:pStyle w:val="Sansinterligne"/>
            </w:pPr>
            <w:r>
              <w:t>Atelier à faire sur :</w:t>
            </w: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8930" cy="328930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785" cy="311785"/>
                  <wp:effectExtent l="0" t="0" r="0" b="0"/>
                  <wp:docPr id="3" name="Picture 4" descr="G:\picol-2\png\main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4" descr="G:\picol-2\png\main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" cy="3117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color w:val="BFBFBF" w:themeColor="background1" w:themeShade="BF"/>
              </w:rPr>
              <w:t>VM Admin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  <w:rPr>
                <w:color w:val="BFBFBF" w:themeColor="background1" w:themeShade="BF"/>
              </w:rPr>
            </w:pPr>
            <w:r>
              <w:t>VM Serveur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  <w:tr>
        <w:tc>
          <w:tcPr>
            <w:tcW w:w="9671" w:type="dxa"/>
            <w:gridSpan w:val="8"/>
          </w:tcPr>
          <w:p>
            <w:pPr>
              <w:pStyle w:val="Sansinterligne"/>
            </w:pPr>
            <w:r>
              <w:t>Avec le(s) utilisateur(s) :</w:t>
            </w: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6" name="Image 6" descr="U:\2_Linux\25_Documents\TUX\74-218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:\2_Linux\25_Documents\TUX\74-218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0000" cy="360000"/>
                  <wp:effectExtent l="0" t="0" r="2540" b="2540"/>
                  <wp:docPr id="7" name="Picture 6" descr="G:\Rap_t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2" name="Picture 6" descr="G:\Rap_tu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  <w:tr>
        <w:tc>
          <w:tcPr>
            <w:tcW w:w="1114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t>root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  <w:r>
              <w:rPr>
                <w:color w:val="BFBFBF" w:themeColor="background1" w:themeShade="BF"/>
              </w:rPr>
              <w:t>stagiaire</w:t>
            </w:r>
          </w:p>
        </w:tc>
        <w:tc>
          <w:tcPr>
            <w:tcW w:w="1222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  <w:tc>
          <w:tcPr>
            <w:tcW w:w="1223" w:type="dxa"/>
          </w:tcPr>
          <w:p>
            <w:pPr>
              <w:pStyle w:val="Sansinterligne"/>
              <w:jc w:val="center"/>
            </w:pPr>
          </w:p>
        </w:tc>
      </w:tr>
    </w:tbl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Titre2"/>
        <w:spacing w:before="0" w:line="240" w:lineRule="auto"/>
      </w:pPr>
      <w:bookmarkStart w:id="10" w:name="_Toc401575849"/>
      <w:bookmarkStart w:id="11" w:name="_Toc440267203"/>
      <w:bookmarkStart w:id="12" w:name="_Toc73004632"/>
      <w:r>
        <w:t xml:space="preserve">Exercice 2.1 : </w:t>
      </w:r>
      <w:bookmarkEnd w:id="10"/>
      <w:bookmarkEnd w:id="11"/>
      <w:bookmarkEnd w:id="12"/>
      <w:r>
        <w:t>gestion des logs pour les sites « bleu » et « rouge »</w:t>
      </w:r>
    </w:p>
    <w:p>
      <w:pPr>
        <w:pStyle w:val="Paragraphedeliste"/>
        <w:spacing w:before="0" w:after="0" w:line="240" w:lineRule="auto"/>
      </w:pPr>
    </w:p>
    <w:p>
      <w:pPr>
        <w:pStyle w:val="Paragraphedeliste"/>
        <w:spacing w:before="0" w:after="0" w:line="240" w:lineRule="auto"/>
      </w:pPr>
    </w:p>
    <w:p>
      <w:pPr>
        <w:pStyle w:val="Paragraphedeliste"/>
        <w:spacing w:before="0" w:after="0" w:line="240" w:lineRule="auto"/>
      </w:pPr>
    </w:p>
    <w:p>
      <w:pPr>
        <w:pStyle w:val="Paragraphedeliste"/>
        <w:numPr>
          <w:ilvl w:val="0"/>
          <w:numId w:val="3"/>
        </w:numPr>
      </w:pPr>
      <w:r>
        <w:t>Configurer votre serveur afin que seule votre machine cliente puisse consulter les logs des sites bleu et rouge via l’alias « /logs_br ».</w:t>
      </w:r>
    </w:p>
    <w:p/>
    <w:p>
      <w:pPr>
        <w:pStyle w:val="Paragraphedeliste"/>
        <w:numPr>
          <w:ilvl w:val="0"/>
          <w:numId w:val="3"/>
        </w:numPr>
      </w:pPr>
      <w:r>
        <w:t>Les fichiers de logs seront stockés dans le répertoire : /home/SitesWeb/logbleu-rouge</w:t>
      </w:r>
    </w:p>
    <w:p>
      <w:pPr>
        <w:pStyle w:val="Paragraphedeliste"/>
        <w:ind w:left="1440"/>
      </w:pPr>
    </w:p>
    <w:p>
      <w:pPr>
        <w:pStyle w:val="Paragraphedeliste"/>
        <w:ind w:left="1440"/>
      </w:pPr>
    </w:p>
    <w:p>
      <w:pPr>
        <w:pStyle w:val="Paragraphedeliste"/>
        <w:ind w:left="1440"/>
      </w:pPr>
    </w:p>
    <w:p>
      <w:pPr>
        <w:pStyle w:val="Paragraphedeliste"/>
        <w:numPr>
          <w:ilvl w:val="0"/>
          <w:numId w:val="3"/>
        </w:numPr>
        <w:spacing w:before="0" w:after="0" w:line="240" w:lineRule="auto"/>
      </w:pPr>
      <w:r>
        <w:t>L’adresse mail de l’administrateur du site devra apparaitre : adminbleu@etrs.lan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/>
    <w:p/>
    <w:p/>
    <w:p/>
    <w:p/>
    <w:p/>
    <w:p/>
    <w:p/>
    <w:p/>
    <w:p/>
    <w:p/>
    <w:p/>
    <w:p/>
    <w:p>
      <w:pPr>
        <w:pStyle w:val="Paragraphedeliste"/>
        <w:numPr>
          <w:ilvl w:val="0"/>
          <w:numId w:val="5"/>
        </w:numPr>
        <w:spacing w:before="0" w:after="160" w:line="259" w:lineRule="auto"/>
      </w:pPr>
      <w:r>
        <w:lastRenderedPageBreak/>
        <w:t>Configuration du fichier de site :</w:t>
      </w: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ind w:firstLine="708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Titre2"/>
        <w:spacing w:before="0" w:line="240" w:lineRule="auto"/>
      </w:pPr>
      <w:r>
        <w:lastRenderedPageBreak/>
        <w:t>Exercice 2.2 : consultation des logs</w:t>
      </w:r>
    </w:p>
    <w:p>
      <w:pPr>
        <w:pStyle w:val="Paragraphedeliste"/>
        <w:numPr>
          <w:ilvl w:val="0"/>
          <w:numId w:val="5"/>
        </w:numPr>
      </w:pPr>
      <w:r>
        <w:t>Vérifiez que les fichiers de logs se sont bien créer.</w:t>
      </w:r>
    </w:p>
    <w:p/>
    <w:p/>
    <w:p/>
    <w:p/>
    <w:p/>
    <w:p/>
    <w:p>
      <w:pPr>
        <w:pStyle w:val="Paragraphedeliste"/>
        <w:numPr>
          <w:ilvl w:val="0"/>
          <w:numId w:val="5"/>
        </w:numPr>
      </w:pPr>
      <w:r>
        <w:t>Tentez d’y accéder, que se passe-t-il, pourquoi ?</w:t>
      </w:r>
    </w:p>
    <w:p>
      <w:pPr>
        <w:pStyle w:val="Paragraphedeliste"/>
      </w:pPr>
    </w:p>
    <w:p>
      <w:pPr>
        <w:pStyle w:val="Paragraphedeliste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Paragraphedeliste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Paragraphedeliste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Paragraphedeliste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Paragraphedeliste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Paragraphedeliste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  <w:numPr>
          <w:ilvl w:val="0"/>
          <w:numId w:val="5"/>
        </w:numPr>
      </w:pPr>
      <w:r>
        <w:t>Vérifiez que la taille des fichiers de log augmente lors d’une tentative d’accès infructueuse.</w:t>
      </w: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</w:pPr>
    </w:p>
    <w:p>
      <w:pPr>
        <w:pStyle w:val="Paragraphedeliste"/>
        <w:numPr>
          <w:ilvl w:val="0"/>
          <w:numId w:val="5"/>
        </w:numPr>
      </w:pPr>
      <w:r>
        <w:t>Vérifier que les fichiers de log sont bien accessibles via le navigateur.</w:t>
      </w:r>
    </w:p>
    <w:p>
      <w:pPr>
        <w:pStyle w:val="Paragraphedeliste"/>
      </w:pPr>
    </w:p>
    <w:p>
      <w:pPr>
        <w:pStyle w:val="Paragraphedeliste"/>
        <w:ind w:left="0"/>
        <w:jc w:val="center"/>
        <w:rPr>
          <w:rFonts w:ascii="Courier New" w:hAnsi="Courier New" w:cs="Courier New"/>
          <w:b/>
          <w:bCs/>
          <w:color w:val="FF0000"/>
          <w:kern w:val="24"/>
          <w:u w:val="single"/>
        </w:rPr>
      </w:pPr>
    </w:p>
    <w:p>
      <w:pPr>
        <w:jc w:val="center"/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rPr>
          <w:rFonts w:ascii="Courier New" w:hAnsi="Courier New" w:cs="Courier New"/>
          <w:b/>
          <w:bCs/>
          <w:color w:val="00B050"/>
          <w:kern w:val="24"/>
        </w:rPr>
      </w:pPr>
    </w:p>
    <w:p>
      <w:pPr>
        <w:rPr>
          <w:rFonts w:ascii="Courier New" w:hAnsi="Courier New" w:cs="Courier New"/>
          <w:b/>
          <w:bCs/>
          <w:color w:val="00B050"/>
          <w:kern w:val="24"/>
        </w:rPr>
      </w:pPr>
    </w:p>
    <w:sectPr>
      <w:headerReference w:type="default" r:id="rId13"/>
      <w:footerReference w:type="default" r:id="rId14"/>
      <w:pgSz w:w="11906" w:h="16838"/>
      <w:pgMar w:top="1134" w:right="1133" w:bottom="567" w:left="1134" w:header="397" w:footer="2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rPr>
        <w:noProof/>
        <w:sz w:val="16"/>
        <w:szCs w:val="16"/>
      </w:rPr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SYS-LNXFON-UTIL-TP.docx</w:t>
    </w:r>
    <w:r>
      <w:rPr>
        <w:sz w:val="16"/>
      </w:rPr>
      <w:fldChar w:fldCharType="end"/>
    </w:r>
    <w:r>
      <w:rPr>
        <w:sz w:val="16"/>
      </w:rPr>
      <w:tab/>
      <w:t>Février 2021</w:t>
    </w:r>
    <w:r>
      <w:rPr>
        <w:sz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   \* MERGEFORMAT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rPr>
        <w:spacing w:val="80"/>
      </w:rPr>
    </w:pPr>
    <w:r>
      <w:rPr>
        <w:spacing w:val="80"/>
      </w:rPr>
      <w:t>Ateliers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65C"/>
    <w:multiLevelType w:val="hybridMultilevel"/>
    <w:tmpl w:val="7BD2B7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5196E"/>
    <w:multiLevelType w:val="hybridMultilevel"/>
    <w:tmpl w:val="928A28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41A68"/>
    <w:multiLevelType w:val="hybridMultilevel"/>
    <w:tmpl w:val="E9E48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07C31"/>
    <w:multiLevelType w:val="hybridMultilevel"/>
    <w:tmpl w:val="61D0C0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D1149"/>
    <w:multiLevelType w:val="hybridMultilevel"/>
    <w:tmpl w:val="6C7EB41A"/>
    <w:lvl w:ilvl="0" w:tplc="B41E6D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FC31F1D-B7FB-4465-914F-480FDED4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basedOn w:val="Normal"/>
    <w:rPr>
      <w:b/>
      <w:bCs/>
    </w:rPr>
  </w:style>
  <w:style w:type="paragraph" w:styleId="Retraitcorpsdetexte">
    <w:name w:val="Body Text Indent"/>
    <w:basedOn w:val="Normal"/>
    <w:pPr>
      <w:ind w:left="567" w:hanging="567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Retraitcorpsdetexte3">
    <w:name w:val="Body Text Indent 3"/>
    <w:basedOn w:val="Normal"/>
    <w:pPr>
      <w:ind w:left="284" w:hanging="284"/>
    </w:pPr>
  </w:style>
  <w:style w:type="paragraph" w:customStyle="1" w:styleId="Corpsdetexte21">
    <w:name w:val="Corps de texte 21"/>
    <w:basedOn w:val="Normal"/>
    <w:pPr>
      <w:ind w:left="851"/>
      <w:jc w:val="both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</w:style>
  <w:style w:type="paragraph" w:styleId="Sansinterligne">
    <w:name w:val="No Spacing"/>
    <w:basedOn w:val="Normal"/>
    <w:link w:val="SansinterligneCar"/>
    <w:uiPriority w:val="1"/>
    <w:qFormat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Pr>
      <w:sz w:val="20"/>
      <w:szCs w:val="20"/>
    </w:rPr>
  </w:style>
  <w:style w:type="paragraph" w:customStyle="1" w:styleId="Titre10">
    <w:name w:val="Titre1"/>
    <w:basedOn w:val="Titre1"/>
    <w:next w:val="Titre1"/>
    <w:link w:val="Titre1Car0"/>
    <w:pPr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</w:pPr>
    <w:rPr>
      <w:rFonts w:ascii="Calibri" w:eastAsia="Calibri" w:hAnsi="Calibri" w:cs="Times New Roman"/>
      <w:bCs w:val="0"/>
      <w:caps w:val="0"/>
      <w:color w:val="FFFFFF"/>
    </w:rPr>
  </w:style>
  <w:style w:type="character" w:customStyle="1" w:styleId="Titre1Car0">
    <w:name w:val="Titre1 Car"/>
    <w:link w:val="Titre10"/>
    <w:rPr>
      <w:rFonts w:ascii="Calibri" w:eastAsia="Calibri" w:hAnsi="Calibri"/>
      <w:b/>
      <w:caps/>
      <w:color w:val="FFFFFF"/>
      <w:spacing w:val="15"/>
      <w:sz w:val="22"/>
      <w:szCs w:val="22"/>
      <w:shd w:val="clear" w:color="auto" w:fill="4F81BD"/>
    </w:rPr>
  </w:style>
  <w:style w:type="character" w:customStyle="1" w:styleId="Titre2Car">
    <w:name w:val="Titre 2 Car"/>
    <w:basedOn w:val="Policepardfaut"/>
    <w:link w:val="Titre2"/>
    <w:uiPriority w:val="9"/>
    <w:rPr>
      <w:caps/>
      <w:spacing w:val="15"/>
      <w:shd w:val="clear" w:color="auto" w:fill="DBE5F1" w:themeFill="accent1" w:themeFillTint="33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caps/>
      <w:color w:val="4F81BD" w:themeColor="accent1"/>
      <w:spacing w:val="10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pPr>
      <w:spacing w:before="0" w:after="0"/>
      <w:ind w:left="200"/>
    </w:pPr>
    <w:rPr>
      <w:smallCaps/>
    </w:r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link w:val="NormalWebCar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itrePerso2">
    <w:name w:val="TitrePerso2"/>
    <w:basedOn w:val="Normal"/>
    <w:next w:val="Normal"/>
    <w:pPr>
      <w:shd w:val="clear" w:color="auto" w:fill="E0E0E0"/>
      <w:spacing w:before="80" w:after="80"/>
      <w:jc w:val="both"/>
    </w:pPr>
    <w:rPr>
      <w:rFonts w:ascii="Tahoma" w:hAnsi="Tahoma" w:cs="Tahoma"/>
      <w:b/>
    </w:rPr>
  </w:style>
  <w:style w:type="character" w:customStyle="1" w:styleId="Titre1Car">
    <w:name w:val="Titre 1 Car"/>
    <w:basedOn w:val="Policepardfaut"/>
    <w:link w:val="Titre1"/>
    <w:uiPriority w:val="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3Car">
    <w:name w:val="Titre 3 Car"/>
    <w:basedOn w:val="Policepardfaut"/>
    <w:link w:val="Titre3"/>
    <w:uiPriority w:val="9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Pr>
      <w:b/>
      <w:bCs/>
    </w:rPr>
  </w:style>
  <w:style w:type="character" w:styleId="Accentuation">
    <w:name w:val="Emphasis"/>
    <w:uiPriority w:val="20"/>
    <w:qFormat/>
    <w:rPr>
      <w:caps/>
      <w:color w:val="243F60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Pr>
      <w:b/>
      <w:bCs/>
      <w:color w:val="4F81BD" w:themeColor="accent1"/>
    </w:rPr>
  </w:style>
  <w:style w:type="character" w:styleId="Rfrenceintense">
    <w:name w:val="Intense Reference"/>
    <w:uiPriority w:val="32"/>
    <w:qFormat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Pr>
      <w:b/>
      <w:bCs/>
      <w:i/>
      <w:iCs/>
      <w:spacing w:val="9"/>
    </w:rPr>
  </w:style>
  <w:style w:type="paragraph" w:customStyle="1" w:styleId="Step">
    <w:name w:val="Step"/>
    <w:basedOn w:val="NormalWeb"/>
    <w:link w:val="StepCar"/>
    <w:qFormat/>
    <w:pPr>
      <w:tabs>
        <w:tab w:val="left" w:pos="1140"/>
        <w:tab w:val="left" w:pos="2280"/>
        <w:tab w:val="left" w:pos="3420"/>
        <w:tab w:val="left" w:pos="4560"/>
        <w:tab w:val="left" w:pos="5700"/>
        <w:tab w:val="left" w:pos="6840"/>
        <w:tab w:val="left" w:pos="7980"/>
        <w:tab w:val="left" w:pos="9120"/>
        <w:tab w:val="left" w:pos="10260"/>
        <w:tab w:val="left" w:pos="11400"/>
        <w:tab w:val="left" w:pos="12540"/>
      </w:tabs>
      <w:spacing w:before="0" w:beforeAutospacing="0" w:after="0" w:afterAutospacing="0"/>
      <w:jc w:val="both"/>
      <w:textAlignment w:val="baseline"/>
    </w:pPr>
    <w:rPr>
      <w:rFonts w:ascii="Courier New" w:hAnsi="Courier New" w:cs="Courier New"/>
      <w:b/>
      <w:bCs/>
      <w:color w:val="00B050"/>
      <w:kern w:val="24"/>
    </w:rPr>
  </w:style>
  <w:style w:type="character" w:customStyle="1" w:styleId="StepCar">
    <w:name w:val="Step Car"/>
    <w:basedOn w:val="Policepardfaut"/>
    <w:link w:val="Step"/>
    <w:rPr>
      <w:rFonts w:ascii="Courier New" w:hAnsi="Courier New" w:cs="Courier New"/>
      <w:b/>
      <w:bCs/>
      <w:color w:val="00B050"/>
      <w:kern w:val="24"/>
      <w:sz w:val="20"/>
      <w:szCs w:val="20"/>
    </w:rPr>
  </w:style>
  <w:style w:type="paragraph" w:customStyle="1" w:styleId="Bash">
    <w:name w:val="Bash"/>
    <w:basedOn w:val="Normal"/>
    <w:link w:val="BashCar"/>
    <w:qFormat/>
    <w:pPr>
      <w:ind w:left="708"/>
    </w:pPr>
    <w:rPr>
      <w:rFonts w:ascii="Courier New" w:hAnsi="Courier New" w:cs="Courier New"/>
      <w:b/>
      <w:bCs/>
      <w:color w:val="0000FF"/>
      <w:kern w:val="24"/>
      <w:lang w:val="en-US"/>
    </w:rPr>
  </w:style>
  <w:style w:type="character" w:customStyle="1" w:styleId="BashCar">
    <w:name w:val="Bash Car"/>
    <w:basedOn w:val="Policepardfaut"/>
    <w:link w:val="Bash"/>
    <w:rPr>
      <w:rFonts w:ascii="Courier New" w:hAnsi="Courier New" w:cs="Courier New"/>
      <w:b/>
      <w:bCs/>
      <w:color w:val="0000FF"/>
      <w:kern w:val="24"/>
      <w:sz w:val="20"/>
      <w:szCs w:val="20"/>
      <w:lang w:val="en-US"/>
    </w:rPr>
  </w:style>
  <w:style w:type="character" w:customStyle="1" w:styleId="CodeBashCar">
    <w:name w:val="Code Bash Car"/>
    <w:basedOn w:val="Policepardfaut"/>
    <w:link w:val="CodeBash"/>
    <w:locked/>
    <w:rPr>
      <w:rFonts w:ascii="Courier New" w:hAnsi="Courier New" w:cs="Courier New"/>
      <w:b/>
      <w:sz w:val="20"/>
      <w:szCs w:val="20"/>
      <w:shd w:val="clear" w:color="auto" w:fill="F2F2F2" w:themeFill="background1" w:themeFillShade="F2"/>
      <w:lang w:val="en-US"/>
    </w:rPr>
  </w:style>
  <w:style w:type="paragraph" w:customStyle="1" w:styleId="CodeBash">
    <w:name w:val="Code Bash"/>
    <w:basedOn w:val="Normal"/>
    <w:link w:val="CodeBashCar"/>
    <w:qFormat/>
    <w:pPr>
      <w:pBdr>
        <w:top w:val="single" w:sz="4" w:space="6" w:color="D9D9D9" w:themeColor="background1" w:themeShade="D9"/>
        <w:left w:val="single" w:sz="4" w:space="8" w:color="D9D9D9" w:themeColor="background1" w:themeShade="D9"/>
        <w:bottom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120" w:after="120" w:line="360" w:lineRule="auto"/>
      <w:ind w:left="709"/>
      <w:contextualSpacing/>
    </w:pPr>
    <w:rPr>
      <w:rFonts w:ascii="Courier New" w:hAnsi="Courier New" w:cs="Courier New"/>
      <w:b/>
      <w:lang w:val="en-US"/>
    </w:rPr>
  </w:style>
  <w:style w:type="paragraph" w:styleId="TM3">
    <w:name w:val="toc 3"/>
    <w:basedOn w:val="Normal"/>
    <w:next w:val="Normal"/>
    <w:autoRedefine/>
    <w:uiPriority w:val="39"/>
    <w:pPr>
      <w:spacing w:before="0" w:after="0"/>
      <w:ind w:left="400"/>
    </w:pPr>
    <w:rPr>
      <w:i/>
      <w:iCs/>
    </w:rPr>
  </w:style>
  <w:style w:type="paragraph" w:styleId="TM4">
    <w:name w:val="toc 4"/>
    <w:basedOn w:val="Normal"/>
    <w:next w:val="Normal"/>
    <w:autoRedefine/>
    <w:uiPriority w:val="39"/>
    <w:pPr>
      <w:spacing w:before="0" w:after="0"/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pPr>
      <w:spacing w:before="0" w:after="0"/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pPr>
      <w:spacing w:before="0" w:after="0"/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pPr>
      <w:spacing w:before="0" w:after="0"/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pPr>
      <w:spacing w:before="0" w:after="0"/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pPr>
      <w:spacing w:before="0" w:after="0"/>
      <w:ind w:left="1600"/>
    </w:pPr>
    <w:rPr>
      <w:sz w:val="18"/>
      <w:szCs w:val="18"/>
    </w:rPr>
  </w:style>
  <w:style w:type="table" w:styleId="Listeclaire-Accent3">
    <w:name w:val="Light List Accent 3"/>
    <w:basedOn w:val="Tableau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moyenne1-Accent3">
    <w:name w:val="Medium Grid 1 Accent 3"/>
    <w:basedOn w:val="Tableau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NormalWebCar">
    <w:name w:val="Normal (Web) Car"/>
    <w:basedOn w:val="Policepardfaut"/>
    <w:link w:val="NormalWeb"/>
    <w:uiPriority w:val="99"/>
    <w:rPr>
      <w:rFonts w:ascii="Times New Roman" w:hAnsi="Times New Roman" w:cs="Times New Roman"/>
      <w:sz w:val="20"/>
      <w:szCs w:val="20"/>
    </w:rPr>
  </w:style>
  <w:style w:type="table" w:styleId="Tramemoyenne1-Accent3">
    <w:name w:val="Medium Shading 1 Accent 3"/>
    <w:basedOn w:val="Tableau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lledutableau1">
    <w:name w:val="Grille du tableau1"/>
    <w:basedOn w:val="TableauNormal"/>
    <w:next w:val="Grilledutableau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Pr>
      <w:b/>
      <w:bCs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before="0"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2090F-385C-4C3B-AC06-E2850279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commandes - Premières commandes</vt:lpstr>
    </vt:vector>
  </TitlesOfParts>
  <Company>ETRS</Company>
  <LinksUpToDate>false</LinksUpToDate>
  <CharactersWithSpaces>2256</CharactersWithSpaces>
  <SharedDoc>false</SharedDoc>
  <HLinks>
    <vt:vector size="6" baseType="variant">
      <vt:variant>
        <vt:i4>3473523</vt:i4>
      </vt:variant>
      <vt:variant>
        <vt:i4>-1</vt:i4>
      </vt:variant>
      <vt:variant>
        <vt:i4>2070</vt:i4>
      </vt:variant>
      <vt:variant>
        <vt:i4>4</vt:i4>
      </vt:variant>
      <vt:variant>
        <vt:lpwstr>http://www.esat.terre.defense.gouv.fr/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commandes - Premières commandes</dc:title>
  <dc:creator>COURS SYSTEMES / LINUX</dc:creator>
  <cp:lastModifiedBy>KERUEL Thierry</cp:lastModifiedBy>
  <cp:revision>3</cp:revision>
  <cp:lastPrinted>2016-10-05T14:26:00Z</cp:lastPrinted>
  <dcterms:created xsi:type="dcterms:W3CDTF">2021-07-08T12:09:00Z</dcterms:created>
  <dcterms:modified xsi:type="dcterms:W3CDTF">2021-07-08T12:11:00Z</dcterms:modified>
</cp:coreProperties>
</file>