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 Control No: HL‑V4.1‑SDIP‑008 | Revision 1.0 | Date October 2025</w:t>
      </w:r>
    </w:p>
    <w:p>
      <w:r>
        <w:br w:type="page"/>
      </w:r>
    </w:p>
    <w:p>
      <w:pPr>
        <w:pStyle w:val="Heading1"/>
      </w:pPr>
      <w:r>
        <w:t>Software Update and Data Integrity Plan</w:t>
      </w:r>
    </w:p>
    <w:p>
      <w:pPr>
        <w:pStyle w:val="Heading2"/>
      </w:pPr>
      <w:r>
        <w:t>Update Process</w:t>
      </w:r>
    </w:p>
    <w:p>
      <w:r>
        <w:t>All code changes pass version tagging and checksum validation before deployment. Clinical‑Lock files are immutable except for bug‑fix releases requiring full re‑verification.</w:t>
      </w:r>
    </w:p>
    <w:p>
      <w:pPr>
        <w:pStyle w:val="Heading2"/>
      </w:pPr>
      <w:r>
        <w:t>Checksum Verification</w:t>
      </w:r>
    </w:p>
    <w:p>
      <w:r>
        <w:t>Each module hashed (SHA‑256) and compared pre‑/post‑deployment to ensure integrity.</w:t>
      </w:r>
    </w:p>
    <w:p>
      <w:pPr>
        <w:pStyle w:val="Heading2"/>
      </w:pPr>
      <w:r>
        <w:t>Data Storage &amp; Encryption</w:t>
      </w:r>
    </w:p>
    <w:p>
      <w:r>
        <w:t>User data stored locally via Expo SecureStore (AES‑256). No cloud transfer in v4.1‑CL.</w:t>
      </w:r>
    </w:p>
    <w:p>
      <w:pPr>
        <w:pStyle w:val="Heading2"/>
      </w:pPr>
      <w:r>
        <w:t>Rollback &amp; Re‑Validation</w:t>
      </w:r>
    </w:p>
    <w:p>
      <w:r>
        <w:t>Any update to calculateScore or CFG constants triggers regression test suite (T1.0–T1.9) and new Clinical‑Lock issuance.</w:t>
      </w:r>
    </w:p>
    <w:p>
      <w:r>
        <w:br/>
        <w:t>Prepared by: ____________________   Reviewed by: ____________________   Approved by: ____________________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