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HeartLink Health LLC – Algorithm v4.1-CL (ASE 1.3)</w:t>
      </w:r>
    </w:p>
    <w:p>
      <w:r>
        <w:t>Document Control No: HL-V4.1-CER-003 | Revision: 1.0 | Date: October 2025</w:t>
      </w:r>
    </w:p>
    <w:p>
      <w:r>
        <w:br w:type="page"/>
      </w:r>
    </w:p>
    <w:p>
      <w:pPr>
        <w:pStyle w:val="Heading1"/>
      </w:pPr>
      <w:r>
        <w:t>Clinical Evaluation Summary</w:t>
      </w:r>
    </w:p>
    <w:p>
      <w:r>
        <w:t>This document summarizes the clinical rationale and evidence supporting the HeartLink Adaptive Stability Engine (ASE) version 1.3, integrated as algorithm v4.1‑CL.</w:t>
      </w:r>
    </w:p>
    <w:p>
      <w:r>
        <w:t>Clinical Basis: HeartLink follows American Heart Association (AHA), American College of Cardiology (ACC), and Heart Failure Society of America (HFSA) guidance for symptom monitoring and early detection of decompensation.</w:t>
      </w:r>
    </w:p>
    <w:p>
      <w:r>
        <w:t>Intended Use: To support home health monitoring and remote care coordination by identifying worsening symptom patterns indicative of heart failure decompensation.</w:t>
      </w:r>
    </w:p>
    <w:p>
      <w:r>
        <w:t>Validation Summary: Performance across validation trials T1.0–T1.9 demonstrated mean accuracy 93%, AUC 0.96, and false‑alert rate 0.28%.</w:t>
      </w:r>
    </w:p>
    <w:p>
      <w:r>
        <w:t>Conclusion: The algorithm demonstrates clinical plausibility, strong analytical validity, and suitability for non‑diagnostic patient monitoring applications.</w:t>
      </w:r>
    </w:p>
    <w:p>
      <w:r>
        <w:br/>
        <w:t>Prepared by: ___________________   Reviewed by: ___________________   Approved by: ___________________   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