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Document: Trial Summaries (T1.0–T1.9)  |  Date: October 2025</w:t>
      </w:r>
    </w:p>
    <w:p>
      <w:r>
        <w:br w:type="page"/>
      </w:r>
    </w:p>
    <w:p>
      <w:pPr>
        <w:pStyle w:val="Heading1"/>
      </w:pPr>
      <w:r>
        <w:t>HeartLink v4.1‑CL (ASE 1.3) — Trial Reference Summaries</w:t>
      </w:r>
    </w:p>
    <w:p>
      <w:r>
        <w:t>Each entry outlines the objective, cohort size, method, primary metrics, and acceptance criteria/outcome.</w:t>
      </w:r>
    </w:p>
    <w:p>
      <w:pPr>
        <w:pStyle w:val="Heading2"/>
      </w:pPr>
      <w:r>
        <w:t>T1.0 — Baseline Drift Audit</w:t>
      </w:r>
    </w:p>
    <w:p>
      <w:r>
        <w:t>Cohort Size: 10,000 users × 30 days</w:t>
      </w:r>
    </w:p>
    <w:p>
      <w:r>
        <w:t>Method: Assessed EMA stability and baseline normalization during early and steady‑state periods.</w:t>
      </w:r>
    </w:p>
    <w:p>
      <w:r>
        <w:t>Primary Metrics:</w:t>
      </w:r>
    </w:p>
    <w:p>
      <w:r>
        <w:t>• Mean drift ≈ 0.00 ± 0.03</w:t>
      </w:r>
    </w:p>
    <w:p>
      <w:r>
        <w:t>• Stable within ±0.04 normalized score</w:t>
      </w:r>
    </w:p>
    <w:p>
      <w:r>
        <w:t>Outcome: PASS — within tolerance (±0.05).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T1.1 — Daily Perturbation Sweep</w:t>
      </w:r>
    </w:p>
    <w:p>
      <w:r>
        <w:t>Cohort Size: 1,000 cases (±1 level jitter)</w:t>
      </w:r>
    </w:p>
    <w:p>
      <w:r>
        <w:t>Method: Evaluated day‑to‑day robustness to random symptom jitter.</w:t>
      </w:r>
    </w:p>
    <w:p>
      <w:r>
        <w:t>Primary Metrics:</w:t>
      </w:r>
    </w:p>
    <w:p>
      <w:r>
        <w:t>• 94.8 % unchanged category</w:t>
      </w:r>
    </w:p>
    <w:p>
      <w:r>
        <w:t>Outcome: PASS — ≥90 % unchanged criterion.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T1.2 — Orthopnea Trigger Sensitivity</w:t>
      </w:r>
    </w:p>
    <w:p>
      <w:r>
        <w:t>Cohort Size: 500 mixed‑severity cases</w:t>
      </w:r>
    </w:p>
    <w:p>
      <w:r>
        <w:t>Method: Verified binary orthopnea flag logic when combined with elevated SOB.</w:t>
      </w:r>
    </w:p>
    <w:p>
      <w:r>
        <w:t>Primary Metrics:</w:t>
      </w:r>
    </w:p>
    <w:p>
      <w:r>
        <w:t>• 100 % correct escalation with SOB</w:t>
      </w:r>
    </w:p>
    <w:p>
      <w:r>
        <w:t>Outcome: PASS — 100 % observed.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T1.3 — Merged‑Noise Guard Test</w:t>
      </w:r>
    </w:p>
    <w:p>
      <w:r>
        <w:t>Cohort Size: 5,000 dual‑symptom records</w:t>
      </w:r>
    </w:p>
    <w:p>
      <w:r>
        <w:t>Method: Validated guard that caps trivial multi‑delta days.</w:t>
      </w:r>
    </w:p>
    <w:p>
      <w:r>
        <w:t>Primary Metrics:</w:t>
      </w:r>
    </w:p>
    <w:p>
      <w:r>
        <w:t>• False‑alert reduction −42 % vs control</w:t>
      </w:r>
    </w:p>
    <w:p>
      <w:r>
        <w:t>Outcome: PASS — reduction ≥30 % required.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T1.4 — Cool‑Down Clamp Validation</w:t>
      </w:r>
    </w:p>
    <w:p>
      <w:r>
        <w:t>Cohort Size: 500 sequences, 20 days</w:t>
      </w:r>
    </w:p>
    <w:p>
      <w:r>
        <w:t>Method: Confirmed delayed return to Green after Orange via de‑escalation clamp.</w:t>
      </w:r>
    </w:p>
    <w:p>
      <w:r>
        <w:t>Primary Metrics:</w:t>
      </w:r>
    </w:p>
    <w:p>
      <w:r>
        <w:t>• Clamp held ≥5 calm days</w:t>
      </w:r>
    </w:p>
    <w:p>
      <w:r>
        <w:t>Outcome: PASS — ≥5 days maintained.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T1.5 — Chronic vs Acute Distinction</w:t>
      </w:r>
    </w:p>
    <w:p>
      <w:r>
        <w:t>Cohort Size: 2,000 mixed cases</w:t>
      </w:r>
    </w:p>
    <w:p>
      <w:r>
        <w:t>Method: Tested detection differences between advanced stable baselines and acute rises.</w:t>
      </w:r>
    </w:p>
    <w:p>
      <w:r>
        <w:t>Primary Metrics:</w:t>
      </w:r>
    </w:p>
    <w:p>
      <w:r>
        <w:t>• Accuracy 91.7 %</w:t>
      </w:r>
    </w:p>
    <w:p>
      <w:r>
        <w:t>• AUC ≈ 0.95</w:t>
      </w:r>
    </w:p>
    <w:p>
      <w:r>
        <w:t>Outcome: PASS — ≥90 % accuracy target.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T1.6 — False‑Alert Sweep (Cohort B)</w:t>
      </w:r>
    </w:p>
    <w:p>
      <w:r>
        <w:t>Cohort Size: 25,000 simulated days</w:t>
      </w:r>
    </w:p>
    <w:p>
      <w:r>
        <w:t>Method: Measured false‑alert rate under no‑change inputs.</w:t>
      </w:r>
    </w:p>
    <w:p>
      <w:r>
        <w:t>Primary Metrics:</w:t>
      </w:r>
    </w:p>
    <w:p>
      <w:r>
        <w:t>• False‑alert 0.28 %</w:t>
      </w:r>
    </w:p>
    <w:p>
      <w:r>
        <w:t>Outcome: PASS — ≤0.5 % threshold.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T1.7 — Ping‑Pong Stability Audit</w:t>
      </w:r>
    </w:p>
    <w:p>
      <w:r>
        <w:t>Cohort Size: 100 trajectories × 60 days</w:t>
      </w:r>
    </w:p>
    <w:p>
      <w:r>
        <w:t>Method: Monitored category reversals across long sequences.</w:t>
      </w:r>
    </w:p>
    <w:p>
      <w:r>
        <w:t>Primary Metrics:</w:t>
      </w:r>
    </w:p>
    <w:p>
      <w:r>
        <w:t>• Ping‑pong rate 0.44 %</w:t>
      </w:r>
    </w:p>
    <w:p>
      <w:r>
        <w:t>Outcome: PASS — ≤1 % target.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T1.8 — Cross‑Baseline Stress</w:t>
      </w:r>
    </w:p>
    <w:p>
      <w:r>
        <w:t>Cohort Size: 4,000 cases (variable baselines)</w:t>
      </w:r>
    </w:p>
    <w:p>
      <w:r>
        <w:t>Method: Validated tolerance consistency across low→severe baselines.</w:t>
      </w:r>
    </w:p>
    <w:p>
      <w:r>
        <w:t>Primary Metrics:</w:t>
      </w:r>
    </w:p>
    <w:p>
      <w:r>
        <w:t>• No drift beyond ±0.05 normalized</w:t>
      </w:r>
    </w:p>
    <w:p>
      <w:r>
        <w:t>Outcome: PASS — within spec.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T1.9 — Integrated Validation Holdout (Final)</w:t>
      </w:r>
    </w:p>
    <w:p>
      <w:r>
        <w:t>Cohort Size: 4,800 cases (multi‑cohort)</w:t>
      </w:r>
    </w:p>
    <w:p>
      <w:r>
        <w:t>Method: Produced final metrics for v4.1‑CL dossier.</w:t>
      </w:r>
    </w:p>
    <w:p>
      <w:r>
        <w:t>Primary Metrics:</w:t>
      </w:r>
    </w:p>
    <w:p>
      <w:r>
        <w:t>• Accuracy 93.2 %</w:t>
      </w:r>
    </w:p>
    <w:p>
      <w:r>
        <w:t>• Surrogate AUC 0.961</w:t>
      </w:r>
    </w:p>
    <w:p>
      <w:r>
        <w:t>• Balanced confusion profile</w:t>
      </w:r>
    </w:p>
    <w:p>
      <w:r>
        <w:t>Outcome: PASS — all acceptance met.</w:t>
      </w:r>
    </w:p>
    <w:p>
      <w:r>
        <w:t>——————————————————————————————————————————————————————————————————————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