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lineRule="auto"/>
        <w:rPr/>
      </w:pPr>
      <w:bookmarkStart w:colFirst="0" w:colLast="0" w:name="_xkfphl1a1vex" w:id="0"/>
      <w:bookmarkEnd w:id="0"/>
      <w:r w:rsidDel="00000000" w:rsidR="00000000" w:rsidRPr="00000000">
        <w:rPr>
          <w:rtl w:val="0"/>
        </w:rPr>
        <w:t xml:space="preserve">Risk Management High Level Overview</w:t>
      </w:r>
    </w:p>
    <w:p w:rsidR="00000000" w:rsidDel="00000000" w:rsidP="00000000" w:rsidRDefault="00000000" w:rsidRPr="00000000" w14:paraId="00000002">
      <w:pPr>
        <w:pStyle w:val="Heading2"/>
        <w:spacing w:after="240" w:before="240" w:lineRule="auto"/>
        <w:rPr/>
      </w:pPr>
      <w:bookmarkStart w:colFirst="0" w:colLast="0" w:name="_jqnllmyax8h8" w:id="1"/>
      <w:bookmarkEnd w:id="1"/>
      <w:r w:rsidDel="00000000" w:rsidR="00000000" w:rsidRPr="00000000">
        <w:rPr>
          <w:rtl w:val="0"/>
        </w:rPr>
        <w:t xml:space="preserve">Risk Management Strategy for Proto FusionGirl Video Game</w:t>
      </w:r>
    </w:p>
    <w:p w:rsidR="00000000" w:rsidDel="00000000" w:rsidP="00000000" w:rsidRDefault="00000000" w:rsidRPr="00000000" w14:paraId="00000003">
      <w:pPr>
        <w:pStyle w:val="Heading3"/>
        <w:keepNext w:val="0"/>
        <w:keepLines w:val="0"/>
        <w:spacing w:after="40" w:before="240" w:lineRule="auto"/>
        <w:rPr/>
      </w:pPr>
      <w:bookmarkStart w:colFirst="0" w:colLast="0" w:name="_mlnq11mgej50" w:id="2"/>
      <w:bookmarkEnd w:id="2"/>
      <w:r w:rsidDel="00000000" w:rsidR="00000000" w:rsidRPr="00000000">
        <w:rPr>
          <w:rtl w:val="0"/>
        </w:rPr>
        <w:t xml:space="preserve">1. Purpose Statement</w:t>
      </w:r>
    </w:p>
    <w:p w:rsidR="00000000" w:rsidDel="00000000" w:rsidP="00000000" w:rsidRDefault="00000000" w:rsidRPr="00000000" w14:paraId="00000004">
      <w:pPr>
        <w:pStyle w:val="Heading4"/>
        <w:numPr>
          <w:ilvl w:val="0"/>
          <w:numId w:val="3"/>
        </w:numPr>
        <w:spacing w:after="0" w:afterAutospacing="0" w:before="240" w:lineRule="auto"/>
        <w:ind w:left="720" w:hanging="360"/>
      </w:pPr>
      <w:bookmarkStart w:colFirst="0" w:colLast="0" w:name="_l6wtzzg4zg2l" w:id="3"/>
      <w:bookmarkEnd w:id="3"/>
      <w:r w:rsidDel="00000000" w:rsidR="00000000" w:rsidRPr="00000000">
        <w:rPr>
          <w:b w:val="1"/>
          <w:rtl w:val="0"/>
        </w:rPr>
        <w:t xml:space="preserve">Purpose Statement</w:t>
      </w:r>
      <w:r w:rsidDel="00000000" w:rsidR="00000000" w:rsidRPr="00000000">
        <w:rPr>
          <w:rtl w:val="0"/>
        </w:rPr>
        <w:t xml:space="preserve">:</w:t>
      </w:r>
    </w:p>
    <w:p w:rsidR="00000000" w:rsidDel="00000000" w:rsidP="00000000" w:rsidRDefault="00000000" w:rsidRPr="00000000" w14:paraId="00000005">
      <w:pPr>
        <w:pStyle w:val="Heading5"/>
        <w:numPr>
          <w:ilvl w:val="1"/>
          <w:numId w:val="3"/>
        </w:numPr>
        <w:spacing w:after="240" w:before="0" w:beforeAutospacing="0" w:lineRule="auto"/>
        <w:ind w:left="1440" w:hanging="360"/>
      </w:pPr>
      <w:bookmarkStart w:colFirst="0" w:colLast="0" w:name="_gdo7nnu574fs" w:id="4"/>
      <w:bookmarkEnd w:id="4"/>
      <w:r w:rsidDel="00000000" w:rsidR="00000000" w:rsidRPr="00000000">
        <w:rPr>
          <w:rtl w:val="0"/>
        </w:rPr>
        <w:t xml:space="preserve">This document outlines the key risks associated with the development, launch, and operation of the Proto FusionGirl video game and provides a comprehensive strategy for mitigating these risks. The goal is to ensure the project's success while safeguarding its innovation, profitability, and alignment with the principles of Web3, decentralization, and open-source development.</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after="40" w:before="240" w:lineRule="auto"/>
        <w:rPr/>
      </w:pPr>
      <w:bookmarkStart w:colFirst="0" w:colLast="0" w:name="_5lbstc9icikr" w:id="5"/>
      <w:bookmarkEnd w:id="5"/>
      <w:r w:rsidDel="00000000" w:rsidR="00000000" w:rsidRPr="00000000">
        <w:rPr>
          <w:rtl w:val="0"/>
        </w:rPr>
        <w:t xml:space="preserve">2. Executive Summary</w:t>
      </w:r>
    </w:p>
    <w:p w:rsidR="00000000" w:rsidDel="00000000" w:rsidP="00000000" w:rsidRDefault="00000000" w:rsidRPr="00000000" w14:paraId="00000008">
      <w:pPr>
        <w:pStyle w:val="Heading4"/>
        <w:numPr>
          <w:ilvl w:val="0"/>
          <w:numId w:val="2"/>
        </w:numPr>
        <w:spacing w:after="0" w:afterAutospacing="0"/>
        <w:ind w:left="720" w:hanging="360"/>
      </w:pPr>
      <w:bookmarkStart w:colFirst="0" w:colLast="0" w:name="_ip2tn98f9nw6" w:id="6"/>
      <w:bookmarkEnd w:id="6"/>
      <w:r w:rsidDel="00000000" w:rsidR="00000000" w:rsidRPr="00000000">
        <w:rPr>
          <w:rtl w:val="0"/>
        </w:rPr>
        <w:t xml:space="preserve">Proto FusionGirl’s development incorporates cutting-edge Web3 technologies and an open-source, decentralized model. </w:t>
      </w:r>
    </w:p>
    <w:p w:rsidR="00000000" w:rsidDel="00000000" w:rsidP="00000000" w:rsidRDefault="00000000" w:rsidRPr="00000000" w14:paraId="00000009">
      <w:pPr>
        <w:pStyle w:val="Heading5"/>
        <w:numPr>
          <w:ilvl w:val="1"/>
          <w:numId w:val="2"/>
        </w:numPr>
        <w:spacing w:after="240" w:before="0" w:beforeAutospacing="0" w:lineRule="auto"/>
        <w:ind w:left="1440" w:hanging="360"/>
      </w:pPr>
      <w:bookmarkStart w:colFirst="0" w:colLast="0" w:name="_4jiqkqedyklp" w:id="7"/>
      <w:bookmarkEnd w:id="7"/>
      <w:r w:rsidDel="00000000" w:rsidR="00000000" w:rsidRPr="00000000">
        <w:rPr>
          <w:rtl w:val="0"/>
        </w:rPr>
        <w:t xml:space="preserve">While these elements present unique opportunities, they also carry risks related to IP protection, market adoption, community governance, and technological scalability. This document identifies these risks and proposes proactive, actionable strategies to address them.</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after="40" w:before="240" w:lineRule="auto"/>
        <w:rPr/>
      </w:pPr>
      <w:bookmarkStart w:colFirst="0" w:colLast="0" w:name="_8l4fc347ljp" w:id="8"/>
      <w:bookmarkEnd w:id="8"/>
      <w:r w:rsidDel="00000000" w:rsidR="00000000" w:rsidRPr="00000000">
        <w:rPr>
          <w:rtl w:val="0"/>
        </w:rPr>
        <w:t xml:space="preserve">3. Risk Management Objectives</w:t>
      </w:r>
    </w:p>
    <w:p w:rsidR="00000000" w:rsidDel="00000000" w:rsidP="00000000" w:rsidRDefault="00000000" w:rsidRPr="00000000" w14:paraId="0000000C">
      <w:pPr>
        <w:pStyle w:val="Heading4"/>
        <w:numPr>
          <w:ilvl w:val="0"/>
          <w:numId w:val="1"/>
        </w:numPr>
        <w:spacing w:after="0" w:afterAutospacing="0" w:before="240" w:lineRule="auto"/>
        <w:ind w:left="720" w:hanging="360"/>
      </w:pPr>
      <w:bookmarkStart w:colFirst="0" w:colLast="0" w:name="_5ehn8fahpaco" w:id="9"/>
      <w:bookmarkEnd w:id="9"/>
      <w:r w:rsidDel="00000000" w:rsidR="00000000" w:rsidRPr="00000000">
        <w:rPr>
          <w:rtl w:val="0"/>
        </w:rPr>
        <w:t xml:space="preserve">Define the key objectives of your risk management process:</w:t>
      </w:r>
    </w:p>
    <w:p w:rsidR="00000000" w:rsidDel="00000000" w:rsidP="00000000" w:rsidRDefault="00000000" w:rsidRPr="00000000" w14:paraId="0000000D">
      <w:pPr>
        <w:pStyle w:val="Heading5"/>
        <w:numPr>
          <w:ilvl w:val="1"/>
          <w:numId w:val="1"/>
        </w:numPr>
        <w:spacing w:after="0" w:afterAutospacing="0" w:before="0" w:beforeAutospacing="0" w:lineRule="auto"/>
        <w:ind w:left="1440" w:hanging="360"/>
      </w:pPr>
      <w:bookmarkStart w:colFirst="0" w:colLast="0" w:name="_wbax9rlshqbn" w:id="10"/>
      <w:bookmarkEnd w:id="10"/>
      <w:r w:rsidDel="00000000" w:rsidR="00000000" w:rsidRPr="00000000">
        <w:rPr>
          <w:rtl w:val="0"/>
        </w:rPr>
        <w:t xml:space="preserve">Ensure project timelines and budgets are maintained.</w:t>
      </w:r>
    </w:p>
    <w:p w:rsidR="00000000" w:rsidDel="00000000" w:rsidP="00000000" w:rsidRDefault="00000000" w:rsidRPr="00000000" w14:paraId="0000000E">
      <w:pPr>
        <w:pStyle w:val="Heading5"/>
        <w:numPr>
          <w:ilvl w:val="1"/>
          <w:numId w:val="1"/>
        </w:numPr>
        <w:spacing w:after="0" w:afterAutospacing="0" w:before="0" w:beforeAutospacing="0" w:lineRule="auto"/>
        <w:ind w:left="1440" w:hanging="360"/>
      </w:pPr>
      <w:bookmarkStart w:colFirst="0" w:colLast="0" w:name="_j83xvkv4k5k5" w:id="11"/>
      <w:bookmarkEnd w:id="11"/>
      <w:r w:rsidDel="00000000" w:rsidR="00000000" w:rsidRPr="00000000">
        <w:rPr>
          <w:rtl w:val="0"/>
        </w:rPr>
        <w:t xml:space="preserve">Mitigate technical and operational risks to ensure a smooth game launch.</w:t>
      </w:r>
    </w:p>
    <w:p w:rsidR="00000000" w:rsidDel="00000000" w:rsidP="00000000" w:rsidRDefault="00000000" w:rsidRPr="00000000" w14:paraId="0000000F">
      <w:pPr>
        <w:pStyle w:val="Heading5"/>
        <w:numPr>
          <w:ilvl w:val="1"/>
          <w:numId w:val="1"/>
        </w:numPr>
        <w:spacing w:after="0" w:afterAutospacing="0" w:before="0" w:beforeAutospacing="0" w:lineRule="auto"/>
        <w:ind w:left="1440" w:hanging="360"/>
      </w:pPr>
      <w:bookmarkStart w:colFirst="0" w:colLast="0" w:name="_sxdu4ftr4bu2" w:id="12"/>
      <w:bookmarkEnd w:id="12"/>
      <w:r w:rsidDel="00000000" w:rsidR="00000000" w:rsidRPr="00000000">
        <w:rPr>
          <w:rtl w:val="0"/>
        </w:rPr>
        <w:t xml:space="preserve">Protect publisher and investor interests while maintaining the integrity of the game’s decentralized and open-source vision.</w:t>
      </w:r>
    </w:p>
    <w:p w:rsidR="00000000" w:rsidDel="00000000" w:rsidP="00000000" w:rsidRDefault="00000000" w:rsidRPr="00000000" w14:paraId="00000010">
      <w:pPr>
        <w:pStyle w:val="Heading5"/>
        <w:numPr>
          <w:ilvl w:val="1"/>
          <w:numId w:val="1"/>
        </w:numPr>
        <w:spacing w:after="240" w:before="0" w:beforeAutospacing="0" w:lineRule="auto"/>
        <w:ind w:left="1440" w:hanging="360"/>
      </w:pPr>
      <w:bookmarkStart w:colFirst="0" w:colLast="0" w:name="_393nkmq8zvgr" w:id="13"/>
      <w:bookmarkEnd w:id="13"/>
      <w:r w:rsidDel="00000000" w:rsidR="00000000" w:rsidRPr="00000000">
        <w:rPr>
          <w:rtl w:val="0"/>
        </w:rPr>
        <w:t xml:space="preserve">Proactively adapt to market, technological, and regulatory changes.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keepNext w:val="0"/>
        <w:keepLines w:val="0"/>
        <w:spacing w:after="40" w:before="240" w:lineRule="auto"/>
        <w:rPr/>
      </w:pPr>
      <w:bookmarkStart w:colFirst="0" w:colLast="0" w:name="_oj8jrfybs716" w:id="14"/>
      <w:bookmarkEnd w:id="14"/>
      <w:r w:rsidDel="00000000" w:rsidR="00000000" w:rsidRPr="00000000">
        <w:rPr>
          <w:rtl w:val="0"/>
        </w:rPr>
        <w:t xml:space="preserve">4. High-Level Risk Categories</w:t>
      </w:r>
    </w:p>
    <w:p w:rsidR="00000000" w:rsidDel="00000000" w:rsidP="00000000" w:rsidRDefault="00000000" w:rsidRPr="00000000" w14:paraId="00000015">
      <w:pPr>
        <w:spacing w:after="240" w:before="240" w:lineRule="auto"/>
        <w:rPr/>
      </w:pPr>
      <w:r w:rsidDel="00000000" w:rsidR="00000000" w:rsidRPr="00000000">
        <w:rPr>
          <w:rtl w:val="0"/>
        </w:rPr>
        <w:t xml:space="preserve">List the main categories of risks that the document will address:</w:t>
      </w:r>
    </w:p>
    <w:p w:rsidR="00000000" w:rsidDel="00000000" w:rsidP="00000000" w:rsidRDefault="00000000" w:rsidRPr="00000000" w14:paraId="00000016">
      <w:pPr>
        <w:numPr>
          <w:ilvl w:val="0"/>
          <w:numId w:val="5"/>
        </w:numPr>
        <w:spacing w:after="0" w:afterAutospacing="0" w:before="240" w:lineRule="auto"/>
        <w:ind w:left="720" w:hanging="360"/>
      </w:pPr>
      <w:r w:rsidDel="00000000" w:rsidR="00000000" w:rsidRPr="00000000">
        <w:rPr>
          <w:b w:val="1"/>
          <w:rtl w:val="0"/>
        </w:rPr>
        <w:t xml:space="preserve">Development Risks</w:t>
      </w:r>
      <w:r w:rsidDel="00000000" w:rsidR="00000000" w:rsidRPr="00000000">
        <w:rPr>
          <w:rtl w:val="0"/>
        </w:rPr>
        <w:t xml:space="preserve">: Project scope creep, delays, or budget overruns.</w:t>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b w:val="1"/>
          <w:rtl w:val="0"/>
        </w:rPr>
        <w:t xml:space="preserve">Technical Risks</w:t>
      </w:r>
      <w:r w:rsidDel="00000000" w:rsidR="00000000" w:rsidRPr="00000000">
        <w:rPr>
          <w:rtl w:val="0"/>
        </w:rPr>
        <w:t xml:space="preserve">: Blockchain scalability, decentralized system reliability, and cybersecurity threats.</w:t>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b w:val="1"/>
          <w:rtl w:val="0"/>
        </w:rPr>
        <w:t xml:space="preserve">Community Risks</w:t>
      </w:r>
      <w:r w:rsidDel="00000000" w:rsidR="00000000" w:rsidRPr="00000000">
        <w:rPr>
          <w:rtl w:val="0"/>
        </w:rPr>
        <w:t xml:space="preserve">: Toxicity, misalignment in decentralized governance, or lack of engagement.</w:t>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b w:val="1"/>
          <w:rtl w:val="0"/>
        </w:rPr>
        <w:t xml:space="preserve">Market Risks</w:t>
      </w:r>
      <w:r w:rsidDel="00000000" w:rsidR="00000000" w:rsidRPr="00000000">
        <w:rPr>
          <w:rtl w:val="0"/>
        </w:rPr>
        <w:t xml:space="preserve">: Adoption challenges, competition, and regulatory shifts.</w:t>
      </w:r>
    </w:p>
    <w:p w:rsidR="00000000" w:rsidDel="00000000" w:rsidP="00000000" w:rsidRDefault="00000000" w:rsidRPr="00000000" w14:paraId="0000001A">
      <w:pPr>
        <w:numPr>
          <w:ilvl w:val="0"/>
          <w:numId w:val="5"/>
        </w:numPr>
        <w:spacing w:after="240" w:before="0" w:beforeAutospacing="0" w:lineRule="auto"/>
        <w:ind w:left="720" w:hanging="360"/>
      </w:pPr>
      <w:r w:rsidDel="00000000" w:rsidR="00000000" w:rsidRPr="00000000">
        <w:rPr>
          <w:b w:val="1"/>
          <w:rtl w:val="0"/>
        </w:rPr>
        <w:t xml:space="preserve">Financial Risks</w:t>
      </w:r>
      <w:r w:rsidDel="00000000" w:rsidR="00000000" w:rsidRPr="00000000">
        <w:rPr>
          <w:rtl w:val="0"/>
        </w:rPr>
        <w:t xml:space="preserve">: Insufficient funding, unclear ROI, or investor hesitancy.</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after="40" w:before="240" w:lineRule="auto"/>
        <w:rPr/>
      </w:pPr>
      <w:bookmarkStart w:colFirst="0" w:colLast="0" w:name="_o2vprx3jqmtt" w:id="15"/>
      <w:bookmarkEnd w:id="15"/>
      <w:r w:rsidDel="00000000" w:rsidR="00000000" w:rsidRPr="00000000">
        <w:rPr>
          <w:rtl w:val="0"/>
        </w:rPr>
        <w:t xml:space="preserve">5. Key Stakeholders</w:t>
      </w:r>
    </w:p>
    <w:p w:rsidR="00000000" w:rsidDel="00000000" w:rsidP="00000000" w:rsidRDefault="00000000" w:rsidRPr="00000000" w14:paraId="0000001D">
      <w:pPr>
        <w:spacing w:after="240" w:before="240" w:lineRule="auto"/>
        <w:rPr/>
      </w:pPr>
      <w:r w:rsidDel="00000000" w:rsidR="00000000" w:rsidRPr="00000000">
        <w:rPr>
          <w:rtl w:val="0"/>
        </w:rPr>
        <w:t xml:space="preserve">Identify the major stakeholders whose interests are being protected through this risk management strategy:</w:t>
      </w:r>
    </w:p>
    <w:p w:rsidR="00000000" w:rsidDel="00000000" w:rsidP="00000000" w:rsidRDefault="00000000" w:rsidRPr="00000000" w14:paraId="0000001E">
      <w:pPr>
        <w:numPr>
          <w:ilvl w:val="0"/>
          <w:numId w:val="6"/>
        </w:numPr>
        <w:spacing w:after="0" w:afterAutospacing="0" w:before="240" w:lineRule="auto"/>
        <w:ind w:left="720" w:hanging="360"/>
      </w:pPr>
      <w:r w:rsidDel="00000000" w:rsidR="00000000" w:rsidRPr="00000000">
        <w:rPr>
          <w:b w:val="1"/>
          <w:rtl w:val="0"/>
        </w:rPr>
        <w:t xml:space="preserve">Creator</w:t>
      </w:r>
      <w:r w:rsidDel="00000000" w:rsidR="00000000" w:rsidRPr="00000000">
        <w:rPr>
          <w:rtl w:val="0"/>
        </w:rPr>
        <w:t xml:space="preserve">: Jordan Traña (sole creator, LLC owner, and project lead).</w:t>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b w:val="1"/>
          <w:rtl w:val="0"/>
        </w:rPr>
        <w:t xml:space="preserve">Investors</w:t>
      </w:r>
      <w:r w:rsidDel="00000000" w:rsidR="00000000" w:rsidRPr="00000000">
        <w:rPr>
          <w:rtl w:val="0"/>
        </w:rPr>
        <w:t xml:space="preserve">: Traditional publishers, Kickstarter backers, and private investors.</w:t>
      </w:r>
    </w:p>
    <w:p w:rsidR="00000000" w:rsidDel="00000000" w:rsidP="00000000" w:rsidRDefault="00000000" w:rsidRPr="00000000" w14:paraId="00000020">
      <w:pPr>
        <w:numPr>
          <w:ilvl w:val="0"/>
          <w:numId w:val="6"/>
        </w:numPr>
        <w:spacing w:after="0" w:afterAutospacing="0" w:before="0" w:beforeAutospacing="0" w:lineRule="auto"/>
        <w:ind w:left="720" w:hanging="360"/>
      </w:pPr>
      <w:r w:rsidDel="00000000" w:rsidR="00000000" w:rsidRPr="00000000">
        <w:rPr>
          <w:b w:val="1"/>
          <w:rtl w:val="0"/>
        </w:rPr>
        <w:t xml:space="preserve">Community</w:t>
      </w:r>
      <w:r w:rsidDel="00000000" w:rsidR="00000000" w:rsidRPr="00000000">
        <w:rPr>
          <w:rtl w:val="0"/>
        </w:rPr>
        <w:t xml:space="preserve">: Players, modders, and contributors participating in the open-source ecosystem.</w:t>
      </w:r>
    </w:p>
    <w:p w:rsidR="00000000" w:rsidDel="00000000" w:rsidP="00000000" w:rsidRDefault="00000000" w:rsidRPr="00000000" w14:paraId="00000021">
      <w:pPr>
        <w:numPr>
          <w:ilvl w:val="0"/>
          <w:numId w:val="6"/>
        </w:numPr>
        <w:spacing w:after="240" w:before="0" w:beforeAutospacing="0" w:lineRule="auto"/>
        <w:ind w:left="720" w:hanging="360"/>
      </w:pPr>
      <w:r w:rsidDel="00000000" w:rsidR="00000000" w:rsidRPr="00000000">
        <w:rPr>
          <w:b w:val="1"/>
          <w:rtl w:val="0"/>
        </w:rPr>
        <w:t xml:space="preserve">Technical Partners</w:t>
      </w:r>
      <w:r w:rsidDel="00000000" w:rsidR="00000000" w:rsidRPr="00000000">
        <w:rPr>
          <w:rtl w:val="0"/>
        </w:rPr>
        <w:t xml:space="preserve">: Blockchain providers, development teams, and Web3 consultants.</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after="40" w:before="240" w:lineRule="auto"/>
        <w:rPr/>
      </w:pPr>
      <w:bookmarkStart w:colFirst="0" w:colLast="0" w:name="_jsv1h3lo5383" w:id="16"/>
      <w:bookmarkEnd w:id="16"/>
      <w:r w:rsidDel="00000000" w:rsidR="00000000" w:rsidRPr="00000000">
        <w:rPr>
          <w:rtl w:val="0"/>
        </w:rPr>
        <w:t xml:space="preserve">6. Approach to Risk Management</w:t>
      </w:r>
    </w:p>
    <w:p w:rsidR="00000000" w:rsidDel="00000000" w:rsidP="00000000" w:rsidRDefault="00000000" w:rsidRPr="00000000" w14:paraId="00000024">
      <w:pPr>
        <w:spacing w:after="240" w:before="240" w:lineRule="auto"/>
        <w:rPr/>
      </w:pPr>
      <w:r w:rsidDel="00000000" w:rsidR="00000000" w:rsidRPr="00000000">
        <w:rPr>
          <w:rtl w:val="0"/>
        </w:rPr>
        <w:t xml:space="preserve">Briefly outline your methodology for assessing and managing risks:</w:t>
      </w:r>
    </w:p>
    <w:p w:rsidR="00000000" w:rsidDel="00000000" w:rsidP="00000000" w:rsidRDefault="00000000" w:rsidRPr="00000000" w14:paraId="00000025">
      <w:pPr>
        <w:numPr>
          <w:ilvl w:val="0"/>
          <w:numId w:val="4"/>
        </w:numPr>
        <w:spacing w:after="0" w:afterAutospacing="0" w:before="240" w:lineRule="auto"/>
        <w:ind w:left="720" w:hanging="360"/>
      </w:pPr>
      <w:r w:rsidDel="00000000" w:rsidR="00000000" w:rsidRPr="00000000">
        <w:rPr>
          <w:b w:val="1"/>
          <w:rtl w:val="0"/>
        </w:rPr>
        <w:t xml:space="preserve">Risk Identification</w:t>
      </w:r>
      <w:r w:rsidDel="00000000" w:rsidR="00000000" w:rsidRPr="00000000">
        <w:rPr>
          <w:rtl w:val="0"/>
        </w:rPr>
        <w:t xml:space="preserve">: Proactively identifying risks at each stage of the project.</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b w:val="1"/>
          <w:rtl w:val="0"/>
        </w:rPr>
        <w:t xml:space="preserve">Risk Analysis</w:t>
      </w:r>
      <w:r w:rsidDel="00000000" w:rsidR="00000000" w:rsidRPr="00000000">
        <w:rPr>
          <w:rtl w:val="0"/>
        </w:rPr>
        <w:t xml:space="preserve">: Evaluating the likelihood and impact of identified risks.</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b w:val="1"/>
          <w:rtl w:val="0"/>
        </w:rPr>
        <w:t xml:space="preserve">Risk Mitigation</w:t>
      </w:r>
      <w:r w:rsidDel="00000000" w:rsidR="00000000" w:rsidRPr="00000000">
        <w:rPr>
          <w:rtl w:val="0"/>
        </w:rPr>
        <w:t xml:space="preserve">: Implementing measures to reduce or eliminate risks.</w:t>
      </w:r>
    </w:p>
    <w:p w:rsidR="00000000" w:rsidDel="00000000" w:rsidP="00000000" w:rsidRDefault="00000000" w:rsidRPr="00000000" w14:paraId="00000028">
      <w:pPr>
        <w:numPr>
          <w:ilvl w:val="0"/>
          <w:numId w:val="4"/>
        </w:numPr>
        <w:spacing w:after="240" w:before="0" w:beforeAutospacing="0" w:lineRule="auto"/>
        <w:ind w:left="720" w:hanging="360"/>
      </w:pPr>
      <w:r w:rsidDel="00000000" w:rsidR="00000000" w:rsidRPr="00000000">
        <w:rPr>
          <w:b w:val="1"/>
          <w:rtl w:val="0"/>
        </w:rPr>
        <w:t xml:space="preserve">Risk Monitoring</w:t>
      </w:r>
      <w:r w:rsidDel="00000000" w:rsidR="00000000" w:rsidRPr="00000000">
        <w:rPr>
          <w:rtl w:val="0"/>
        </w:rPr>
        <w:t xml:space="preserve">: Continuously monitoring risks and adapting strategies as necessary.</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pStyle w:val="Title"/>
      <w:rPr/>
    </w:pPr>
    <w:bookmarkStart w:colFirst="0" w:colLast="0" w:name="_r5b2519whoo2" w:id="17"/>
    <w:bookmarkEnd w:id="17"/>
    <w:r w:rsidDel="00000000" w:rsidR="00000000" w:rsidRPr="00000000">
      <w:rPr>
        <w:rtl w:val="0"/>
      </w:rPr>
      <w:t xml:space="preserve">FusionGirl</w:t>
    </w:r>
  </w:p>
  <w:p w:rsidR="00000000" w:rsidDel="00000000" w:rsidP="00000000" w:rsidRDefault="00000000" w:rsidRPr="00000000" w14:paraId="0000002E">
    <w:pPr>
      <w:pStyle w:val="Subtitle"/>
      <w:rPr/>
    </w:pPr>
    <w:bookmarkStart w:colFirst="0" w:colLast="0" w:name="_jsrfd66ltfoz" w:id="18"/>
    <w:bookmarkEnd w:id="18"/>
    <w:r w:rsidDel="00000000" w:rsidR="00000000" w:rsidRPr="00000000">
      <w:rPr>
        <w:rtl w:val="0"/>
      </w:rPr>
      <w:t xml:space="preserve">Game Design Document - Risk Mitigation Strategy</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pStyle w:val="Title"/>
      <w:rPr/>
    </w:pPr>
    <w:bookmarkStart w:colFirst="0" w:colLast="0" w:name="_nplwjguv3qe1" w:id="19"/>
    <w:bookmarkEnd w:id="19"/>
    <w:r w:rsidDel="00000000" w:rsidR="00000000" w:rsidRPr="00000000">
      <w:rPr>
        <w:rtl w:val="0"/>
      </w:rPr>
      <w:t xml:space="preserve">FusionGirl</w:t>
    </w:r>
  </w:p>
  <w:p w:rsidR="00000000" w:rsidDel="00000000" w:rsidP="00000000" w:rsidRDefault="00000000" w:rsidRPr="00000000" w14:paraId="00000030">
    <w:pPr>
      <w:pStyle w:val="Subtitle"/>
      <w:rPr/>
    </w:pPr>
    <w:bookmarkStart w:colFirst="0" w:colLast="0" w:name="_iltu7ypsc189" w:id="20"/>
    <w:bookmarkEnd w:id="20"/>
    <w:r w:rsidDel="00000000" w:rsidR="00000000" w:rsidRPr="00000000">
      <w:rPr>
        <w:rtl w:val="0"/>
      </w:rPr>
      <w:t xml:space="preserve">Game Design Document - Risk Mitigation Strategy</w:t>
    </w:r>
  </w:p>
  <w:p w:rsidR="00000000" w:rsidDel="00000000" w:rsidP="00000000" w:rsidRDefault="00000000" w:rsidRPr="00000000" w14:paraId="00000031">
    <w:pPr>
      <w:pStyle w:val="Heading6"/>
      <w:rPr/>
    </w:pPr>
    <w:bookmarkStart w:colFirst="0" w:colLast="0" w:name="_qhpuibso2q" w:id="21"/>
    <w:bookmarkEnd w:id="21"/>
    <w:r w:rsidDel="00000000" w:rsidR="00000000" w:rsidRPr="00000000">
      <w:rPr>
        <w:rtl w:val="0"/>
      </w:rPr>
      <w:t xml:space="preserve">Jordan Traña [Jono Tho’ra] - Arch Angel Agency LLC - Creative Commons Zero (CC0)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