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u35fl4rop2z" w:id="0"/>
      <w:bookmarkEnd w:id="0"/>
      <w:r w:rsidDel="00000000" w:rsidR="00000000" w:rsidRPr="00000000">
        <w:rPr>
          <w:rtl w:val="0"/>
        </w:rPr>
        <w:t xml:space="preserve">Ejercicio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29288" cy="1598871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15988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8575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381160" cy="22717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160" cy="2271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320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z6s0rmfl9jsv" w:id="1"/>
      <w:bookmarkEnd w:id="1"/>
      <w:r w:rsidDel="00000000" w:rsidR="00000000" w:rsidRPr="00000000">
        <w:rPr/>
        <w:drawing>
          <wp:inline distB="114300" distT="114300" distL="114300" distR="114300">
            <wp:extent cx="5734050" cy="53086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30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jwktpvcjsfx4" w:id="2"/>
      <w:bookmarkEnd w:id="2"/>
      <w:r w:rsidDel="00000000" w:rsidR="00000000" w:rsidRPr="00000000">
        <w:rPr>
          <w:rtl w:val="0"/>
        </w:rPr>
        <w:t xml:space="preserve">Ejercicio 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6510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8702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2827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759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headerReference r:id="rId1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  <w:t xml:space="preserve">ITBA - 2019 Q2</w:t>
      <w:tab/>
      <w:t xml:space="preserve">Programación Imperativa</w:t>
      <w:tab/>
      <w:t xml:space="preserve">Taller 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eader" Target="header1.xml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