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8698" w14:textId="77777777" w:rsidR="00B128DA" w:rsidRDefault="00B128DA" w:rsidP="00B128DA">
      <w:pPr>
        <w:spacing w:after="0" w:line="360" w:lineRule="auto"/>
        <w:jc w:val="center"/>
        <w:rPr>
          <w:rFonts w:ascii="Arial" w:hAnsi="Arial" w:cs="Arial"/>
          <w:b/>
          <w:bCs/>
        </w:rPr>
      </w:pPr>
      <w:bookmarkStart w:id="0" w:name="_Hlk224475208"/>
      <w:r w:rsidRPr="00E07765">
        <w:rPr>
          <w:rFonts w:ascii="Arial" w:hAnsi="Arial" w:cs="Arial"/>
          <w:b/>
          <w:bCs/>
        </w:rPr>
        <w:t>Capítulo 4 - Farmacocinética e Farmacodinâmica Aplicadas</w:t>
      </w:r>
    </w:p>
    <w:p w14:paraId="406F74D2" w14:textId="77777777" w:rsidR="00B128DA" w:rsidRPr="00E07765" w:rsidRDefault="00B128DA" w:rsidP="00B128DA">
      <w:pPr>
        <w:spacing w:after="0" w:line="360" w:lineRule="auto"/>
        <w:jc w:val="center"/>
        <w:rPr>
          <w:rFonts w:ascii="Arial" w:hAnsi="Arial" w:cs="Arial"/>
          <w:b/>
          <w:bCs/>
        </w:rPr>
      </w:pPr>
    </w:p>
    <w:p w14:paraId="0EE18305" w14:textId="77777777"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30</w:t>
      </w:r>
    </w:p>
    <w:p w14:paraId="7C6C0B6A" w14:textId="77777777" w:rsidR="00B128DA" w:rsidRDefault="00B128DA" w:rsidP="00B128DA">
      <w:pPr>
        <w:spacing w:after="0" w:line="360" w:lineRule="auto"/>
        <w:jc w:val="right"/>
        <w:rPr>
          <w:rFonts w:ascii="Arial" w:hAnsi="Arial" w:cs="Arial"/>
        </w:rPr>
      </w:pPr>
    </w:p>
    <w:p w14:paraId="57FECEFA" w14:textId="77777777" w:rsidR="00B128DA" w:rsidRPr="00E07765" w:rsidRDefault="00B128DA" w:rsidP="00B128DA">
      <w:pPr>
        <w:spacing w:after="0" w:line="360" w:lineRule="auto"/>
        <w:jc w:val="both"/>
        <w:rPr>
          <w:rFonts w:ascii="Arial" w:hAnsi="Arial" w:cs="Arial"/>
          <w:b/>
          <w:bCs/>
        </w:rPr>
      </w:pPr>
      <w:r w:rsidRPr="00E07765">
        <w:rPr>
          <w:rFonts w:ascii="Arial" w:hAnsi="Arial" w:cs="Arial"/>
          <w:b/>
          <w:bCs/>
        </w:rPr>
        <w:t>Exposição antimicrobiana e seleção de resistência</w:t>
      </w:r>
    </w:p>
    <w:p w14:paraId="65573532" w14:textId="77777777" w:rsidR="00B128DA" w:rsidRPr="00E07765" w:rsidRDefault="00B128DA" w:rsidP="00B128DA">
      <w:pPr>
        <w:spacing w:after="0" w:line="360" w:lineRule="auto"/>
        <w:ind w:firstLine="709"/>
        <w:jc w:val="both"/>
        <w:rPr>
          <w:rFonts w:ascii="Arial" w:hAnsi="Arial" w:cs="Arial"/>
        </w:rPr>
      </w:pPr>
    </w:p>
    <w:p w14:paraId="5DA099FA" w14:textId="0AA00954" w:rsidR="00B128DA" w:rsidRPr="00E07765" w:rsidRDefault="00B128DA" w:rsidP="00B128DA">
      <w:pPr>
        <w:spacing w:after="0" w:line="360" w:lineRule="auto"/>
        <w:ind w:firstLine="709"/>
        <w:jc w:val="both"/>
        <w:rPr>
          <w:rFonts w:ascii="Arial" w:hAnsi="Arial" w:cs="Arial"/>
        </w:rPr>
      </w:pPr>
      <w:r w:rsidRPr="00E07765">
        <w:rPr>
          <w:rFonts w:ascii="Arial" w:hAnsi="Arial" w:cs="Arial"/>
        </w:rPr>
        <w:t xml:space="preserve">A exposição a um antibacteriano não determina apenas a probabilidade de resposta clínica imediata. Ela também modifica o ambiente biológico no qual a população bacteriana se encontra. Cada administração do fármaco cria um cenário seletivo no foco infeccioso, no qual subpopulações bacterianas com diferentes níveis de suscetibilidade passam a competir sob novas condições de pressão farmacológica </w:t>
      </w:r>
      <w:sdt>
        <w:sdtPr>
          <w:rPr>
            <w:rFonts w:ascii="Arial" w:hAnsi="Arial" w:cs="Arial"/>
            <w:color w:val="000000"/>
          </w:rPr>
          <w:tag w:val="MENDELEY_CITATION_v3_eyJjaXRhdGlvbklEIjoiTUVOREVMRVlfQ0lUQVRJT05fODRmNDQ1NTctMTBlOC00MTlkLTk4ZDEtZWY3M2JkZDM2NDcyIiwicHJvcGVydGllcyI6eyJub3RlSW5kZXgiOjB9LCJpc0VkaXRlZCI6ZmFsc2UsIm1hbnVhbE92ZXJyaWRlIjp7ImlzTWFudWFsbHlPdmVycmlkZGVuIjpmYWxzZSwiY2l0ZXByb2NUZXh0IjoiKDEsM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
          <w:id w:val="432252385"/>
          <w:placeholder>
            <w:docPart w:val="B523889C8EB74F2A99F17BA10FAB80BD"/>
          </w:placeholder>
        </w:sdtPr>
        <w:sdtEndPr/>
        <w:sdtContent>
          <w:r w:rsidR="004528C9" w:rsidRPr="004528C9">
            <w:rPr>
              <w:rFonts w:ascii="Arial" w:hAnsi="Arial" w:cs="Arial"/>
              <w:color w:val="000000"/>
            </w:rPr>
            <w:t>(1,2)</w:t>
          </w:r>
        </w:sdtContent>
      </w:sdt>
      <w:r>
        <w:rPr>
          <w:rFonts w:ascii="Arial" w:hAnsi="Arial" w:cs="Arial"/>
          <w:color w:val="000000"/>
        </w:rPr>
        <w:t>.</w:t>
      </w:r>
    </w:p>
    <w:p w14:paraId="753FEB5A" w14:textId="6ED95FA6" w:rsidR="00B128DA" w:rsidRPr="00E07765" w:rsidRDefault="00B128DA" w:rsidP="00B128DA">
      <w:pPr>
        <w:spacing w:after="0" w:line="360" w:lineRule="auto"/>
        <w:ind w:firstLine="709"/>
        <w:jc w:val="both"/>
        <w:rPr>
          <w:rFonts w:ascii="Arial" w:hAnsi="Arial" w:cs="Arial"/>
        </w:rPr>
      </w:pPr>
      <w:r w:rsidRPr="00E07765">
        <w:rPr>
          <w:rFonts w:ascii="Arial" w:hAnsi="Arial" w:cs="Arial"/>
        </w:rPr>
        <w:t xml:space="preserve">Mesmo em infecções causadas por microrganismos classificados como suscetíveis, a população bacteriana não é homogênea. Pequenas variações genéticas ou fenotípicas podem conferir vantagem adaptativa discreta quando a concentração do antibacteriano se aproxima do limite inferior necessário para inibição bacteriana. Nesse contexto, o efeito do antibacteriano não se restringe à erradicação do patógeno, mas também altera a composição relativa dessas subpopulações ao longo do tempo </w:t>
      </w:r>
      <w:sdt>
        <w:sdtPr>
          <w:rPr>
            <w:rFonts w:ascii="Arial" w:hAnsi="Arial" w:cs="Arial"/>
            <w:color w:val="000000"/>
          </w:rPr>
          <w:tag w:val="MENDELEY_CITATION_v3_eyJjaXRhdGlvbklEIjoiTUVOREVMRVlfQ0lUQVRJT05fY2YwM2JmZjctNzNiOS00ZTAxLTgxMTItMDY3NWIzMzk1MzU3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
          <w:id w:val="2002157430"/>
          <w:placeholder>
            <w:docPart w:val="B523889C8EB74F2A99F17BA10FAB80BD"/>
          </w:placeholder>
        </w:sdtPr>
        <w:sdtEndPr/>
        <w:sdtContent>
          <w:r w:rsidR="004528C9" w:rsidRPr="004528C9">
            <w:rPr>
              <w:rFonts w:ascii="Arial" w:hAnsi="Arial" w:cs="Arial"/>
              <w:color w:val="000000"/>
            </w:rPr>
            <w:t>(3)</w:t>
          </w:r>
        </w:sdtContent>
      </w:sdt>
      <w:r>
        <w:rPr>
          <w:rFonts w:ascii="Arial" w:hAnsi="Arial" w:cs="Arial"/>
        </w:rPr>
        <w:t>.</w:t>
      </w:r>
    </w:p>
    <w:p w14:paraId="3034CC3D" w14:textId="77777777" w:rsidR="00B128DA" w:rsidRPr="00E07765" w:rsidRDefault="00B128DA" w:rsidP="00B128DA">
      <w:pPr>
        <w:spacing w:after="0" w:line="360" w:lineRule="auto"/>
        <w:ind w:firstLine="709"/>
        <w:jc w:val="both"/>
        <w:rPr>
          <w:rFonts w:ascii="Arial" w:hAnsi="Arial" w:cs="Arial"/>
        </w:rPr>
      </w:pPr>
      <w:r w:rsidRPr="00E07765">
        <w:rPr>
          <w:rFonts w:ascii="Arial" w:hAnsi="Arial" w:cs="Arial"/>
        </w:rPr>
        <w:t>Quando a exposição alcança níveis consistentemente superiores aos necessários para inibição e morte bacteriana, a probabilidade de eliminação dessas variantes é maior. Entretanto, quando a curva concentração-tempo permanece próxima à concentração inibitória mínima, pode ocorrer pressão seletiva sem erradicação completa da população bacteriana.</w:t>
      </w:r>
    </w:p>
    <w:p w14:paraId="748C1367" w14:textId="7D1F2603" w:rsidR="00B128DA" w:rsidRPr="00E07765" w:rsidRDefault="00B128DA" w:rsidP="00B128DA">
      <w:pPr>
        <w:spacing w:after="0" w:line="360" w:lineRule="auto"/>
        <w:ind w:firstLine="709"/>
        <w:jc w:val="both"/>
        <w:rPr>
          <w:rFonts w:ascii="Arial" w:hAnsi="Arial" w:cs="Arial"/>
        </w:rPr>
      </w:pPr>
      <w:r w:rsidRPr="0081579E">
        <w:rPr>
          <w:rFonts w:ascii="Arial" w:hAnsi="Arial" w:cs="Arial"/>
        </w:rPr>
        <w:t>Essa faixa intermediária de exposição é frequentemente descrita como janela de seleção mutante, um intervalo</w:t>
      </w:r>
      <w:r w:rsidRPr="00E07765">
        <w:rPr>
          <w:rFonts w:ascii="Arial" w:hAnsi="Arial" w:cs="Arial"/>
        </w:rPr>
        <w:t xml:space="preserve"> de concentrações no qual bactérias mais suscetíveis são inibidas, enquanto variantes com menor suscetibilidade relativa permanecem viáveis e aumentam sua frequência na população </w:t>
      </w:r>
      <w:sdt>
        <w:sdtPr>
          <w:rPr>
            <w:rFonts w:ascii="Arial" w:hAnsi="Arial" w:cs="Arial"/>
            <w:color w:val="000000"/>
          </w:rPr>
          <w:tag w:val="MENDELEY_CITATION_v3_eyJjaXRhdGlvbklEIjoiTUVOREVMRVlfQ0lUQVRJT05fMzkwNGI5NDAtM2M4NS00ZDk4LTlhNWItMzZmNTJmMjlkZjY5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
          <w:id w:val="-315038731"/>
          <w:placeholder>
            <w:docPart w:val="B523889C8EB74F2A99F17BA10FAB80BD"/>
          </w:placeholder>
        </w:sdtPr>
        <w:sdtEndPr/>
        <w:sdtContent>
          <w:r w:rsidR="004528C9" w:rsidRPr="004528C9">
            <w:rPr>
              <w:rFonts w:ascii="Arial" w:hAnsi="Arial" w:cs="Arial"/>
              <w:color w:val="000000"/>
            </w:rPr>
            <w:t>(4,5)</w:t>
          </w:r>
        </w:sdtContent>
      </w:sdt>
      <w:r w:rsidRPr="00E07765">
        <w:rPr>
          <w:rFonts w:ascii="Arial" w:hAnsi="Arial" w:cs="Arial"/>
        </w:rPr>
        <w:t>.</w:t>
      </w:r>
    </w:p>
    <w:p w14:paraId="3CD14F0E" w14:textId="77777777" w:rsidR="00B128DA" w:rsidRPr="00E07765" w:rsidRDefault="00B128DA" w:rsidP="00B128DA">
      <w:pPr>
        <w:spacing w:after="0" w:line="360" w:lineRule="auto"/>
        <w:ind w:firstLine="709"/>
        <w:jc w:val="both"/>
        <w:rPr>
          <w:rFonts w:ascii="Arial" w:hAnsi="Arial" w:cs="Arial"/>
        </w:rPr>
      </w:pPr>
      <w:r w:rsidRPr="00E07765">
        <w:rPr>
          <w:rFonts w:ascii="Arial" w:hAnsi="Arial" w:cs="Arial"/>
        </w:rPr>
        <w:t>Na prática clínica, esse conceito ajuda a compreender por que esquemas posológicos inadequados, intervalos entre doses excessivamente prolongados ou interrupção precoce do tratamento podem favorecer a emergência de subpopulações menos suscetíveis.</w:t>
      </w:r>
    </w:p>
    <w:p w14:paraId="44D290A5" w14:textId="2786F146" w:rsidR="00B128DA" w:rsidRPr="00E07765" w:rsidRDefault="00B128DA" w:rsidP="00B128DA">
      <w:pPr>
        <w:spacing w:after="0" w:line="360" w:lineRule="auto"/>
        <w:ind w:firstLine="709"/>
        <w:jc w:val="both"/>
        <w:rPr>
          <w:rFonts w:ascii="Arial" w:hAnsi="Arial" w:cs="Arial"/>
        </w:rPr>
      </w:pPr>
      <w:r w:rsidRPr="00E07765">
        <w:rPr>
          <w:rFonts w:ascii="Arial" w:hAnsi="Arial" w:cs="Arial"/>
        </w:rPr>
        <w:t xml:space="preserve">A permanência prolongada nessa zona intermediária pode promover deslocamento gradual da distribuição de suscetibilidade da população bacteriana, resultando em elevação progressiva da concentração inibitória mínima observada ao longo de exposições repetidas ao antibacteriano </w:t>
      </w:r>
      <w:sdt>
        <w:sdtPr>
          <w:rPr>
            <w:rFonts w:ascii="Arial" w:hAnsi="Arial" w:cs="Arial"/>
            <w:color w:val="000000"/>
          </w:rPr>
          <w:tag w:val="MENDELEY_CITATION_v3_eyJjaXRhdGlvbklEIjoiTUVOREVMRVlfQ0lUQVRJT05fYjJmYzAyOTctYmVlZS00MDFlLTkwNTEtZmQyZTM1YTkyYTIzIiwicHJvcGVydGllcyI6eyJub3RlSW5kZXgiOjB9LCJpc0VkaXRlZCI6ZmFsc2UsIm1hbnVhbE92ZXJyaWRlIjp7ImlzTWFudWFsbHlPdmVycmlkZGVuIjpmYWxzZSwiY2l0ZXByb2NUZXh0IjoiKDIpIiwibWFudWFsT3ZlcnJpZGVUZXh0IjoiIn0sImNpdGF0aW9uSXRlbXMiOlt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
          <w:id w:val="1295022275"/>
          <w:placeholder>
            <w:docPart w:val="B523889C8EB74F2A99F17BA10FAB80BD"/>
          </w:placeholder>
        </w:sdtPr>
        <w:sdtEndPr/>
        <w:sdtContent>
          <w:r w:rsidR="004528C9" w:rsidRPr="004528C9">
            <w:rPr>
              <w:rFonts w:ascii="Arial" w:hAnsi="Arial" w:cs="Arial"/>
              <w:color w:val="000000"/>
            </w:rPr>
            <w:t>(2)</w:t>
          </w:r>
        </w:sdtContent>
      </w:sdt>
      <w:r>
        <w:rPr>
          <w:rFonts w:ascii="Arial" w:hAnsi="Arial" w:cs="Arial"/>
          <w:color w:val="000000"/>
        </w:rPr>
        <w:t>.</w:t>
      </w:r>
    </w:p>
    <w:p w14:paraId="5D03EB7F" w14:textId="4AB9E386" w:rsidR="00B128DA" w:rsidRPr="00E07765" w:rsidRDefault="00B128DA" w:rsidP="00B128DA">
      <w:pPr>
        <w:spacing w:after="0" w:line="360" w:lineRule="auto"/>
        <w:ind w:firstLine="709"/>
        <w:jc w:val="both"/>
        <w:rPr>
          <w:rFonts w:ascii="Arial" w:hAnsi="Arial" w:cs="Arial"/>
        </w:rPr>
      </w:pPr>
      <w:r w:rsidRPr="00E07765">
        <w:rPr>
          <w:rFonts w:ascii="Arial" w:hAnsi="Arial" w:cs="Arial"/>
        </w:rPr>
        <w:t>A probabilidade de permanência na janela de seleção depende da relação entre a farmacocinética do fármaco e o índice farmacodinâmico relevante para cada classe antimicrobiana. Parâmetros como %</w:t>
      </w:r>
      <w:proofErr w:type="spellStart"/>
      <w:r w:rsidRPr="00E07765">
        <w:rPr>
          <w:rFonts w:ascii="Arial" w:hAnsi="Arial" w:cs="Arial"/>
        </w:rPr>
        <w:t>fT</w:t>
      </w:r>
      <w:proofErr w:type="spellEnd"/>
      <w:r w:rsidRPr="00E07765">
        <w:rPr>
          <w:rFonts w:ascii="Arial" w:hAnsi="Arial" w:cs="Arial"/>
        </w:rPr>
        <w:t xml:space="preserve">&gt;MIC, </w:t>
      </w:r>
      <w:proofErr w:type="spellStart"/>
      <w:r w:rsidRPr="00E07765">
        <w:rPr>
          <w:rFonts w:ascii="Arial" w:hAnsi="Arial" w:cs="Arial"/>
        </w:rPr>
        <w:t>Cmax</w:t>
      </w:r>
      <w:proofErr w:type="spellEnd"/>
      <w:r w:rsidRPr="00E07765">
        <w:rPr>
          <w:rFonts w:ascii="Arial" w:hAnsi="Arial" w:cs="Arial"/>
        </w:rPr>
        <w:t xml:space="preserve">/MIC ou AUC/MIC descrevem essa </w:t>
      </w:r>
      <w:r w:rsidRPr="00E07765">
        <w:rPr>
          <w:rFonts w:ascii="Arial" w:hAnsi="Arial" w:cs="Arial"/>
        </w:rPr>
        <w:lastRenderedPageBreak/>
        <w:t xml:space="preserve">relação e indicam se a exposição alcançada é suficiente para reduzir de maneira consistente a população bacteriana ou se parte dela permanecerá sob pressão seletiva incompleta </w:t>
      </w:r>
      <w:sdt>
        <w:sdtPr>
          <w:rPr>
            <w:rFonts w:ascii="Arial" w:hAnsi="Arial" w:cs="Arial"/>
            <w:color w:val="000000"/>
          </w:rPr>
          <w:tag w:val="MENDELEY_CITATION_v3_eyJjaXRhdGlvbklEIjoiTUVOREVMRVlfQ0lUQVRJT05fY2YzNzBkOTktYzFjMy00M2EzLWIyMmMtNDU0NmRjY2I1OTNi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537392598"/>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7A6E5401" w14:textId="05B38907" w:rsidR="00B128DA" w:rsidRDefault="00B128DA" w:rsidP="00B128DA">
      <w:pPr>
        <w:spacing w:after="0" w:line="360" w:lineRule="auto"/>
        <w:ind w:firstLine="709"/>
        <w:jc w:val="both"/>
        <w:rPr>
          <w:rFonts w:ascii="Arial" w:hAnsi="Arial" w:cs="Arial"/>
        </w:rPr>
      </w:pPr>
      <w:r w:rsidRPr="00E07765">
        <w:rPr>
          <w:rFonts w:ascii="Arial" w:hAnsi="Arial" w:cs="Arial"/>
        </w:rPr>
        <w:t xml:space="preserve">Condições clínicas como alta carga bacteriana, penetração heterogênea em determinados compartimentos, alterações na depuração renal ou intervalos posológicos inadequados podem manter a exposição próxima ao limiar inferior eficaz, permitindo a persistência de subpopulações menos suscetíveis no foco infeccioso </w:t>
      </w:r>
      <w:sdt>
        <w:sdtPr>
          <w:rPr>
            <w:rFonts w:ascii="Arial" w:hAnsi="Arial" w:cs="Arial"/>
            <w:color w:val="000000"/>
          </w:rPr>
          <w:tag w:val="MENDELEY_CITATION_v3_eyJjaXRhdGlvbklEIjoiTUVOREVMRVlfQ0lUQVRJT05fNDNlZmQwNmQtZTc3Ni00YjI4LWJjMmEtYmVlNjM1MjIyMGM1IiwicHJvcGVydGllcyI6eyJub3RlSW5kZXgiOjB9LCJpc0VkaXRlZCI6ZmFsc2UsIm1hbnVhbE92ZXJyaWRlIjp7ImlzTWFudWFsbHlPdmVycmlkZGVuIjpmYWxzZSwiY2l0ZXByb2NUZXh0IjoiKDY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1dfQ=="/>
          <w:id w:val="21137161"/>
          <w:placeholder>
            <w:docPart w:val="B523889C8EB74F2A99F17BA10FAB80BD"/>
          </w:placeholder>
        </w:sdtPr>
        <w:sdtEndPr/>
        <w:sdtContent>
          <w:r w:rsidR="004528C9" w:rsidRPr="004528C9">
            <w:rPr>
              <w:rFonts w:ascii="Arial" w:hAnsi="Arial" w:cs="Arial"/>
              <w:color w:val="000000"/>
            </w:rPr>
            <w:t>(6)</w:t>
          </w:r>
        </w:sdtContent>
      </w:sdt>
      <w:r>
        <w:rPr>
          <w:rFonts w:ascii="Arial" w:hAnsi="Arial" w:cs="Arial"/>
          <w:color w:val="000000"/>
        </w:rPr>
        <w:t>.</w:t>
      </w:r>
    </w:p>
    <w:p w14:paraId="7599A7A4" w14:textId="77777777" w:rsidR="00B128DA" w:rsidRDefault="00B128DA" w:rsidP="00B128DA">
      <w:pPr>
        <w:spacing w:after="0" w:line="360" w:lineRule="auto"/>
        <w:ind w:firstLine="709"/>
        <w:jc w:val="both"/>
        <w:rPr>
          <w:rFonts w:ascii="Arial" w:hAnsi="Arial" w:cs="Arial"/>
        </w:rPr>
      </w:pPr>
    </w:p>
    <w:p w14:paraId="22C13365" w14:textId="77777777"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31</w:t>
      </w:r>
    </w:p>
    <w:p w14:paraId="68DD640F" w14:textId="77777777" w:rsidR="00B128DA" w:rsidRDefault="00B128DA" w:rsidP="00B128DA">
      <w:pPr>
        <w:spacing w:after="0" w:line="360" w:lineRule="auto"/>
        <w:jc w:val="right"/>
        <w:rPr>
          <w:rFonts w:ascii="Arial" w:hAnsi="Arial" w:cs="Arial"/>
        </w:rPr>
      </w:pPr>
    </w:p>
    <w:p w14:paraId="10548066" w14:textId="77777777" w:rsidR="00B128DA" w:rsidRPr="00E9430D" w:rsidRDefault="00B128DA" w:rsidP="00B128DA">
      <w:pPr>
        <w:spacing w:after="0" w:line="360" w:lineRule="auto"/>
        <w:jc w:val="both"/>
        <w:rPr>
          <w:rFonts w:ascii="Arial" w:hAnsi="Arial" w:cs="Arial"/>
          <w:b/>
          <w:bCs/>
        </w:rPr>
      </w:pPr>
      <w:r w:rsidRPr="00E9430D">
        <w:rPr>
          <w:rFonts w:ascii="Arial" w:hAnsi="Arial" w:cs="Arial"/>
          <w:b/>
          <w:bCs/>
        </w:rPr>
        <w:t>Concentração inibitória mínima (CIM)</w:t>
      </w:r>
    </w:p>
    <w:p w14:paraId="14CE8094" w14:textId="77777777" w:rsidR="00B128DA" w:rsidRPr="00E9430D" w:rsidRDefault="00B128DA" w:rsidP="00B128DA">
      <w:pPr>
        <w:spacing w:after="0" w:line="360" w:lineRule="auto"/>
        <w:ind w:firstLine="709"/>
        <w:jc w:val="both"/>
        <w:rPr>
          <w:rFonts w:ascii="Arial" w:hAnsi="Arial" w:cs="Arial"/>
          <w:b/>
          <w:bCs/>
        </w:rPr>
      </w:pPr>
    </w:p>
    <w:p w14:paraId="51277818" w14:textId="5D252CA9" w:rsidR="00B128DA" w:rsidRPr="005D658B" w:rsidRDefault="00B128DA" w:rsidP="00B128DA">
      <w:pPr>
        <w:spacing w:after="0" w:line="360" w:lineRule="auto"/>
        <w:ind w:firstLine="709"/>
        <w:jc w:val="both"/>
        <w:rPr>
          <w:rFonts w:ascii="Arial" w:hAnsi="Arial" w:cs="Arial"/>
          <w:b/>
          <w:bCs/>
        </w:rPr>
      </w:pPr>
      <w:r w:rsidRPr="00E9430D">
        <w:rPr>
          <w:rFonts w:ascii="Arial" w:hAnsi="Arial" w:cs="Arial"/>
        </w:rPr>
        <w:t xml:space="preserve">A concentração inibitória mínima (CIM) corresponde à menor concentração de um antibacteriano capaz de inibir o crescimento visível de determinado microrganismo em condições laboratoriais padronizadas. Trata-se de um parâmetro quantitativo obtido in vitro, que expressa </w:t>
      </w:r>
      <w:r w:rsidRPr="005D658B">
        <w:rPr>
          <w:rFonts w:ascii="Arial" w:hAnsi="Arial" w:cs="Arial"/>
        </w:rPr>
        <w:t xml:space="preserve">a suscetibilidade microbiológica da bactéria frente ao fármaco testado </w:t>
      </w:r>
      <w:sdt>
        <w:sdtPr>
          <w:rPr>
            <w:rFonts w:ascii="Arial" w:hAnsi="Arial" w:cs="Arial"/>
            <w:color w:val="000000"/>
          </w:rPr>
          <w:tag w:val="MENDELEY_CITATION_v3_eyJjaXRhdGlvbklEIjoiTUVOREVMRVlfQ0lUQVRJT05fN2U1NjlkYTItOGRmYy00Y2VkLWE5ZTMtNjE4NzhhMTI4NTU3IiwicHJvcGVydGllcyI6eyJub3RlSW5kZXgiOjB9LCJpc0VkaXRlZCI6ZmFsc2UsIm1hbnVhbE92ZXJyaWRlIjp7ImlzTWFudWFsbHlPdmVycmlkZGVuIjpmYWxzZSwiY2l0ZXByb2NUZXh0IjoiKDc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1023824170"/>
          <w:placeholder>
            <w:docPart w:val="B523889C8EB74F2A99F17BA10FAB80BD"/>
          </w:placeholder>
        </w:sdtPr>
        <w:sdtEndPr/>
        <w:sdtContent>
          <w:r w:rsidR="004528C9" w:rsidRPr="004528C9">
            <w:rPr>
              <w:rFonts w:ascii="Arial" w:hAnsi="Arial" w:cs="Arial"/>
              <w:color w:val="000000"/>
            </w:rPr>
            <w:t>(7)</w:t>
          </w:r>
        </w:sdtContent>
      </w:sdt>
      <w:r>
        <w:rPr>
          <w:rFonts w:ascii="Arial" w:hAnsi="Arial" w:cs="Arial"/>
          <w:color w:val="000000"/>
        </w:rPr>
        <w:t>.</w:t>
      </w:r>
    </w:p>
    <w:p w14:paraId="723711C0" w14:textId="3D22F8F6" w:rsidR="00B128DA" w:rsidRPr="00E9430D" w:rsidRDefault="00B128DA" w:rsidP="00B128DA">
      <w:pPr>
        <w:spacing w:after="0" w:line="360" w:lineRule="auto"/>
        <w:ind w:firstLine="709"/>
        <w:jc w:val="both"/>
        <w:rPr>
          <w:rFonts w:ascii="Arial" w:hAnsi="Arial" w:cs="Arial"/>
        </w:rPr>
      </w:pPr>
      <w:r w:rsidRPr="00E9430D">
        <w:rPr>
          <w:rFonts w:ascii="Arial" w:hAnsi="Arial" w:cs="Arial"/>
        </w:rPr>
        <w:t>A determinação da CIM ocorre em ambiente controlado, com meio de cultura definido, inóculo padronizado, temperatura e tempo de incubação estabelecidos. Essas condições eliminam variáveis fisiológicas presentes no organismo do paciente, como perfusão tecidual, resposta inflamatória, ligação a proteínas plasmáticas e alterações hemodinâmicas. Dessa forma, a CIM descreve a interação entre o antibacteriano e o microrganismo em um cenário experimental padronizado</w:t>
      </w:r>
      <w:r>
        <w:rPr>
          <w:rFonts w:ascii="Arial" w:hAnsi="Arial" w:cs="Arial"/>
        </w:rPr>
        <w:t xml:space="preserve"> </w:t>
      </w:r>
      <w:sdt>
        <w:sdtPr>
          <w:rPr>
            <w:rFonts w:ascii="Arial" w:hAnsi="Arial" w:cs="Arial"/>
            <w:color w:val="000000"/>
          </w:rPr>
          <w:tag w:val="MENDELEY_CITATION_v3_eyJjaXRhdGlvbklEIjoiTUVOREVMRVlfQ0lUQVRJT05fNTBjN2U1OTctYWI5Mi00MWRiLWE0OTQtYzMzYjU1NjA5NTNkIiwicHJvcGVydGllcyI6eyJub3RlSW5kZXgiOjB9LCJpc0VkaXRlZCI6ZmFsc2UsIm1hbnVhbE92ZXJyaWRlIjp7ImlzTWFudWFsbHlPdmVycmlkZGVuIjpmYWxzZSwiY2l0ZXByb2NUZXh0IjoiKDc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
          <w:id w:val="1811125561"/>
          <w:placeholder>
            <w:docPart w:val="B523889C8EB74F2A99F17BA10FAB80BD"/>
          </w:placeholder>
        </w:sdtPr>
        <w:sdtEndPr/>
        <w:sdtContent>
          <w:r w:rsidR="004528C9" w:rsidRPr="004528C9">
            <w:rPr>
              <w:rFonts w:ascii="Arial" w:hAnsi="Arial" w:cs="Arial"/>
              <w:color w:val="000000"/>
            </w:rPr>
            <w:t>(7)</w:t>
          </w:r>
        </w:sdtContent>
      </w:sdt>
      <w:r>
        <w:rPr>
          <w:rFonts w:ascii="Arial" w:hAnsi="Arial" w:cs="Arial"/>
          <w:color w:val="000000"/>
        </w:rPr>
        <w:t>.</w:t>
      </w:r>
    </w:p>
    <w:p w14:paraId="45B0D535" w14:textId="17FC894C" w:rsidR="00B128DA" w:rsidRPr="00E9430D" w:rsidRDefault="00B128DA" w:rsidP="00B128DA">
      <w:pPr>
        <w:spacing w:after="0" w:line="360" w:lineRule="auto"/>
        <w:ind w:firstLine="709"/>
        <w:jc w:val="both"/>
        <w:rPr>
          <w:rFonts w:ascii="Arial" w:hAnsi="Arial" w:cs="Arial"/>
        </w:rPr>
      </w:pPr>
      <w:r w:rsidRPr="00E9430D">
        <w:rPr>
          <w:rFonts w:ascii="Arial" w:hAnsi="Arial" w:cs="Arial"/>
        </w:rPr>
        <w:t xml:space="preserve">O significado clínico da CIM emerge quando esse valor é relacionado à exposição efetivamente alcançada no organismo. O valor numérico isolado não determina o sucesso terapêutico; o que importa é a relação entre a concentração atingida no foco infeccioso e a concentração necessária para inibir o microrganismo </w:t>
      </w:r>
      <w:sdt>
        <w:sdtPr>
          <w:rPr>
            <w:rFonts w:ascii="Arial" w:hAnsi="Arial" w:cs="Arial"/>
            <w:color w:val="000000"/>
          </w:rPr>
          <w:tag w:val="MENDELEY_CITATION_v3_eyJjaXRhdGlvbklEIjoiTUVOREVMRVlfQ0lUQVRJT05fM2E1YTE1MDgtZTFhZC00OWFiLThkMzItM2ExZWFlYWRiYjVmIiwicHJvcGVydGllcyI6eyJub3RlSW5kZXgiOjB9LCJpc0VkaXRlZCI6ZmFsc2UsIm1hbnVhbE92ZXJyaWRlIjp7ImlzTWFudWFsbHlPdmVycmlkZGVuIjpmYWxzZSwiY2l0ZXByb2NUZXh0IjoiKDgpIiwibWFudWFsT3ZlcnJpZGVUZXh0IjoiIn0sImNpdGF0aW9uSXRlbXMiOlt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IsImNvbnRhaW5lci10aXRsZS1zaG9ydCI6IiJ9LCJpc1RlbXBvcmFyeSI6ZmFsc2V9XX0="/>
          <w:id w:val="1497683479"/>
          <w:placeholder>
            <w:docPart w:val="B523889C8EB74F2A99F17BA10FAB80BD"/>
          </w:placeholder>
        </w:sdtPr>
        <w:sdtEndPr/>
        <w:sdtContent>
          <w:r w:rsidR="004528C9" w:rsidRPr="004528C9">
            <w:rPr>
              <w:rFonts w:ascii="Arial" w:hAnsi="Arial" w:cs="Arial"/>
              <w:color w:val="000000"/>
            </w:rPr>
            <w:t>(8)</w:t>
          </w:r>
        </w:sdtContent>
      </w:sdt>
      <w:r w:rsidRPr="00E9430D">
        <w:rPr>
          <w:rFonts w:ascii="Arial" w:hAnsi="Arial" w:cs="Arial"/>
        </w:rPr>
        <w:t>.</w:t>
      </w:r>
    </w:p>
    <w:p w14:paraId="2BF01FCE" w14:textId="77777777" w:rsidR="00B128DA" w:rsidRPr="00E9430D" w:rsidRDefault="00B128DA" w:rsidP="00B128DA">
      <w:pPr>
        <w:spacing w:after="0" w:line="360" w:lineRule="auto"/>
        <w:ind w:firstLine="709"/>
        <w:jc w:val="both"/>
        <w:rPr>
          <w:rFonts w:ascii="Arial" w:hAnsi="Arial" w:cs="Arial"/>
        </w:rPr>
      </w:pPr>
      <w:r w:rsidRPr="00E9430D">
        <w:rPr>
          <w:rFonts w:ascii="Arial" w:hAnsi="Arial" w:cs="Arial"/>
        </w:rPr>
        <w:t>Após a administração de uma dose, a concentração plasmática do antibacteriano eleva-se até atingir um pico e, em seguida, decai progressivamente ao longo do tempo. Durante parte do intervalo entre doses, essa concentração pode permanecer acima da CIM; em outros momentos, pode cair abaixo desse valor. A posição da curva concentração-tempo em relação à CIM influencia diretamente a atividade antimicrobiana.</w:t>
      </w:r>
    </w:p>
    <w:p w14:paraId="3600FB9A" w14:textId="5162AAB9" w:rsidR="00B128DA" w:rsidRPr="00E9430D" w:rsidRDefault="00B128DA" w:rsidP="00B128DA">
      <w:pPr>
        <w:spacing w:after="0" w:line="360" w:lineRule="auto"/>
        <w:ind w:firstLine="709"/>
        <w:jc w:val="both"/>
        <w:rPr>
          <w:rFonts w:ascii="Arial" w:hAnsi="Arial" w:cs="Arial"/>
        </w:rPr>
      </w:pPr>
      <w:r w:rsidRPr="00E9430D">
        <w:rPr>
          <w:rFonts w:ascii="Arial" w:hAnsi="Arial" w:cs="Arial"/>
        </w:rPr>
        <w:t xml:space="preserve">Na prática clínica, a interpretação da CIM não se baseia apenas no valor absoluto obtido em laboratório. Esse resultado é comparado a pontos de corte clínicos (breakpoints) estabelecidos por sistemas padronizados de interpretação. Esses critérios </w:t>
      </w:r>
      <w:r w:rsidRPr="00E9430D">
        <w:rPr>
          <w:rFonts w:ascii="Arial" w:hAnsi="Arial" w:cs="Arial"/>
        </w:rPr>
        <w:lastRenderedPageBreak/>
        <w:t xml:space="preserve">consideram distribuições populacionais de suscetibilidade, dados farmacocinéticos, parâmetros farmacodinâmicos e evidências clínicas </w:t>
      </w:r>
      <w:sdt>
        <w:sdtPr>
          <w:rPr>
            <w:rFonts w:ascii="Arial" w:hAnsi="Arial" w:cs="Arial"/>
            <w:color w:val="000000"/>
          </w:rPr>
          <w:tag w:val="MENDELEY_CITATION_v3_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"/>
          <w:id w:val="-32513412"/>
          <w:placeholder>
            <w:docPart w:val="B523889C8EB74F2A99F17BA10FAB80BD"/>
          </w:placeholder>
        </w:sdtPr>
        <w:sdtEndPr/>
        <w:sdtContent>
          <w:r w:rsidR="004528C9" w:rsidRPr="004528C9">
            <w:rPr>
              <w:rFonts w:ascii="Arial" w:hAnsi="Arial" w:cs="Arial"/>
              <w:color w:val="000000"/>
            </w:rPr>
            <w:t>(9)</w:t>
          </w:r>
        </w:sdtContent>
      </w:sdt>
      <w:r>
        <w:rPr>
          <w:rFonts w:ascii="Arial" w:hAnsi="Arial" w:cs="Arial"/>
          <w:color w:val="000000"/>
        </w:rPr>
        <w:t>.</w:t>
      </w:r>
    </w:p>
    <w:p w14:paraId="5EC10DA6" w14:textId="77777777" w:rsidR="00B128DA" w:rsidRPr="00E9430D" w:rsidRDefault="00B128DA" w:rsidP="00B128DA">
      <w:pPr>
        <w:spacing w:after="0" w:line="360" w:lineRule="auto"/>
        <w:ind w:firstLine="709"/>
        <w:jc w:val="both"/>
        <w:rPr>
          <w:rFonts w:ascii="Arial" w:hAnsi="Arial" w:cs="Arial"/>
        </w:rPr>
      </w:pPr>
      <w:r w:rsidRPr="00E9430D">
        <w:rPr>
          <w:rFonts w:ascii="Arial" w:hAnsi="Arial" w:cs="Arial"/>
        </w:rPr>
        <w:t>Com base nesses pontos de corte, os microrganismos são classificados em categorias interpretativas que expressam a probabilidade de que esquemas usuais de dose atinjam exposições compatíveis com eficácia terapêutica.</w:t>
      </w:r>
    </w:p>
    <w:p w14:paraId="2F3576D1" w14:textId="16560892" w:rsidR="00B128DA" w:rsidRPr="00E9430D" w:rsidRDefault="00B128DA" w:rsidP="00B128DA">
      <w:pPr>
        <w:spacing w:after="0" w:line="360" w:lineRule="auto"/>
        <w:ind w:firstLine="709"/>
        <w:jc w:val="both"/>
        <w:rPr>
          <w:rFonts w:ascii="Arial" w:hAnsi="Arial" w:cs="Arial"/>
        </w:rPr>
      </w:pPr>
      <w:r w:rsidRPr="00E9430D">
        <w:rPr>
          <w:rFonts w:ascii="Arial" w:hAnsi="Arial" w:cs="Arial"/>
        </w:rPr>
        <w:t>Mesmo dentro da categoria suscetível, podem existir diferenças relevantes. Um microrganismo com CIM próxima ao ponto de corte apresenta menor margem farmacodinâmica do que outro com valor substancialmente inferior. Em pacientes com variabilidade farmacocinética significativa</w:t>
      </w:r>
      <w:r>
        <w:rPr>
          <w:rFonts w:ascii="Arial" w:hAnsi="Arial" w:cs="Arial"/>
        </w:rPr>
        <w:t xml:space="preserve">, </w:t>
      </w:r>
      <w:r w:rsidRPr="00E9430D">
        <w:rPr>
          <w:rFonts w:ascii="Arial" w:hAnsi="Arial" w:cs="Arial"/>
        </w:rPr>
        <w:t>como aumento do volume de distribuição, depuração acelerada ou penetração tecidual limitada</w:t>
      </w:r>
      <w:r>
        <w:rPr>
          <w:rFonts w:ascii="Arial" w:hAnsi="Arial" w:cs="Arial"/>
        </w:rPr>
        <w:t xml:space="preserve">, </w:t>
      </w:r>
      <w:r w:rsidRPr="00E9430D">
        <w:rPr>
          <w:rFonts w:ascii="Arial" w:hAnsi="Arial" w:cs="Arial"/>
        </w:rPr>
        <w:t xml:space="preserve">essa diferença pode alterar a probabilidade de atingir os índices farmacodinâmicos desejados </w:t>
      </w:r>
      <w:sdt>
        <w:sdtPr>
          <w:rPr>
            <w:rFonts w:ascii="Arial" w:hAnsi="Arial" w:cs="Arial"/>
            <w:color w:val="000000"/>
          </w:rPr>
          <w:tag w:val="MENDELEY_CITATION_v3_eyJjaXRhdGlvbklEIjoiTUVOREVMRVlfQ0lUQVRJT05fMzg0YzE1ZmEtOWIxYi00YmU0LWExYjYtZGM1MjIxMTQ5NGRjIiwicHJvcGVydGllcyI6eyJub3RlSW5kZXgiOjB9LCJpc0VkaXRlZCI6ZmFsc2UsIm1hbnVhbE92ZXJyaWRlIjp7ImlzTWFudWFsbHlPdmVycmlkZGVuIjpmYWxzZSwiY2l0ZXByb2NUZXh0IjoiKDEsOS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"/>
          <w:id w:val="-324290844"/>
          <w:placeholder>
            <w:docPart w:val="B523889C8EB74F2A99F17BA10FAB80BD"/>
          </w:placeholder>
        </w:sdtPr>
        <w:sdtEndPr/>
        <w:sdtContent>
          <w:r w:rsidR="004528C9" w:rsidRPr="004528C9">
            <w:rPr>
              <w:rFonts w:ascii="Arial" w:hAnsi="Arial" w:cs="Arial"/>
              <w:color w:val="000000"/>
            </w:rPr>
            <w:t>(1,9)</w:t>
          </w:r>
        </w:sdtContent>
      </w:sdt>
      <w:r>
        <w:rPr>
          <w:rFonts w:ascii="Arial" w:hAnsi="Arial" w:cs="Arial"/>
        </w:rPr>
        <w:t>.</w:t>
      </w:r>
    </w:p>
    <w:p w14:paraId="311BFDC7" w14:textId="77777777" w:rsidR="00B128DA" w:rsidRPr="00E9430D" w:rsidRDefault="00B128DA" w:rsidP="00B128DA">
      <w:pPr>
        <w:spacing w:after="0" w:line="360" w:lineRule="auto"/>
        <w:ind w:firstLine="709"/>
        <w:jc w:val="both"/>
        <w:rPr>
          <w:rFonts w:ascii="Arial" w:hAnsi="Arial" w:cs="Arial"/>
        </w:rPr>
      </w:pPr>
      <w:r w:rsidRPr="00E9430D">
        <w:rPr>
          <w:rFonts w:ascii="Arial" w:hAnsi="Arial" w:cs="Arial"/>
        </w:rPr>
        <w:t>Assim, a CIM representa um ponto de referência microbiológico que adquire significado clínico quando interpretado em conjunto com a exposição alcançada pelo antibacteriano no organismo.</w:t>
      </w:r>
    </w:p>
    <w:p w14:paraId="19E38A92" w14:textId="77777777" w:rsidR="00B128DA" w:rsidRDefault="00B128DA" w:rsidP="00B128DA">
      <w:pPr>
        <w:spacing w:after="0" w:line="360" w:lineRule="auto"/>
        <w:ind w:firstLine="709"/>
        <w:jc w:val="both"/>
        <w:rPr>
          <w:rFonts w:ascii="Arial" w:hAnsi="Arial" w:cs="Arial"/>
        </w:rPr>
      </w:pPr>
    </w:p>
    <w:p w14:paraId="4947BD42" w14:textId="517F3335"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32</w:t>
      </w:r>
    </w:p>
    <w:p w14:paraId="17DC5FE2" w14:textId="7C571C97" w:rsidR="008A533B" w:rsidRPr="008A533B" w:rsidRDefault="008A533B" w:rsidP="008A533B">
      <w:pPr>
        <w:spacing w:after="0" w:line="360" w:lineRule="auto"/>
        <w:jc w:val="both"/>
        <w:rPr>
          <w:rFonts w:ascii="Arial" w:hAnsi="Arial" w:cs="Arial"/>
          <w:b/>
          <w:bCs/>
        </w:rPr>
      </w:pPr>
    </w:p>
    <w:p w14:paraId="7A7E328F" w14:textId="77777777" w:rsidR="008A533B" w:rsidRPr="008A533B" w:rsidRDefault="008A533B" w:rsidP="008A533B">
      <w:pPr>
        <w:spacing w:after="0" w:line="360" w:lineRule="auto"/>
        <w:jc w:val="both"/>
        <w:rPr>
          <w:rFonts w:ascii="Arial" w:hAnsi="Arial" w:cs="Arial"/>
          <w:b/>
          <w:bCs/>
        </w:rPr>
      </w:pPr>
      <w:r w:rsidRPr="008A533B">
        <w:rPr>
          <w:rFonts w:ascii="Arial" w:hAnsi="Arial" w:cs="Arial"/>
          <w:b/>
          <w:bCs/>
        </w:rPr>
        <w:t>Via de administração e determinação da exposição antimicrobiana</w:t>
      </w:r>
    </w:p>
    <w:p w14:paraId="56669AD9" w14:textId="77777777" w:rsidR="008A533B" w:rsidRPr="008A533B" w:rsidRDefault="008A533B" w:rsidP="008A533B">
      <w:pPr>
        <w:spacing w:after="0" w:line="360" w:lineRule="auto"/>
        <w:jc w:val="both"/>
        <w:rPr>
          <w:rFonts w:ascii="Arial" w:hAnsi="Arial" w:cs="Arial"/>
        </w:rPr>
      </w:pPr>
    </w:p>
    <w:p w14:paraId="394F5D42" w14:textId="675FC4C4" w:rsidR="008A533B" w:rsidRPr="008A533B" w:rsidRDefault="008A533B" w:rsidP="008A533B">
      <w:pPr>
        <w:spacing w:after="0" w:line="360" w:lineRule="auto"/>
        <w:ind w:firstLine="708"/>
        <w:jc w:val="both"/>
        <w:rPr>
          <w:rFonts w:ascii="Arial" w:hAnsi="Arial" w:cs="Arial"/>
        </w:rPr>
      </w:pPr>
      <w:r w:rsidRPr="008A533B">
        <w:rPr>
          <w:rFonts w:ascii="Arial" w:hAnsi="Arial" w:cs="Arial"/>
        </w:rPr>
        <w:t>A exposição efetiva a um antibacteriano não depende exclusivamente da dose administrada, mas também da forma como o fármaco é introduzido no organismo. A via de administração constitui um determinante fundamental da farmacocinética, pois influencia diretamente a velocidade de absorção, a biodisponibilidade sistêmica e a variabilidade da concentração alcançada ao longo do tempo</w:t>
      </w:r>
      <w:r>
        <w:rPr>
          <w:rFonts w:ascii="Arial" w:hAnsi="Arial" w:cs="Arial"/>
        </w:rPr>
        <w:t xml:space="preserve"> </w:t>
      </w:r>
      <w:r w:rsidRPr="008A533B">
        <w:rPr>
          <w:rFonts w:ascii="Arial" w:hAnsi="Arial" w:cs="Arial"/>
        </w:rPr>
        <w:t xml:space="preserve"> </w:t>
      </w:r>
      <w:sdt>
        <w:sdtPr>
          <w:rPr>
            <w:rFonts w:ascii="Arial" w:hAnsi="Arial" w:cs="Arial"/>
            <w:color w:val="000000"/>
          </w:rPr>
          <w:tag w:val="MENDELEY_CITATION_v3_eyJjaXRhdGlvbklEIjoiTUVOREVMRVlfQ0lUQVRJT05fNWE4NjJjYzEtZGFiMC00YzRmLWE2OWUtOTU0NGViYzY4YTAy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1069887894"/>
          <w:placeholder>
            <w:docPart w:val="DefaultPlaceholder_-1854013440"/>
          </w:placeholder>
        </w:sdtPr>
        <w:sdtContent>
          <w:r w:rsidR="004528C9" w:rsidRPr="004528C9">
            <w:rPr>
              <w:rFonts w:ascii="Arial" w:hAnsi="Arial" w:cs="Arial"/>
              <w:color w:val="000000"/>
            </w:rPr>
            <w:t>(1)</w:t>
          </w:r>
        </w:sdtContent>
      </w:sdt>
      <w:r w:rsidRPr="008A533B">
        <w:rPr>
          <w:rFonts w:ascii="Arial" w:hAnsi="Arial" w:cs="Arial"/>
        </w:rPr>
        <w:t>.</w:t>
      </w:r>
    </w:p>
    <w:p w14:paraId="4E335D8D" w14:textId="4D380302"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Na administração intravenosa, o antibacteriano é introduzido diretamente na circulação sistêmica, resultando em biodisponibilidade completa e início imediato de exposição. Nesse cenário, a variabilidade associada aos processos de absorção é praticamente eliminada, e a curva concentração-tempo passa a depender predominantemente dos parâmetros de distribuição e eliminação do fármaco </w:t>
      </w:r>
      <w:sdt>
        <w:sdtPr>
          <w:rPr>
            <w:rFonts w:ascii="Arial" w:hAnsi="Arial" w:cs="Arial"/>
            <w:color w:val="000000"/>
          </w:rPr>
          <w:tag w:val="MENDELEY_CITATION_v3_eyJjaXRhdGlvbklEIjoiTUVOREVMRVlfQ0lUQVRJT05fMGY5NGY0YjgtYjQwZC00MjY3LWI2OWEtYmE3NDE3MTcxNWZk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
          <w:id w:val="-261300875"/>
          <w:placeholder>
            <w:docPart w:val="DefaultPlaceholder_-1854013440"/>
          </w:placeholder>
        </w:sdtPr>
        <w:sdtContent>
          <w:r w:rsidR="004528C9" w:rsidRPr="004528C9">
            <w:rPr>
              <w:rFonts w:ascii="Arial" w:hAnsi="Arial" w:cs="Arial"/>
              <w:color w:val="000000"/>
            </w:rPr>
            <w:t>(1,10)</w:t>
          </w:r>
        </w:sdtContent>
      </w:sdt>
      <w:r w:rsidR="00A37C0C">
        <w:rPr>
          <w:rFonts w:ascii="Arial" w:hAnsi="Arial" w:cs="Arial"/>
          <w:color w:val="000000"/>
        </w:rPr>
        <w:t>.</w:t>
      </w:r>
    </w:p>
    <w:p w14:paraId="3897B51D" w14:textId="53920EC3"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Por outro lado, na administração por via oral, a concentração sistêmica resulta da absorção gastrointestinal, processo sujeito a variabilidade significativa. Fatores como pH gástrico, motilidade intestinal, presença de alimentos, integridade da mucosa e interações medicamentosas podem modificar a fração absorvida e a velocidade com que o antibacteriano atinge a circulação sistêmica. Consequentemente, a biodisponibilidade pode ser reduzida ou tornar-se menos previsível em determinados contextos clínicos</w:t>
      </w:r>
      <w:r>
        <w:rPr>
          <w:rFonts w:ascii="Arial" w:hAnsi="Arial" w:cs="Arial"/>
        </w:rPr>
        <w:t xml:space="preserve"> </w:t>
      </w:r>
      <w:sdt>
        <w:sdtPr>
          <w:rPr>
            <w:rFonts w:ascii="Arial" w:hAnsi="Arial" w:cs="Arial"/>
            <w:color w:val="000000"/>
          </w:rPr>
          <w:tag w:val="MENDELEY_CITATION_v3_eyJjaXRhdGlvbklEIjoiTUVOREVMRVlfQ0lUQVRJT05fOGZjMjBmNTctYWU4OC00MDVjLWI3NDYtYzhiOGJmN2YxZjNl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
          <w:id w:val="999150939"/>
          <w:placeholder>
            <w:docPart w:val="DefaultPlaceholder_-1854013440"/>
          </w:placeholder>
        </w:sdtPr>
        <w:sdtContent>
          <w:r w:rsidR="004528C9" w:rsidRPr="004528C9">
            <w:rPr>
              <w:rFonts w:ascii="Arial" w:hAnsi="Arial" w:cs="Arial"/>
              <w:color w:val="000000"/>
            </w:rPr>
            <w:t>(1,10)</w:t>
          </w:r>
        </w:sdtContent>
      </w:sdt>
      <w:r w:rsidR="00A37C0C">
        <w:rPr>
          <w:rFonts w:ascii="Arial" w:hAnsi="Arial" w:cs="Arial"/>
        </w:rPr>
        <w:t>.</w:t>
      </w:r>
    </w:p>
    <w:p w14:paraId="7517C2FD" w14:textId="4EE18E8F" w:rsidR="008A533B" w:rsidRPr="008A533B" w:rsidRDefault="008A533B" w:rsidP="008A533B">
      <w:pPr>
        <w:spacing w:after="0" w:line="360" w:lineRule="auto"/>
        <w:jc w:val="both"/>
        <w:rPr>
          <w:rFonts w:ascii="Arial" w:hAnsi="Arial" w:cs="Arial"/>
        </w:rPr>
      </w:pPr>
      <w:r>
        <w:rPr>
          <w:rFonts w:ascii="Arial" w:hAnsi="Arial" w:cs="Arial"/>
        </w:rPr>
        <w:lastRenderedPageBreak/>
        <w:tab/>
      </w:r>
      <w:r w:rsidRPr="008A533B">
        <w:rPr>
          <w:rFonts w:ascii="Arial" w:hAnsi="Arial" w:cs="Arial"/>
        </w:rPr>
        <w:t>Essas diferenças não se limitam à quantidade de fármaco absorvida, mas também influenciam a forma da curva concentração-tempo. A velocidade de elevação da concentração plasmática, o tempo necessário para atingir o pico e a manutenção da exposição acima da concentração inibitória mínima (CIM) são diretamente afetados pela via de administração. Como os índices farmacodinâmicos, como %</w:t>
      </w:r>
      <w:proofErr w:type="spellStart"/>
      <w:r w:rsidRPr="008A533B">
        <w:rPr>
          <w:rFonts w:ascii="Arial" w:hAnsi="Arial" w:cs="Arial"/>
        </w:rPr>
        <w:t>fT</w:t>
      </w:r>
      <w:proofErr w:type="spellEnd"/>
      <w:r w:rsidRPr="008A533B">
        <w:rPr>
          <w:rFonts w:ascii="Arial" w:hAnsi="Arial" w:cs="Arial"/>
        </w:rPr>
        <w:t xml:space="preserve">&gt;MIC, </w:t>
      </w:r>
      <w:proofErr w:type="spellStart"/>
      <w:r w:rsidRPr="008A533B">
        <w:rPr>
          <w:rFonts w:ascii="Arial" w:hAnsi="Arial" w:cs="Arial"/>
        </w:rPr>
        <w:t>Cmax</w:t>
      </w:r>
      <w:proofErr w:type="spellEnd"/>
      <w:r w:rsidRPr="008A533B">
        <w:rPr>
          <w:rFonts w:ascii="Arial" w:hAnsi="Arial" w:cs="Arial"/>
        </w:rPr>
        <w:t xml:space="preserve">/MIC e AUC/MIC, dependem dessa relação entre concentração e tempo, a via utilizada pode modificar a probabilidade de atingir o alvo terapêutico, mesmo quando a dose nominal administrada é semelhante </w:t>
      </w:r>
      <w:sdt>
        <w:sdtPr>
          <w:rPr>
            <w:rFonts w:ascii="Arial" w:hAnsi="Arial" w:cs="Arial"/>
            <w:color w:val="000000"/>
          </w:rPr>
          <w:tag w:val="MENDELEY_CITATION_v3_eyJjaXRhdGlvbklEIjoiTUVOREVMRVlfQ0lUQVRJT05fYjk4OTEyZTctNTdkZC00N2RmLWJmMTktYWMxY2EyNWIwMGMz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
          <w:id w:val="-1040889280"/>
          <w:placeholder>
            <w:docPart w:val="DefaultPlaceholder_-1854013440"/>
          </w:placeholder>
        </w:sdtPr>
        <w:sdtContent>
          <w:r w:rsidR="004528C9" w:rsidRPr="004528C9">
            <w:rPr>
              <w:rFonts w:ascii="Arial" w:hAnsi="Arial" w:cs="Arial"/>
              <w:color w:val="000000"/>
            </w:rPr>
            <w:t>(1,11)</w:t>
          </w:r>
        </w:sdtContent>
      </w:sdt>
      <w:r w:rsidR="00A37C0C">
        <w:rPr>
          <w:rFonts w:ascii="Arial" w:hAnsi="Arial" w:cs="Arial"/>
        </w:rPr>
        <w:t>.</w:t>
      </w:r>
    </w:p>
    <w:p w14:paraId="41C06EA2" w14:textId="01E93CEF" w:rsidR="008A533B" w:rsidRPr="008A533B" w:rsidRDefault="008A533B" w:rsidP="008A533B">
      <w:pPr>
        <w:spacing w:after="0" w:line="360" w:lineRule="auto"/>
        <w:ind w:firstLine="708"/>
        <w:jc w:val="both"/>
        <w:rPr>
          <w:rFonts w:ascii="Arial" w:hAnsi="Arial" w:cs="Arial"/>
        </w:rPr>
      </w:pPr>
      <w:r w:rsidRPr="008A533B">
        <w:rPr>
          <w:rFonts w:ascii="Arial" w:hAnsi="Arial" w:cs="Arial"/>
        </w:rPr>
        <w:t xml:space="preserve">A variabilidade interindividual torna-se particularmente relevante na via oral. Alterações fisiológicas ou patológicas, como edema de mucosa intestinal, hipoperfusão esplâncnica, vômitos ou uso concomitante de outros fármacos, podem comprometer a absorção e reduzir a exposição sistêmica. Nesses casos, a concentração plasmática pode permanecer abaixo dos níveis necessários para inibição bacteriana, mantendo o microrganismo sob pressão seletiva sem erradicação completa </w:t>
      </w:r>
      <w:sdt>
        <w:sdtPr>
          <w:rPr>
            <w:rFonts w:ascii="Arial" w:hAnsi="Arial" w:cs="Arial"/>
            <w:color w:val="000000"/>
          </w:rPr>
          <w:tag w:val="MENDELEY_CITATION_v3_eyJjaXRhdGlvbklEIjoiTUVOREVMRVlfQ0lUQVRJT05fZmM0ODEzZTEtOGE2ZS00ZTMwLWFhNTAtOWU4MjBlZjQ5ZWE2IiwicHJvcGVydGllcyI6eyJub3RlSW5kZXgiOjB9LCJpc0VkaXRlZCI6ZmFsc2UsIm1hbnVhbE92ZXJyaWRlIjp7ImlzTWFudWFsbHlPdmVycmlkZGVuIjpmYWxzZSwiY2l0ZXByb2NUZXh0IjoiKDEsN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n0sImlzVGVtcG9yYXJ5IjpmYWxzZX1dfQ=="/>
          <w:id w:val="-1142729821"/>
          <w:placeholder>
            <w:docPart w:val="DefaultPlaceholder_-1854013440"/>
          </w:placeholder>
        </w:sdtPr>
        <w:sdtContent>
          <w:r w:rsidR="004528C9" w:rsidRPr="004528C9">
            <w:rPr>
              <w:rFonts w:ascii="Arial" w:hAnsi="Arial" w:cs="Arial"/>
              <w:color w:val="000000"/>
            </w:rPr>
            <w:t>(1,6)</w:t>
          </w:r>
        </w:sdtContent>
      </w:sdt>
      <w:r w:rsidR="00A37C0C">
        <w:rPr>
          <w:rFonts w:ascii="Arial" w:hAnsi="Arial" w:cs="Arial"/>
        </w:rPr>
        <w:t>.</w:t>
      </w:r>
    </w:p>
    <w:p w14:paraId="34F0D59A" w14:textId="2736D64F" w:rsid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Assim, a via de administração deve ser compreendida como um componente estrutural da exposição antimicrobiana. Ela não representa apenas uma escolha logística, mas um determinante farmacocinético que influencia diretamente a forma como a curva concentração-tempo se posiciona em relação à CIM e, consequentemente, a probabilidade de alcançar os índices farmacodinâmicos associados à eficácia terapêutica </w:t>
      </w:r>
      <w:sdt>
        <w:sdtPr>
          <w:rPr>
            <w:rFonts w:ascii="Arial" w:hAnsi="Arial" w:cs="Arial"/>
            <w:color w:val="000000"/>
          </w:rPr>
          <w:tag w:val="MENDELEY_CITATION_v3_eyJjaXRhdGlvbklEIjoiTUVOREVMRVlfQ0lUQVRJT05fODc5YzQxYWItNTM3Ni00NTNkLWE1OGQtMzVmZGY0OGEwY2Vh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
          <w:id w:val="370118133"/>
          <w:placeholder>
            <w:docPart w:val="DefaultPlaceholder_-1854013440"/>
          </w:placeholder>
        </w:sdtPr>
        <w:sdtContent>
          <w:r w:rsidR="004528C9" w:rsidRPr="004528C9">
            <w:rPr>
              <w:rFonts w:ascii="Arial" w:hAnsi="Arial" w:cs="Arial"/>
              <w:color w:val="000000"/>
            </w:rPr>
            <w:t>(1,11)</w:t>
          </w:r>
        </w:sdtContent>
      </w:sdt>
      <w:r w:rsidR="00A37C0C">
        <w:rPr>
          <w:rFonts w:ascii="Arial" w:hAnsi="Arial" w:cs="Arial"/>
        </w:rPr>
        <w:t>.</w:t>
      </w:r>
    </w:p>
    <w:p w14:paraId="61727747" w14:textId="7F56C61E" w:rsidR="008A533B" w:rsidRDefault="008A533B" w:rsidP="008A533B">
      <w:pPr>
        <w:spacing w:after="0" w:line="360" w:lineRule="auto"/>
        <w:jc w:val="both"/>
        <w:rPr>
          <w:rFonts w:ascii="Arial" w:hAnsi="Arial" w:cs="Arial"/>
        </w:rPr>
      </w:pPr>
    </w:p>
    <w:p w14:paraId="4B9B928A" w14:textId="7ED7868B" w:rsidR="008A533B" w:rsidRDefault="008A533B" w:rsidP="008A533B">
      <w:pPr>
        <w:spacing w:after="0" w:line="360" w:lineRule="auto"/>
        <w:jc w:val="right"/>
        <w:rPr>
          <w:rFonts w:ascii="Arial" w:hAnsi="Arial" w:cs="Arial"/>
        </w:rPr>
      </w:pPr>
      <w:r w:rsidRPr="00E07765">
        <w:rPr>
          <w:rFonts w:ascii="Arial" w:hAnsi="Arial" w:cs="Arial"/>
        </w:rPr>
        <w:t xml:space="preserve">Página </w:t>
      </w:r>
      <w:r>
        <w:rPr>
          <w:rFonts w:ascii="Arial" w:hAnsi="Arial" w:cs="Arial"/>
        </w:rPr>
        <w:t>3</w:t>
      </w:r>
      <w:r>
        <w:rPr>
          <w:rFonts w:ascii="Arial" w:hAnsi="Arial" w:cs="Arial"/>
        </w:rPr>
        <w:t>3</w:t>
      </w:r>
    </w:p>
    <w:p w14:paraId="2D517A9C" w14:textId="77777777" w:rsidR="008A533B" w:rsidRDefault="008A533B" w:rsidP="008A533B">
      <w:pPr>
        <w:spacing w:after="0" w:line="360" w:lineRule="auto"/>
        <w:jc w:val="right"/>
        <w:rPr>
          <w:rFonts w:ascii="Arial" w:hAnsi="Arial" w:cs="Arial"/>
        </w:rPr>
      </w:pPr>
    </w:p>
    <w:p w14:paraId="1BC3B226" w14:textId="77777777" w:rsidR="008A533B" w:rsidRPr="008A533B" w:rsidRDefault="008A533B" w:rsidP="008A533B">
      <w:pPr>
        <w:spacing w:after="0" w:line="360" w:lineRule="auto"/>
        <w:jc w:val="both"/>
        <w:rPr>
          <w:rFonts w:ascii="Arial" w:hAnsi="Arial" w:cs="Arial"/>
          <w:b/>
          <w:bCs/>
        </w:rPr>
      </w:pPr>
      <w:r w:rsidRPr="008A533B">
        <w:rPr>
          <w:rFonts w:ascii="Arial" w:hAnsi="Arial" w:cs="Arial"/>
          <w:b/>
          <w:bCs/>
        </w:rPr>
        <w:t>Via de administração e implicações clínicas na resposta terapêutica</w:t>
      </w:r>
    </w:p>
    <w:p w14:paraId="3D961AE5" w14:textId="77777777" w:rsidR="008A533B" w:rsidRPr="008A533B" w:rsidRDefault="008A533B" w:rsidP="008A533B">
      <w:pPr>
        <w:spacing w:after="0" w:line="360" w:lineRule="auto"/>
        <w:jc w:val="both"/>
        <w:rPr>
          <w:rFonts w:ascii="Arial" w:hAnsi="Arial" w:cs="Arial"/>
        </w:rPr>
      </w:pPr>
    </w:p>
    <w:p w14:paraId="42929AC8" w14:textId="01D245BC" w:rsidR="008A533B" w:rsidRPr="008A533B" w:rsidRDefault="008A533B" w:rsidP="008A533B">
      <w:pPr>
        <w:spacing w:after="0" w:line="360" w:lineRule="auto"/>
        <w:ind w:firstLine="708"/>
        <w:jc w:val="both"/>
        <w:rPr>
          <w:rFonts w:ascii="Arial" w:hAnsi="Arial" w:cs="Arial"/>
        </w:rPr>
      </w:pPr>
      <w:r w:rsidRPr="008A533B">
        <w:rPr>
          <w:rFonts w:ascii="Arial" w:hAnsi="Arial" w:cs="Arial"/>
        </w:rPr>
        <w:t xml:space="preserve">A relação entre via de administração e exposição antimicrobiana adquire relevância clínica quando se considera que a eficácia do tratamento depende da concentração efetivamente alcançada no foco infeccioso. Mesmo na presença de um microrganismo classificado como suscetível, a falha em atingir níveis adequados de exposição pode comprometer a resposta terapêutica </w:t>
      </w:r>
      <w:sdt>
        <w:sdtPr>
          <w:rPr>
            <w:rFonts w:ascii="Arial" w:hAnsi="Arial" w:cs="Arial"/>
            <w:color w:val="000000"/>
          </w:rPr>
          <w:tag w:val="MENDELEY_CITATION_v3_eyJjaXRhdGlvbklEIjoiTUVOREVMRVlfQ0lUQVRJT05fYzM2NmRmNjktODAwMi00ODE4LWJlZDktNjNiOTg3YzYyM2U0IiwicHJvcGVydGllcyI6eyJub3RlSW5kZXgiOjB9LCJpc0VkaXRlZCI6ZmFsc2UsIm1hbnVhbE92ZXJyaWRlIjp7ImlzTWFudWFsbHlPdmVycmlkZGVuIjpmYWxzZSwiY2l0ZXByb2NUZXh0IjoiKDEsOC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J9LCJpc1RlbXBvcmFyeSI6ZmFsc2V9XX0="/>
          <w:id w:val="-640964450"/>
          <w:placeholder>
            <w:docPart w:val="DefaultPlaceholder_-1854013440"/>
          </w:placeholder>
        </w:sdtPr>
        <w:sdtContent>
          <w:r w:rsidR="004528C9" w:rsidRPr="004528C9">
            <w:rPr>
              <w:rFonts w:ascii="Arial" w:hAnsi="Arial" w:cs="Arial"/>
              <w:color w:val="000000"/>
            </w:rPr>
            <w:t>(1,8)</w:t>
          </w:r>
        </w:sdtContent>
      </w:sdt>
      <w:r w:rsidR="004528C9">
        <w:rPr>
          <w:rFonts w:ascii="Arial" w:hAnsi="Arial" w:cs="Arial"/>
        </w:rPr>
        <w:t>.</w:t>
      </w:r>
    </w:p>
    <w:p w14:paraId="3D985770" w14:textId="0DA621AA" w:rsidR="008A533B" w:rsidRPr="008A533B" w:rsidRDefault="008A533B" w:rsidP="008A533B">
      <w:pPr>
        <w:spacing w:after="0" w:line="360" w:lineRule="auto"/>
        <w:ind w:firstLine="708"/>
        <w:jc w:val="both"/>
        <w:rPr>
          <w:rFonts w:ascii="Arial" w:hAnsi="Arial" w:cs="Arial"/>
        </w:rPr>
      </w:pPr>
      <w:r w:rsidRPr="008A533B">
        <w:rPr>
          <w:rFonts w:ascii="Arial" w:hAnsi="Arial" w:cs="Arial"/>
        </w:rPr>
        <w:t xml:space="preserve">Em condições clínicas nas quais a absorção é previsível e a biodisponibilidade do fármaco é elevada, a administração por via oral pode resultar em exposições sistêmicas semelhantes às obtidas por via intravenosa. Nesses cenários, a escolha da via não implica necessariamente diferença na eficácia, desde que os parâmetros farmacocinéticos permitam atingir os índices farmacodinâmicos desejados </w:t>
      </w:r>
      <w:sdt>
        <w:sdtPr>
          <w:rPr>
            <w:rFonts w:ascii="Arial" w:hAnsi="Arial" w:cs="Arial"/>
            <w:color w:val="000000"/>
          </w:rPr>
          <w:tag w:val="MENDELEY_CITATION_v3_eyJjaXRhdGlvbklEIjoiTUVOREVMRVlfQ0lUQVRJT05fYThiOWZjZTgtMDZmMi00NDMxLTg3ZWItY2FmZjIyYTZiZTAz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
          <w:id w:val="22294060"/>
          <w:placeholder>
            <w:docPart w:val="DefaultPlaceholder_-1854013440"/>
          </w:placeholder>
        </w:sdtPr>
        <w:sdtContent>
          <w:r w:rsidR="004528C9" w:rsidRPr="004528C9">
            <w:rPr>
              <w:rFonts w:ascii="Arial" w:hAnsi="Arial" w:cs="Arial"/>
              <w:color w:val="000000"/>
            </w:rPr>
            <w:t>(1,10)</w:t>
          </w:r>
        </w:sdtContent>
      </w:sdt>
      <w:r w:rsidR="004528C9">
        <w:rPr>
          <w:rFonts w:ascii="Arial" w:hAnsi="Arial" w:cs="Arial"/>
        </w:rPr>
        <w:t>.</w:t>
      </w:r>
    </w:p>
    <w:p w14:paraId="155B7D2A" w14:textId="6EF3A3D1"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Entretanto, em situações de maior gravidade clínica ou de instabilidade fisiológica, a previsibilidade da absorção torna-se limitada. Estados como sepse, choque </w:t>
      </w:r>
      <w:r w:rsidRPr="008A533B">
        <w:rPr>
          <w:rFonts w:ascii="Arial" w:hAnsi="Arial" w:cs="Arial"/>
        </w:rPr>
        <w:lastRenderedPageBreak/>
        <w:t>ou alterações hemodinâmicas significativas podem comprometer a perfusão do trato gastrointestinal e reduzir a absorção de fármacos administrados por via oral. Nesses contextos, a utilização da via intravenosa permite reduzir a variabilidade da exposição e garantir que a concentração plasmática inicial atinja rapidamente níveis compatíveis com atividade antimicrobiana (</w:t>
      </w:r>
      <w:sdt>
        <w:sdtPr>
          <w:rPr>
            <w:rFonts w:ascii="Arial" w:hAnsi="Arial" w:cs="Arial"/>
            <w:color w:val="000000"/>
          </w:rPr>
          <w:tag w:val="MENDELEY_CITATION_v3_eyJjaXRhdGlvbklEIjoiTUVOREVMRVlfQ0lUQVRJT05fMWIzYjVhNGItMWY5YS00M2ZmLTgyZmMtOWU5YzMzOWIzMmYyIiwicHJvcGVydGllcyI6eyJub3RlSW5kZXgiOjB9LCJpc0VkaXRlZCI6ZmFsc2UsIm1hbnVhbE92ZXJyaWRlIjp7ImlzTWFudWFsbHlPdmVycmlkZGVuIjpmYWxzZSwiY2l0ZXByb2NUZXh0IjoiKDYsMTA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
          <w:id w:val="17132007"/>
          <w:placeholder>
            <w:docPart w:val="DefaultPlaceholder_-1854013440"/>
          </w:placeholder>
        </w:sdtPr>
        <w:sdtContent>
          <w:r w:rsidR="004528C9" w:rsidRPr="004528C9">
            <w:rPr>
              <w:rFonts w:ascii="Arial" w:hAnsi="Arial" w:cs="Arial"/>
              <w:color w:val="000000"/>
            </w:rPr>
            <w:t>(6,10)</w:t>
          </w:r>
        </w:sdtContent>
      </w:sdt>
      <w:r w:rsidR="004528C9">
        <w:rPr>
          <w:rFonts w:ascii="Arial" w:hAnsi="Arial" w:cs="Arial"/>
        </w:rPr>
        <w:t>.</w:t>
      </w:r>
    </w:p>
    <w:p w14:paraId="54745964" w14:textId="5214DAA7"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A escolha da via também influencia a velocidade de início da ação terapêutica. Em infecções com alta carga bacteriana ou risco de progressão rápida, atrasos na obtenção de concentrações eficazes podem permitir a persistência e multiplicação do microrganismo. A administração intravenosa, ao proporcionar elevação imediata da concentração plasmática, pode reduzir esse intervalo crítico e aumentar a probabilidade de controle inicial da infecção </w:t>
      </w:r>
      <w:sdt>
        <w:sdtPr>
          <w:rPr>
            <w:rFonts w:ascii="Arial" w:hAnsi="Arial" w:cs="Arial"/>
            <w:color w:val="000000"/>
          </w:rPr>
          <w:tag w:val="MENDELEY_CITATION_v3_eyJjaXRhdGlvbklEIjoiTUVOREVMRVlfQ0lUQVRJT05fZGQ1ZjVjZWMtZDA4My00OTJmLWI4YzItMWE0N2MzZWRiYTExIiwicHJvcGVydGllcyI6eyJub3RlSW5kZXgiOjB9LCJpc0VkaXRlZCI6ZmFsc2UsIm1hbnVhbE92ZXJyaWRlIjp7ImlzTWFudWFsbHlPdmVycmlkZGVuIjpmYWxzZSwiY2l0ZXByb2NUZXh0IjoiKDEsN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n0sImlzVGVtcG9yYXJ5IjpmYWxzZX1dfQ=="/>
          <w:id w:val="-1087613814"/>
          <w:placeholder>
            <w:docPart w:val="DefaultPlaceholder_-1854013440"/>
          </w:placeholder>
        </w:sdtPr>
        <w:sdtContent>
          <w:r w:rsidR="004528C9" w:rsidRPr="004528C9">
            <w:rPr>
              <w:rFonts w:ascii="Arial" w:hAnsi="Arial" w:cs="Arial"/>
              <w:color w:val="000000"/>
            </w:rPr>
            <w:t>(1,6)</w:t>
          </w:r>
        </w:sdtContent>
      </w:sdt>
      <w:r w:rsidR="00A37C0C">
        <w:rPr>
          <w:rFonts w:ascii="Arial" w:hAnsi="Arial" w:cs="Arial"/>
        </w:rPr>
        <w:t>.</w:t>
      </w:r>
    </w:p>
    <w:p w14:paraId="35A63864" w14:textId="29EEEEE5"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Outro aspecto relevante é a possibilidade de discordância entre a classificação microbiológica e a resposta clínica. Um microrganismo classificado como suscetível no antibiograma pode não responder ao tratamento se a exposição alcançada no organismo não for suficiente para ultrapassar a CIM no sítio infeccioso. Nesses casos, a limitação não está na atividade intrínseca do fármaco, mas na incapacidade de atingir concentrações adequadas, frequentemente influenciada pela via de administração e por fatores farmacocinéticos associados</w:t>
      </w:r>
      <w:r>
        <w:rPr>
          <w:rFonts w:ascii="Arial" w:hAnsi="Arial" w:cs="Arial"/>
        </w:rPr>
        <w:t xml:space="preserve"> </w:t>
      </w:r>
      <w:sdt>
        <w:sdtPr>
          <w:rPr>
            <w:rFonts w:ascii="Arial" w:hAnsi="Arial" w:cs="Arial"/>
            <w:color w:val="000000"/>
          </w:rPr>
          <w:tag w:val="MENDELEY_CITATION_v3_eyJjaXRhdGlvbklEIjoiTUVOREVMRVlfQ0lUQVRJT05fZjljNWFhZWQtM2JkZC00MTlkLWI2MGUtZGFmMGRiMTRjYzgzIiwicHJvcGVydGllcyI6eyJub3RlSW5kZXgiOjB9LCJpc0VkaXRlZCI6ZmFsc2UsIm1hbnVhbE92ZXJyaWRlIjp7ImlzTWFudWFsbHlPdmVycmlkZGVuIjpmYWxzZSwiY2l0ZXByb2NUZXh0IjoiKDEsOC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J9LCJpc1RlbXBvcmFyeSI6ZmFsc2V9XX0="/>
          <w:id w:val="-47835309"/>
          <w:placeholder>
            <w:docPart w:val="DefaultPlaceholder_-1854013440"/>
          </w:placeholder>
        </w:sdtPr>
        <w:sdtContent>
          <w:r w:rsidR="004528C9" w:rsidRPr="004528C9">
            <w:rPr>
              <w:rFonts w:ascii="Arial" w:hAnsi="Arial" w:cs="Arial"/>
              <w:color w:val="000000"/>
            </w:rPr>
            <w:t>(1,8)</w:t>
          </w:r>
        </w:sdtContent>
      </w:sdt>
      <w:r w:rsidR="004528C9">
        <w:rPr>
          <w:rFonts w:ascii="Arial" w:hAnsi="Arial" w:cs="Arial"/>
        </w:rPr>
        <w:t>.</w:t>
      </w:r>
    </w:p>
    <w:p w14:paraId="35DC2D23" w14:textId="0908DC42" w:rsidR="008A533B" w:rsidRP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Além disso, a escolha inadequada da via pode contribuir para manutenção da exposição em níveis </w:t>
      </w:r>
      <w:proofErr w:type="spellStart"/>
      <w:r w:rsidRPr="008A533B">
        <w:rPr>
          <w:rFonts w:ascii="Arial" w:hAnsi="Arial" w:cs="Arial"/>
        </w:rPr>
        <w:t>subótimos</w:t>
      </w:r>
      <w:proofErr w:type="spellEnd"/>
      <w:r w:rsidRPr="008A533B">
        <w:rPr>
          <w:rFonts w:ascii="Arial" w:hAnsi="Arial" w:cs="Arial"/>
        </w:rPr>
        <w:t xml:space="preserve">, favorecendo a permanência de bactérias em faixas próximas à janela de seleção mutante. Esse cenário pode não resultar em falha terapêutica imediata, mas aumenta a probabilidade de seleção de subpopulações com menor suscetibilidade ao longo do tratamento </w:t>
      </w:r>
      <w:sdt>
        <w:sdtPr>
          <w:rPr>
            <w:rFonts w:ascii="Arial" w:hAnsi="Arial" w:cs="Arial"/>
            <w:color w:val="000000"/>
          </w:rPr>
          <w:tag w:val="MENDELEY_CITATION_v3_eyJjaXRhdGlvbklEIjoiTUVOREVMRVlfQ0lUQVRJT05fMDI1NWM3NmYtMWI5Mi00YTY5LWFhMTMtODIwZDhkMmU4MWY4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
          <w:id w:val="2050571812"/>
          <w:placeholder>
            <w:docPart w:val="DefaultPlaceholder_-1854013440"/>
          </w:placeholder>
        </w:sdtPr>
        <w:sdtContent>
          <w:r w:rsidR="004528C9" w:rsidRPr="004528C9">
            <w:rPr>
              <w:rFonts w:ascii="Arial" w:hAnsi="Arial" w:cs="Arial"/>
              <w:color w:val="000000"/>
            </w:rPr>
            <w:t>(4,5)</w:t>
          </w:r>
        </w:sdtContent>
      </w:sdt>
      <w:r w:rsidR="004528C9">
        <w:rPr>
          <w:rFonts w:ascii="Arial" w:hAnsi="Arial" w:cs="Arial"/>
        </w:rPr>
        <w:t>.</w:t>
      </w:r>
    </w:p>
    <w:p w14:paraId="3EFB593F" w14:textId="3B021F02" w:rsidR="008A533B" w:rsidRDefault="008A533B" w:rsidP="008A533B">
      <w:pPr>
        <w:spacing w:after="0" w:line="360" w:lineRule="auto"/>
        <w:jc w:val="both"/>
        <w:rPr>
          <w:rFonts w:ascii="Arial" w:hAnsi="Arial" w:cs="Arial"/>
        </w:rPr>
      </w:pPr>
      <w:r>
        <w:rPr>
          <w:rFonts w:ascii="Arial" w:hAnsi="Arial" w:cs="Arial"/>
        </w:rPr>
        <w:tab/>
      </w:r>
      <w:r w:rsidRPr="008A533B">
        <w:rPr>
          <w:rFonts w:ascii="Arial" w:hAnsi="Arial" w:cs="Arial"/>
        </w:rPr>
        <w:t xml:space="preserve">Dessa forma, a via de administração deve ser integrada à avaliação farmacocinética e farmacodinâmica do tratamento antimicrobiano. Sua escolha influencia não apenas a concentração alcançada, mas também a velocidade, a previsibilidade e a consistência da exposição ao fármaco. Esses elementos, por sua vez, determinam a posição da curva concentração-tempo em relação à CIM e a probabilidade de atingir o efeito antimicrobiano desejado no contexto clínico específico </w:t>
      </w:r>
      <w:sdt>
        <w:sdtPr>
          <w:rPr>
            <w:rFonts w:ascii="Arial" w:hAnsi="Arial" w:cs="Arial"/>
            <w:color w:val="000000"/>
          </w:rPr>
          <w:tag w:val="MENDELEY_CITATION_v3_eyJjaXRhdGlvbklEIjoiTUVOREVMRVlfQ0lUQVRJT05fZDRiZjQwY2EtOGJjNy00YjRjLWJjYzctYTQxMjVkNjZlOTQw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
          <w:id w:val="794404742"/>
          <w:placeholder>
            <w:docPart w:val="DefaultPlaceholder_-1854013440"/>
          </w:placeholder>
        </w:sdtPr>
        <w:sdtContent>
          <w:r w:rsidR="004528C9" w:rsidRPr="004528C9">
            <w:rPr>
              <w:rFonts w:ascii="Arial" w:hAnsi="Arial" w:cs="Arial"/>
              <w:color w:val="000000"/>
            </w:rPr>
            <w:t>(1,11)</w:t>
          </w:r>
        </w:sdtContent>
      </w:sdt>
      <w:r w:rsidR="00A37C0C">
        <w:rPr>
          <w:rFonts w:ascii="Arial" w:hAnsi="Arial" w:cs="Arial"/>
        </w:rPr>
        <w:t>.</w:t>
      </w:r>
    </w:p>
    <w:p w14:paraId="138EFF62" w14:textId="77777777" w:rsidR="008A533B" w:rsidRDefault="008A533B" w:rsidP="008A533B">
      <w:pPr>
        <w:spacing w:after="0" w:line="360" w:lineRule="auto"/>
        <w:jc w:val="both"/>
        <w:rPr>
          <w:rFonts w:ascii="Arial" w:hAnsi="Arial" w:cs="Arial"/>
        </w:rPr>
      </w:pPr>
    </w:p>
    <w:p w14:paraId="60346BFC" w14:textId="618EF8CA" w:rsidR="00B128DA" w:rsidRDefault="008A533B" w:rsidP="00B128DA">
      <w:pPr>
        <w:spacing w:after="0" w:line="360" w:lineRule="auto"/>
        <w:jc w:val="right"/>
        <w:rPr>
          <w:rFonts w:ascii="Arial" w:hAnsi="Arial" w:cs="Arial"/>
        </w:rPr>
      </w:pPr>
      <w:r>
        <w:rPr>
          <w:rFonts w:ascii="Arial" w:hAnsi="Arial" w:cs="Arial"/>
        </w:rPr>
        <w:t>Página 34</w:t>
      </w:r>
    </w:p>
    <w:p w14:paraId="561F88AC" w14:textId="77777777" w:rsidR="00B128DA" w:rsidRPr="005B1B97" w:rsidRDefault="00B128DA" w:rsidP="00B128DA">
      <w:pPr>
        <w:spacing w:after="0" w:line="360" w:lineRule="auto"/>
        <w:jc w:val="both"/>
        <w:rPr>
          <w:rFonts w:ascii="Arial" w:hAnsi="Arial" w:cs="Arial"/>
          <w:b/>
          <w:bCs/>
        </w:rPr>
      </w:pPr>
      <w:r w:rsidRPr="005B1B97">
        <w:rPr>
          <w:rFonts w:ascii="Arial" w:hAnsi="Arial" w:cs="Arial"/>
          <w:b/>
          <w:bCs/>
        </w:rPr>
        <w:t>Índices farmacodinâmicos: tempo, concentração e exposição total</w:t>
      </w:r>
    </w:p>
    <w:p w14:paraId="12CB1E6E" w14:textId="77777777" w:rsidR="00B128DA" w:rsidRPr="005B1B97" w:rsidRDefault="00B128DA" w:rsidP="00B128DA">
      <w:pPr>
        <w:spacing w:after="0" w:line="360" w:lineRule="auto"/>
        <w:jc w:val="both"/>
        <w:rPr>
          <w:rFonts w:ascii="Arial" w:hAnsi="Arial" w:cs="Arial"/>
          <w:b/>
          <w:bCs/>
        </w:rPr>
      </w:pPr>
    </w:p>
    <w:p w14:paraId="155B23AD" w14:textId="50096D1B" w:rsidR="00B128DA" w:rsidRPr="005B1B97" w:rsidRDefault="00B128DA" w:rsidP="00B128DA">
      <w:pPr>
        <w:spacing w:after="0" w:line="360" w:lineRule="auto"/>
        <w:ind w:firstLine="708"/>
        <w:jc w:val="both"/>
        <w:rPr>
          <w:rFonts w:ascii="Arial" w:hAnsi="Arial" w:cs="Arial"/>
        </w:rPr>
      </w:pPr>
      <w:r w:rsidRPr="005B1B97">
        <w:rPr>
          <w:rFonts w:ascii="Arial" w:hAnsi="Arial" w:cs="Arial"/>
        </w:rPr>
        <w:t xml:space="preserve">A atividade antimicrobiana não depende apenas da dose administrada, mas da forma como a exposição ao antibacteriano se distribui ao longo do tempo em relação à suscetibilidade do microrganismo. A análise da curva concentração-tempo em relação </w:t>
      </w:r>
      <w:r w:rsidRPr="005B1B97">
        <w:rPr>
          <w:rFonts w:ascii="Arial" w:hAnsi="Arial" w:cs="Arial"/>
        </w:rPr>
        <w:lastRenderedPageBreak/>
        <w:t>ao valor da concentração inibitória mínima (CIM) permite identificar quais parâmetros farmacodinâmicos estão mais associados ao efeito antimicrobiano para cada classe de antibacterianos</w:t>
      </w:r>
      <w:r>
        <w:rPr>
          <w:rFonts w:ascii="Arial" w:hAnsi="Arial" w:cs="Arial"/>
        </w:rPr>
        <w:t xml:space="preserve"> </w:t>
      </w:r>
      <w:sdt>
        <w:sdtPr>
          <w:rPr>
            <w:rFonts w:ascii="Arial" w:hAnsi="Arial" w:cs="Arial"/>
            <w:color w:val="000000"/>
          </w:rPr>
          <w:tag w:val="MENDELEY_CITATION_v3_eyJjaXRhdGlvbklEIjoiTUVOREVMRVlfQ0lUQVRJT05fMDNhZWExN2ItZjJmMy00YmMxLWExYTYtYTAyMGNiMzljYzVi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1913737149"/>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647462C9" w14:textId="77777777" w:rsidR="00B128DA" w:rsidRPr="005B1B97" w:rsidRDefault="00B128DA" w:rsidP="00B128DA">
      <w:pPr>
        <w:spacing w:after="0" w:line="360" w:lineRule="auto"/>
        <w:ind w:firstLine="708"/>
        <w:jc w:val="both"/>
        <w:rPr>
          <w:rFonts w:ascii="Arial" w:hAnsi="Arial" w:cs="Arial"/>
        </w:rPr>
      </w:pPr>
      <w:r w:rsidRPr="005B1B97">
        <w:rPr>
          <w:rFonts w:ascii="Arial" w:hAnsi="Arial" w:cs="Arial"/>
        </w:rPr>
        <w:t>Três índices farmacodinâmicos principais são utilizados para descrever essa relação:</w:t>
      </w:r>
    </w:p>
    <w:p w14:paraId="5FFEA909" w14:textId="77777777" w:rsidR="00B128DA" w:rsidRPr="005B1B97" w:rsidRDefault="00B128DA" w:rsidP="00B128DA">
      <w:pPr>
        <w:spacing w:after="0" w:line="360" w:lineRule="auto"/>
        <w:jc w:val="both"/>
        <w:rPr>
          <w:rFonts w:ascii="Arial" w:hAnsi="Arial" w:cs="Arial"/>
        </w:rPr>
      </w:pPr>
      <w:r w:rsidRPr="005B1B97">
        <w:rPr>
          <w:rFonts w:ascii="Arial" w:hAnsi="Arial" w:cs="Arial"/>
        </w:rPr>
        <w:t>%</w:t>
      </w:r>
      <w:proofErr w:type="spellStart"/>
      <w:r w:rsidRPr="005B1B97">
        <w:rPr>
          <w:rFonts w:ascii="Arial" w:hAnsi="Arial" w:cs="Arial"/>
        </w:rPr>
        <w:t>fT</w:t>
      </w:r>
      <w:proofErr w:type="spellEnd"/>
      <w:r w:rsidRPr="005B1B97">
        <w:rPr>
          <w:rFonts w:ascii="Arial" w:hAnsi="Arial" w:cs="Arial"/>
        </w:rPr>
        <w:t>&gt;MIC — fração do tempo em que a concentração livre do antibacteriano permanece acima da CIM</w:t>
      </w:r>
    </w:p>
    <w:p w14:paraId="47A7AD50" w14:textId="77777777" w:rsidR="00B128DA" w:rsidRPr="005B1B97" w:rsidRDefault="00B128DA" w:rsidP="00B128DA">
      <w:pPr>
        <w:spacing w:after="0" w:line="360" w:lineRule="auto"/>
        <w:jc w:val="both"/>
        <w:rPr>
          <w:rFonts w:ascii="Arial" w:hAnsi="Arial" w:cs="Arial"/>
        </w:rPr>
      </w:pPr>
      <w:proofErr w:type="spellStart"/>
      <w:r w:rsidRPr="005B1B97">
        <w:rPr>
          <w:rFonts w:ascii="Arial" w:hAnsi="Arial" w:cs="Arial"/>
        </w:rPr>
        <w:t>Cmax</w:t>
      </w:r>
      <w:proofErr w:type="spellEnd"/>
      <w:r w:rsidRPr="005B1B97">
        <w:rPr>
          <w:rFonts w:ascii="Arial" w:hAnsi="Arial" w:cs="Arial"/>
        </w:rPr>
        <w:t>/MIC — razão entre a concentração máxima alcançada e a CIM</w:t>
      </w:r>
    </w:p>
    <w:p w14:paraId="06B0B740" w14:textId="77777777" w:rsidR="00B128DA" w:rsidRPr="005B1B97" w:rsidRDefault="00B128DA" w:rsidP="00B128DA">
      <w:pPr>
        <w:spacing w:after="0" w:line="360" w:lineRule="auto"/>
        <w:jc w:val="both"/>
        <w:rPr>
          <w:rFonts w:ascii="Arial" w:hAnsi="Arial" w:cs="Arial"/>
        </w:rPr>
      </w:pPr>
      <w:r w:rsidRPr="005B1B97">
        <w:rPr>
          <w:rFonts w:ascii="Arial" w:hAnsi="Arial" w:cs="Arial"/>
        </w:rPr>
        <w:t>AUC/MIC — razão entre a área sob a curva de concentração ao longo de 24 horas e a CIM</w:t>
      </w:r>
    </w:p>
    <w:p w14:paraId="4472B5EA" w14:textId="3D9DC271" w:rsidR="00B128DA" w:rsidRPr="005B1B97" w:rsidRDefault="00B128DA" w:rsidP="00B128DA">
      <w:pPr>
        <w:spacing w:after="0" w:line="360" w:lineRule="auto"/>
        <w:ind w:firstLine="708"/>
        <w:jc w:val="both"/>
        <w:rPr>
          <w:rFonts w:ascii="Arial" w:hAnsi="Arial" w:cs="Arial"/>
        </w:rPr>
      </w:pPr>
      <w:r w:rsidRPr="005B1B97">
        <w:rPr>
          <w:rFonts w:ascii="Arial" w:hAnsi="Arial" w:cs="Arial"/>
        </w:rPr>
        <w:t xml:space="preserve">Esses parâmetros descrevem diferentes padrões de relação entre exposição ao fármaco e resposta microbiológica </w:t>
      </w:r>
      <w:sdt>
        <w:sdtPr>
          <w:rPr>
            <w:rFonts w:ascii="Arial" w:hAnsi="Arial" w:cs="Arial"/>
            <w:color w:val="000000"/>
          </w:rPr>
          <w:tag w:val="MENDELEY_CITATION_v3_eyJjaXRhdGlvbklEIjoiTUVOREVMRVlfQ0lUQVRJT05fNTBiZDgwYTUtYWNjZS00ZTQ3LTg5NGMtZTVjNDE1YjFhNDgw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iwiY29udGFpbmVyLXRpdGxlLXNob3J0IjoiIn0sImlzVGVtcG9yYXJ5IjpmYWxzZX1dfQ=="/>
          <w:id w:val="-1107040796"/>
          <w:placeholder>
            <w:docPart w:val="B523889C8EB74F2A99F17BA10FAB80BD"/>
          </w:placeholder>
        </w:sdtPr>
        <w:sdtEndPr/>
        <w:sdtContent>
          <w:r w:rsidR="004528C9" w:rsidRPr="004528C9">
            <w:rPr>
              <w:rFonts w:ascii="Arial" w:hAnsi="Arial" w:cs="Arial"/>
              <w:color w:val="000000"/>
            </w:rPr>
            <w:t>(1,11)</w:t>
          </w:r>
        </w:sdtContent>
      </w:sdt>
      <w:r>
        <w:rPr>
          <w:rFonts w:ascii="Arial" w:hAnsi="Arial" w:cs="Arial"/>
          <w:color w:val="000000"/>
        </w:rPr>
        <w:t>.</w:t>
      </w:r>
    </w:p>
    <w:p w14:paraId="7FB9BD87" w14:textId="76163A00" w:rsidR="00B128DA" w:rsidRPr="005B1B97" w:rsidRDefault="00B128DA" w:rsidP="00B128DA">
      <w:pPr>
        <w:spacing w:after="0" w:line="360" w:lineRule="auto"/>
        <w:ind w:firstLine="708"/>
        <w:jc w:val="both"/>
        <w:rPr>
          <w:rFonts w:ascii="Arial" w:hAnsi="Arial" w:cs="Arial"/>
        </w:rPr>
      </w:pPr>
      <w:r w:rsidRPr="005B1B97">
        <w:rPr>
          <w:rFonts w:ascii="Arial" w:hAnsi="Arial" w:cs="Arial"/>
        </w:rPr>
        <w:t>Nos antibacterianos com atividade predominantemente tempo-dependente, o determinante principal da eficácia é o período durante o qual a fração livre do fármaco permanece acima da CIM ao longo do intervalo entre doses (%</w:t>
      </w:r>
      <w:proofErr w:type="spellStart"/>
      <w:r w:rsidRPr="005B1B97">
        <w:rPr>
          <w:rFonts w:ascii="Arial" w:hAnsi="Arial" w:cs="Arial"/>
        </w:rPr>
        <w:t>fT</w:t>
      </w:r>
      <w:proofErr w:type="spellEnd"/>
      <w:r w:rsidRPr="005B1B97">
        <w:rPr>
          <w:rFonts w:ascii="Arial" w:hAnsi="Arial" w:cs="Arial"/>
        </w:rPr>
        <w:t xml:space="preserve">&gt;MIC). O prefixo f indica que apenas a fração não ligada a proteínas plasmáticas está disponível para difusão tecidual e interação com o alvo bacteriano. Nesses fármacos, aumentos excessivos do pico de concentração produzem pouco ganho adicional de efeito se a concentração já estiver acima da CIM. Estratégias como redução do intervalo entre doses ou prolongamento do tempo de infusão podem aumentar o tempo de exposição eficaz </w:t>
      </w:r>
      <w:sdt>
        <w:sdtPr>
          <w:rPr>
            <w:rFonts w:ascii="Arial" w:hAnsi="Arial" w:cs="Arial"/>
            <w:color w:val="000000"/>
          </w:rPr>
          <w:tag w:val="MENDELEY_CITATION_v3_eyJjaXRhdGlvbklEIjoiTUVOREVMRVlfQ0lUQVRJT05fMGExMjZhMTQtNGEwZC00YjA5LWI5OWUtMDg5MmEzMDg3MDE4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1196150893"/>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13A8D6FC" w14:textId="05F36FD6" w:rsidR="00B128DA" w:rsidRPr="005B1B97" w:rsidRDefault="00B128DA" w:rsidP="00B128DA">
      <w:pPr>
        <w:spacing w:after="0" w:line="360" w:lineRule="auto"/>
        <w:ind w:firstLine="708"/>
        <w:jc w:val="both"/>
        <w:rPr>
          <w:rFonts w:ascii="Arial" w:hAnsi="Arial" w:cs="Arial"/>
        </w:rPr>
      </w:pPr>
      <w:r w:rsidRPr="005B1B97">
        <w:rPr>
          <w:rFonts w:ascii="Arial" w:hAnsi="Arial" w:cs="Arial"/>
        </w:rPr>
        <w:t xml:space="preserve">Em antibacterianos com atividade predominantemente concentração-dependente, a magnitude do pico em relação à CIM correlaciona-se com maior velocidade e intensidade de redução da carga bacteriana. Nesse caso, o índice farmacodinâmico relevante é a razão </w:t>
      </w:r>
      <w:proofErr w:type="spellStart"/>
      <w:r w:rsidRPr="005B1B97">
        <w:rPr>
          <w:rFonts w:ascii="Arial" w:hAnsi="Arial" w:cs="Arial"/>
        </w:rPr>
        <w:t>Cmax</w:t>
      </w:r>
      <w:proofErr w:type="spellEnd"/>
      <w:r w:rsidRPr="005B1B97">
        <w:rPr>
          <w:rFonts w:ascii="Arial" w:hAnsi="Arial" w:cs="Arial"/>
        </w:rPr>
        <w:t xml:space="preserve">/MIC. Quanto maior o pico alcançado em relação ao valor da CIM, maior tende a ser o efeito bactericida inicial. Intervalos maiores entre doses podem ser aceitáveis desde que o pico de concentração seja suficientemente elevado para atingir o alvo farmacodinâmico </w:t>
      </w:r>
      <w:sdt>
        <w:sdtPr>
          <w:rPr>
            <w:rFonts w:ascii="Arial" w:hAnsi="Arial" w:cs="Arial"/>
            <w:color w:val="000000"/>
          </w:rPr>
          <w:tag w:val="MENDELEY_CITATION_v3_eyJjaXRhdGlvbklEIjoiTUVOREVMRVlfQ0lUQVRJT05fZmUyNGZhYjEtZWRjMC00MTJlLWJjMWMtZTljN2VkZTNjOGQ2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2089497572"/>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4F4C4D99" w14:textId="4E49F22A" w:rsidR="00B128DA" w:rsidRPr="005B1B97" w:rsidRDefault="00B128DA" w:rsidP="00B128DA">
      <w:pPr>
        <w:spacing w:after="0" w:line="360" w:lineRule="auto"/>
        <w:ind w:firstLine="708"/>
        <w:jc w:val="both"/>
        <w:rPr>
          <w:rFonts w:ascii="Arial" w:hAnsi="Arial" w:cs="Arial"/>
        </w:rPr>
      </w:pPr>
      <w:r w:rsidRPr="005B1B97">
        <w:rPr>
          <w:rFonts w:ascii="Arial" w:hAnsi="Arial" w:cs="Arial"/>
        </w:rPr>
        <w:t>Algumas classes apresentam melhor correlação com a exposição total ao longo do tempo, representada pela razão AUC/MIC. Nesse cenário, tanto a intensidade quanto a duração da exposição contribuem para o efeito antimicrobiano. Pequenas reduções sustentadas na área sob a curva podem comprometer o índice global, mesmo quando o pico inicial parece adequado</w:t>
      </w:r>
      <w:r>
        <w:rPr>
          <w:rFonts w:ascii="Arial" w:hAnsi="Arial" w:cs="Arial"/>
        </w:rPr>
        <w:t xml:space="preserve"> </w:t>
      </w:r>
      <w:sdt>
        <w:sdtPr>
          <w:rPr>
            <w:rFonts w:ascii="Arial" w:hAnsi="Arial" w:cs="Arial"/>
            <w:color w:val="000000"/>
          </w:rPr>
          <w:tag w:val="MENDELEY_CITATION_v3_eyJjaXRhdGlvbklEIjoiTUVOREVMRVlfQ0lUQVRJT05fZDUwZGIwZWEtNzI2YS00OTc0LTk3Y2EtMmUwM2RhYTE1ZWYz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1511024644"/>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3D49CE6F" w14:textId="367D44EE" w:rsidR="00B128DA" w:rsidRDefault="00B128DA" w:rsidP="00B128DA">
      <w:pPr>
        <w:spacing w:after="0" w:line="360" w:lineRule="auto"/>
        <w:ind w:firstLine="708"/>
        <w:jc w:val="both"/>
        <w:rPr>
          <w:rFonts w:ascii="Arial" w:hAnsi="Arial" w:cs="Arial"/>
        </w:rPr>
      </w:pPr>
      <w:r w:rsidRPr="005B1B97">
        <w:rPr>
          <w:rFonts w:ascii="Arial" w:hAnsi="Arial" w:cs="Arial"/>
        </w:rPr>
        <w:t xml:space="preserve">A variabilidade interindividual pode modificar esses parâmetros ao alterar volume de distribuição, depuração renal ou hepática e fração livre circulante. Essas mudanças influenciam a forma como a curva concentração-tempo se posiciona em relação à CIM </w:t>
      </w:r>
      <w:r w:rsidRPr="005B1B97">
        <w:rPr>
          <w:rFonts w:ascii="Arial" w:hAnsi="Arial" w:cs="Arial"/>
        </w:rPr>
        <w:lastRenderedPageBreak/>
        <w:t xml:space="preserve">e, consequentemente, a probabilidade de atingir o índice farmacodinâmico necessário para eficácia terapêutica </w:t>
      </w:r>
      <w:sdt>
        <w:sdtPr>
          <w:rPr>
            <w:rFonts w:ascii="Arial" w:hAnsi="Arial" w:cs="Arial"/>
            <w:color w:val="000000"/>
          </w:rPr>
          <w:tag w:val="MENDELEY_CITATION_v3_eyJjaXRhdGlvbklEIjoiTUVOREVMRVlfQ0lUQVRJT05fZGM0YTUwYmYtYWI0NC00MDI0LTgwZTgtMTRmZmRmYjRiNTE0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
          <w:id w:val="1727567125"/>
          <w:placeholder>
            <w:docPart w:val="B523889C8EB74F2A99F17BA10FAB80BD"/>
          </w:placeholder>
        </w:sdtPr>
        <w:sdtEndPr/>
        <w:sdtContent>
          <w:r w:rsidR="004528C9" w:rsidRPr="004528C9">
            <w:rPr>
              <w:rFonts w:ascii="Arial" w:hAnsi="Arial" w:cs="Arial"/>
              <w:color w:val="000000"/>
            </w:rPr>
            <w:t>(10)</w:t>
          </w:r>
        </w:sdtContent>
      </w:sdt>
      <w:r>
        <w:rPr>
          <w:rFonts w:ascii="Arial" w:hAnsi="Arial" w:cs="Arial"/>
          <w:color w:val="000000"/>
        </w:rPr>
        <w:t>.</w:t>
      </w:r>
    </w:p>
    <w:p w14:paraId="538148B9" w14:textId="77777777" w:rsidR="00B128DA" w:rsidRDefault="00B128DA" w:rsidP="00B128DA">
      <w:pPr>
        <w:spacing w:after="0" w:line="360" w:lineRule="auto"/>
        <w:ind w:firstLine="709"/>
        <w:jc w:val="both"/>
        <w:rPr>
          <w:rFonts w:ascii="Arial" w:hAnsi="Arial" w:cs="Arial"/>
        </w:rPr>
      </w:pPr>
    </w:p>
    <w:p w14:paraId="21CFB73A" w14:textId="35F87F83"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w:t>
      </w:r>
      <w:r w:rsidR="008A533B">
        <w:rPr>
          <w:rFonts w:ascii="Arial" w:hAnsi="Arial" w:cs="Arial"/>
        </w:rPr>
        <w:t>5</w:t>
      </w:r>
    </w:p>
    <w:p w14:paraId="38B4F3A1" w14:textId="77777777" w:rsidR="00B128DA" w:rsidRDefault="00B128DA" w:rsidP="00B128DA">
      <w:pPr>
        <w:spacing w:after="0" w:line="360" w:lineRule="auto"/>
        <w:jc w:val="right"/>
        <w:rPr>
          <w:rFonts w:ascii="Arial" w:hAnsi="Arial" w:cs="Arial"/>
        </w:rPr>
      </w:pPr>
    </w:p>
    <w:p w14:paraId="10F32CE0" w14:textId="77777777" w:rsidR="00B128DA" w:rsidRPr="0065079B" w:rsidRDefault="00B128DA" w:rsidP="00B128DA">
      <w:pPr>
        <w:spacing w:after="0" w:line="360" w:lineRule="auto"/>
        <w:jc w:val="both"/>
        <w:rPr>
          <w:rFonts w:ascii="Arial" w:hAnsi="Arial" w:cs="Arial"/>
          <w:b/>
          <w:bCs/>
        </w:rPr>
      </w:pPr>
      <w:r w:rsidRPr="0065079B">
        <w:rPr>
          <w:rFonts w:ascii="Arial" w:hAnsi="Arial" w:cs="Arial"/>
          <w:b/>
          <w:bCs/>
        </w:rPr>
        <w:t>Penetração tecidual e compartimentos infecciosos</w:t>
      </w:r>
    </w:p>
    <w:p w14:paraId="5C0D487E" w14:textId="77777777" w:rsidR="00B128DA" w:rsidRPr="0065079B" w:rsidRDefault="00B128DA" w:rsidP="00B128DA">
      <w:pPr>
        <w:spacing w:after="0" w:line="360" w:lineRule="auto"/>
        <w:jc w:val="both"/>
        <w:rPr>
          <w:rFonts w:ascii="Arial" w:hAnsi="Arial" w:cs="Arial"/>
        </w:rPr>
      </w:pPr>
      <w:r>
        <w:rPr>
          <w:rFonts w:ascii="Arial" w:hAnsi="Arial" w:cs="Arial"/>
        </w:rPr>
        <w:tab/>
      </w:r>
    </w:p>
    <w:p w14:paraId="04A2EFAE" w14:textId="307CC46D" w:rsidR="00B128DA" w:rsidRPr="0065079B" w:rsidRDefault="00B128DA" w:rsidP="00B128DA">
      <w:pPr>
        <w:spacing w:after="0" w:line="360" w:lineRule="auto"/>
        <w:ind w:firstLine="708"/>
        <w:jc w:val="both"/>
        <w:rPr>
          <w:rFonts w:ascii="Arial" w:hAnsi="Arial" w:cs="Arial"/>
        </w:rPr>
      </w:pPr>
      <w:r w:rsidRPr="0081579E">
        <w:rPr>
          <w:rFonts w:ascii="Arial" w:hAnsi="Arial" w:cs="Arial"/>
        </w:rPr>
        <w:t>A concentração plasmática de um antibacteriano nem sempre reflete a concentração atingida no foco infeccioso. A atividade terapêutica depende da exposição efetiva no compartimento onde o microrganismo</w:t>
      </w:r>
      <w:r w:rsidRPr="0065079B">
        <w:rPr>
          <w:rFonts w:ascii="Arial" w:hAnsi="Arial" w:cs="Arial"/>
        </w:rPr>
        <w:t xml:space="preserve"> se encontra. Essa distribuição resulta da interação entre propriedades físico-químicas do fármaco, características do tecido envolvido e condições fisiológicas do hospedeiro</w:t>
      </w:r>
      <w:r>
        <w:rPr>
          <w:rFonts w:ascii="Arial" w:hAnsi="Arial" w:cs="Arial"/>
        </w:rPr>
        <w:t xml:space="preserve"> </w:t>
      </w:r>
      <w:sdt>
        <w:sdtPr>
          <w:rPr>
            <w:rFonts w:ascii="Arial" w:hAnsi="Arial" w:cs="Arial"/>
            <w:color w:val="000000"/>
          </w:rPr>
          <w:tag w:val="MENDELEY_CITATION_v3_eyJjaXRhdGlvbklEIjoiTUVOREVMRVlfQ0lUQVRJT05fZDhmMjliOGUtM2NiZS00MTA1LTk3YmUtOTllNmJhMjY5ZDBmIiwicHJvcGVydGllcyI6eyJub3RlSW5kZXgiOjB9LCJpc0VkaXRlZCI6ZmFsc2UsIm1hbnVhbE92ZXJyaWRlIjp7ImlzTWFudWFsbHlPdmVycmlkZGVuIjpmYWxzZSwiY2l0ZXByb2NUZXh0IjoiKDYsMTI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"/>
          <w:id w:val="-493110659"/>
          <w:placeholder>
            <w:docPart w:val="B523889C8EB74F2A99F17BA10FAB80BD"/>
          </w:placeholder>
        </w:sdtPr>
        <w:sdtEndPr/>
        <w:sdtContent>
          <w:r w:rsidR="004528C9" w:rsidRPr="004528C9">
            <w:rPr>
              <w:rFonts w:ascii="Arial" w:hAnsi="Arial" w:cs="Arial"/>
              <w:color w:val="000000"/>
            </w:rPr>
            <w:t>(6,12)</w:t>
          </w:r>
        </w:sdtContent>
      </w:sdt>
      <w:r>
        <w:rPr>
          <w:rFonts w:ascii="Arial" w:hAnsi="Arial" w:cs="Arial"/>
        </w:rPr>
        <w:t>.</w:t>
      </w:r>
    </w:p>
    <w:p w14:paraId="79D19AE2" w14:textId="07D193DC" w:rsidR="00B128DA" w:rsidRPr="0065079B" w:rsidRDefault="00B128DA" w:rsidP="00B128DA">
      <w:pPr>
        <w:spacing w:after="0" w:line="360" w:lineRule="auto"/>
        <w:ind w:firstLine="708"/>
        <w:jc w:val="both"/>
        <w:rPr>
          <w:rFonts w:ascii="Arial" w:hAnsi="Arial" w:cs="Arial"/>
        </w:rPr>
      </w:pPr>
      <w:r w:rsidRPr="0065079B">
        <w:rPr>
          <w:rFonts w:ascii="Arial" w:hAnsi="Arial" w:cs="Arial"/>
        </w:rPr>
        <w:t xml:space="preserve">Após a administração, o antibacteriano distribui-se pelos diferentes compartimentos corporais de acordo com seu volume de distribuição e suas características moleculares. Fármacos predominantemente hidrofílicos tendem a permanecer no espaço extracelular, enquanto moléculas mais lipofílicas atravessam membranas celulares com maior facilidade e alcançam compartimentos intracelulares em maior extensão. Essas diferenças influenciam a concentração efetiva atingida no local da infecção </w:t>
      </w:r>
      <w:sdt>
        <w:sdtPr>
          <w:rPr>
            <w:rFonts w:ascii="Arial" w:hAnsi="Arial" w:cs="Arial"/>
            <w:color w:val="000000"/>
          </w:rPr>
          <w:tag w:val="MENDELEY_CITATION_v3_eyJjaXRhdGlvbklEIjoiTUVOREVMRVlfQ0lUQVRJT05fNTkwZTg5ZGYtZGJjNy00YTJjLThjZWEtNWRhNzVkMWFmODJj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
          <w:id w:val="-1815093606"/>
          <w:placeholder>
            <w:docPart w:val="B523889C8EB74F2A99F17BA10FAB80BD"/>
          </w:placeholder>
        </w:sdtPr>
        <w:sdtEndPr/>
        <w:sdtContent>
          <w:r w:rsidR="004528C9" w:rsidRPr="004528C9">
            <w:rPr>
              <w:rFonts w:ascii="Arial" w:hAnsi="Arial" w:cs="Arial"/>
              <w:color w:val="000000"/>
            </w:rPr>
            <w:t>(10)</w:t>
          </w:r>
        </w:sdtContent>
      </w:sdt>
      <w:r>
        <w:rPr>
          <w:rFonts w:ascii="Arial" w:hAnsi="Arial" w:cs="Arial"/>
          <w:color w:val="000000"/>
        </w:rPr>
        <w:t>.</w:t>
      </w:r>
    </w:p>
    <w:p w14:paraId="792FC489" w14:textId="77777777" w:rsidR="00B128DA" w:rsidRPr="0065079B" w:rsidRDefault="00B128DA" w:rsidP="00B128DA">
      <w:pPr>
        <w:spacing w:after="0" w:line="360" w:lineRule="auto"/>
        <w:ind w:firstLine="708"/>
        <w:jc w:val="both"/>
        <w:rPr>
          <w:rFonts w:ascii="Arial" w:hAnsi="Arial" w:cs="Arial"/>
        </w:rPr>
      </w:pPr>
      <w:r w:rsidRPr="0065079B">
        <w:rPr>
          <w:rFonts w:ascii="Arial" w:hAnsi="Arial" w:cs="Arial"/>
        </w:rPr>
        <w:t>Alterações fisiopatológicas podem modificar substancialmente esse comportamento. Em estados inflamatórios sistêmicos, como sepse, o aumento da permeabilidade vascular e do volume de distribuição pode reduzir as concentrações plasmáticas iniciais de fármacos hidrofílicos. Em pacientes com depuração renal aumentada, particularmente em contextos críticos, a eliminação acelerada pode reduzir o tempo em que a concentração permanece acima da CIM</w:t>
      </w:r>
      <w:r>
        <w:rPr>
          <w:rFonts w:ascii="Arial" w:hAnsi="Arial" w:cs="Arial"/>
        </w:rPr>
        <w:t xml:space="preserve"> </w:t>
      </w:r>
    </w:p>
    <w:p w14:paraId="3893C676" w14:textId="71397040" w:rsidR="00B128DA" w:rsidRPr="0065079B" w:rsidRDefault="00B128DA" w:rsidP="00B128DA">
      <w:pPr>
        <w:spacing w:after="0" w:line="360" w:lineRule="auto"/>
        <w:ind w:firstLine="708"/>
        <w:jc w:val="both"/>
        <w:rPr>
          <w:rFonts w:ascii="Arial" w:hAnsi="Arial" w:cs="Arial"/>
        </w:rPr>
      </w:pPr>
      <w:r w:rsidRPr="0065079B">
        <w:rPr>
          <w:rFonts w:ascii="Arial" w:hAnsi="Arial" w:cs="Arial"/>
        </w:rPr>
        <w:t xml:space="preserve">A ligação a proteínas plasmáticas também interfere na exposição efetiva. Apenas a fração livre do antibacteriano está disponível para difusão tecidual e interação com o alvo bacteriano. Reduções na concentração de albumina, comuns em pacientes gravemente enfermos, podem aumentar a fração livre circulante e modificar tanto a distribuição quanto a depuração do fármaco </w:t>
      </w:r>
      <w:sdt>
        <w:sdtPr>
          <w:rPr>
            <w:rFonts w:ascii="Arial" w:hAnsi="Arial" w:cs="Arial"/>
            <w:color w:val="000000"/>
          </w:rPr>
          <w:tag w:val="MENDELEY_CITATION_v3_eyJjaXRhdGlvbklEIjoiTUVOREVMRVlfQ0lUQVRJT05fMWQ2YWJiYzUtZmRkYS00MzBmLTlmZDgtYTU0MzViNGE1ZTNk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
          <w:id w:val="-195615167"/>
          <w:placeholder>
            <w:docPart w:val="B523889C8EB74F2A99F17BA10FAB80BD"/>
          </w:placeholder>
        </w:sdtPr>
        <w:sdtEndPr/>
        <w:sdtContent>
          <w:r w:rsidR="004528C9" w:rsidRPr="004528C9">
            <w:rPr>
              <w:rFonts w:ascii="Arial" w:hAnsi="Arial" w:cs="Arial"/>
              <w:color w:val="000000"/>
            </w:rPr>
            <w:t>(10)</w:t>
          </w:r>
        </w:sdtContent>
      </w:sdt>
      <w:r>
        <w:rPr>
          <w:rFonts w:ascii="Arial" w:hAnsi="Arial" w:cs="Arial"/>
          <w:color w:val="000000"/>
        </w:rPr>
        <w:t>.</w:t>
      </w:r>
    </w:p>
    <w:p w14:paraId="18317F1A" w14:textId="5532EA9F" w:rsidR="00B128DA" w:rsidRPr="0065079B" w:rsidRDefault="00B128DA" w:rsidP="00B128DA">
      <w:pPr>
        <w:spacing w:after="0" w:line="360" w:lineRule="auto"/>
        <w:ind w:firstLine="708"/>
        <w:jc w:val="both"/>
        <w:rPr>
          <w:rFonts w:ascii="Arial" w:hAnsi="Arial" w:cs="Arial"/>
        </w:rPr>
      </w:pPr>
      <w:r w:rsidRPr="0065079B">
        <w:rPr>
          <w:rFonts w:ascii="Arial" w:hAnsi="Arial" w:cs="Arial"/>
        </w:rPr>
        <w:t>A perfusão tecidual constitui outro determinante relevante. Regiões com vascularização comprometida, como áreas necróticas, coleções purulentas ou tecidos com edema significativo, podem receber menor quantidade de antibacteriano, mesmo quando as concentrações plasmáticas aparentam ser adequadas. Essa heterogeneidade de perfusão pode gerar microambientes nos quais a exposição ao fármaco é inferior à observada no plasma</w:t>
      </w:r>
      <w:r>
        <w:rPr>
          <w:rFonts w:ascii="Arial" w:hAnsi="Arial" w:cs="Arial"/>
        </w:rPr>
        <w:t xml:space="preserve"> </w:t>
      </w:r>
      <w:sdt>
        <w:sdtPr>
          <w:rPr>
            <w:rFonts w:ascii="Arial" w:hAnsi="Arial" w:cs="Arial"/>
            <w:color w:val="000000"/>
          </w:rPr>
          <w:tag w:val="MENDELEY_CITATION_v3_eyJjaXRhdGlvbklEIjoiTUVOREVMRVlfQ0lUQVRJT05fNjIyNzc2MDctNGNmNi00M2JkLTg4ZjgtNzg3MGE4MGE2M2NkIiwicHJvcGVydGllcyI6eyJub3RlSW5kZXgiOjB9LCJpc0VkaXRlZCI6ZmFsc2UsIm1hbnVhbE92ZXJyaWRlIjp7ImlzTWFudWFsbHlPdmVycmlkZGVuIjpmYWxzZSwiY2l0ZXByb2NUZXh0IjoiKDYsMTI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"/>
          <w:id w:val="1835807391"/>
          <w:placeholder>
            <w:docPart w:val="B523889C8EB74F2A99F17BA10FAB80BD"/>
          </w:placeholder>
        </w:sdtPr>
        <w:sdtEndPr/>
        <w:sdtContent>
          <w:r w:rsidR="004528C9" w:rsidRPr="004528C9">
            <w:rPr>
              <w:rFonts w:ascii="Arial" w:hAnsi="Arial" w:cs="Arial"/>
              <w:color w:val="000000"/>
            </w:rPr>
            <w:t>(6,12)</w:t>
          </w:r>
        </w:sdtContent>
      </w:sdt>
      <w:r>
        <w:rPr>
          <w:rFonts w:ascii="Arial" w:hAnsi="Arial" w:cs="Arial"/>
        </w:rPr>
        <w:t>.</w:t>
      </w:r>
    </w:p>
    <w:p w14:paraId="3DE5C0F1" w14:textId="44E0898B" w:rsidR="00B128DA" w:rsidRPr="0065079B" w:rsidRDefault="00B128DA" w:rsidP="00B128DA">
      <w:pPr>
        <w:spacing w:after="0" w:line="360" w:lineRule="auto"/>
        <w:jc w:val="both"/>
        <w:rPr>
          <w:rFonts w:ascii="Arial" w:hAnsi="Arial" w:cs="Arial"/>
        </w:rPr>
      </w:pPr>
      <w:r>
        <w:rPr>
          <w:rFonts w:ascii="Arial" w:hAnsi="Arial" w:cs="Arial"/>
        </w:rPr>
        <w:lastRenderedPageBreak/>
        <w:tab/>
      </w:r>
      <w:r w:rsidRPr="0065079B">
        <w:rPr>
          <w:rFonts w:ascii="Arial" w:hAnsi="Arial" w:cs="Arial"/>
        </w:rPr>
        <w:t xml:space="preserve">Barreiras anatômicas específicas também influenciam a penetração. A barreira hematoencefálica, por exemplo, restringe o acesso de diversas moléculas ao sistema nervoso central na ausência de inflamação. A penetração em tecidos como pulmão, osso, próstata ou cavidades com inflamação crônica varia entre classes farmacológicas e depende da interação entre propriedades moleculares e características locais do tecido </w:t>
      </w:r>
      <w:sdt>
        <w:sdtPr>
          <w:rPr>
            <w:rFonts w:ascii="Arial" w:hAnsi="Arial" w:cs="Arial"/>
            <w:color w:val="000000"/>
          </w:rPr>
          <w:tag w:val="MENDELEY_CITATION_v3_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"/>
          <w:id w:val="490763873"/>
          <w:placeholder>
            <w:docPart w:val="B523889C8EB74F2A99F17BA10FAB80BD"/>
          </w:placeholder>
        </w:sdtPr>
        <w:sdtEndPr/>
        <w:sdtContent>
          <w:r w:rsidR="004528C9" w:rsidRPr="004528C9">
            <w:rPr>
              <w:rFonts w:ascii="Arial" w:hAnsi="Arial" w:cs="Arial"/>
              <w:color w:val="000000"/>
            </w:rPr>
            <w:t>(6,12)</w:t>
          </w:r>
        </w:sdtContent>
      </w:sdt>
      <w:r>
        <w:rPr>
          <w:rFonts w:ascii="Arial" w:hAnsi="Arial" w:cs="Arial"/>
          <w:color w:val="000000"/>
        </w:rPr>
        <w:t>.</w:t>
      </w:r>
    </w:p>
    <w:p w14:paraId="3227B5BE" w14:textId="77777777" w:rsidR="00B128DA" w:rsidRDefault="00B128DA" w:rsidP="00B128DA">
      <w:pPr>
        <w:spacing w:after="0" w:line="360" w:lineRule="auto"/>
        <w:jc w:val="both"/>
        <w:rPr>
          <w:rFonts w:ascii="Arial" w:hAnsi="Arial" w:cs="Arial"/>
        </w:rPr>
      </w:pPr>
      <w:r>
        <w:rPr>
          <w:rFonts w:ascii="Arial" w:hAnsi="Arial" w:cs="Arial"/>
        </w:rPr>
        <w:tab/>
      </w:r>
      <w:r w:rsidRPr="0065079B">
        <w:rPr>
          <w:rFonts w:ascii="Arial" w:hAnsi="Arial" w:cs="Arial"/>
        </w:rPr>
        <w:t>Essas variáveis fazem com que dois pacientes com o mesmo valor de CIM e esquema posológico idêntico possam atingir exposições diferentes no sítio da infecção, modificando a probabilidade de alcançar o índice farmacodinâmico necessário para eficácia terapêutica.</w:t>
      </w:r>
    </w:p>
    <w:p w14:paraId="38740BD9" w14:textId="77777777" w:rsidR="00B128DA" w:rsidRDefault="00B128DA" w:rsidP="00B128DA">
      <w:pPr>
        <w:spacing w:after="0" w:line="360" w:lineRule="auto"/>
        <w:jc w:val="both"/>
        <w:rPr>
          <w:rFonts w:ascii="Arial" w:hAnsi="Arial" w:cs="Arial"/>
        </w:rPr>
      </w:pPr>
    </w:p>
    <w:p w14:paraId="56F744CB" w14:textId="5E63FB22"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w:t>
      </w:r>
      <w:r w:rsidR="008A533B">
        <w:rPr>
          <w:rFonts w:ascii="Arial" w:hAnsi="Arial" w:cs="Arial"/>
        </w:rPr>
        <w:t>6</w:t>
      </w:r>
    </w:p>
    <w:p w14:paraId="67170C17" w14:textId="77777777" w:rsidR="00B128DA" w:rsidRDefault="00B128DA" w:rsidP="00B128DA">
      <w:pPr>
        <w:spacing w:after="0" w:line="360" w:lineRule="auto"/>
        <w:jc w:val="right"/>
        <w:rPr>
          <w:rFonts w:ascii="Arial" w:hAnsi="Arial" w:cs="Arial"/>
        </w:rPr>
      </w:pPr>
    </w:p>
    <w:p w14:paraId="7A37C138" w14:textId="77777777" w:rsidR="00B128DA" w:rsidRPr="00472CAE" w:rsidRDefault="00B128DA" w:rsidP="00B128DA">
      <w:pPr>
        <w:spacing w:after="0" w:line="360" w:lineRule="auto"/>
        <w:jc w:val="both"/>
        <w:rPr>
          <w:rFonts w:ascii="Arial" w:hAnsi="Arial" w:cs="Arial"/>
          <w:b/>
          <w:bCs/>
        </w:rPr>
      </w:pPr>
      <w:r w:rsidRPr="00472CAE">
        <w:rPr>
          <w:rFonts w:ascii="Arial" w:hAnsi="Arial" w:cs="Arial"/>
          <w:b/>
          <w:bCs/>
        </w:rPr>
        <w:t>Biofilme e microambiente infeccioso</w:t>
      </w:r>
    </w:p>
    <w:p w14:paraId="47FC6CA4" w14:textId="77777777" w:rsidR="00B128DA" w:rsidRPr="00472CAE" w:rsidRDefault="00B128DA" w:rsidP="00B128DA">
      <w:pPr>
        <w:spacing w:after="0" w:line="360" w:lineRule="auto"/>
        <w:jc w:val="both"/>
        <w:rPr>
          <w:rFonts w:ascii="Arial" w:hAnsi="Arial" w:cs="Arial"/>
        </w:rPr>
      </w:pPr>
    </w:p>
    <w:p w14:paraId="39E0AD9D" w14:textId="35B9DAB1" w:rsidR="00B128DA" w:rsidRPr="00472CAE" w:rsidRDefault="00B128DA" w:rsidP="00B128DA">
      <w:pPr>
        <w:spacing w:after="0" w:line="360" w:lineRule="auto"/>
        <w:ind w:firstLine="708"/>
        <w:jc w:val="both"/>
        <w:rPr>
          <w:rFonts w:ascii="Arial" w:hAnsi="Arial" w:cs="Arial"/>
        </w:rPr>
      </w:pPr>
      <w:r w:rsidRPr="00472CAE">
        <w:rPr>
          <w:rFonts w:ascii="Arial" w:hAnsi="Arial" w:cs="Arial"/>
        </w:rPr>
        <w:t>Nem todas as bactérias envolvidas em um processo infeccioso encontram-se livres no meio líquido. Em diversas condições clínicas, elas organizam-se em comunidades estruturadas aderidas a superfícies biológicas ou artificiais, formando biofilmes. Nesse arranjo, as células bacterianas permanecem envolvidas por uma matriz extracelular composta por polissacarídeos, proteínas e DNA extracelular, criando um microambiente com características próprias</w:t>
      </w:r>
      <w:r>
        <w:rPr>
          <w:rFonts w:ascii="Arial" w:hAnsi="Arial" w:cs="Arial"/>
        </w:rPr>
        <w:t xml:space="preserve"> </w:t>
      </w:r>
      <w:sdt>
        <w:sdtPr>
          <w:rPr>
            <w:rFonts w:ascii="Arial" w:hAnsi="Arial" w:cs="Arial"/>
            <w:color w:val="000000"/>
          </w:rPr>
          <w:tag w:val="MENDELEY_CITATION_v3_eyJjaXRhdGlvbklEIjoiTUVOREVMRVlfQ0lUQVRJT05fOTFmMTkwMGUtODE1ZS00OWZjLWIxNDktMTNmNjczYTVkMmZh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
          <w:id w:val="473960617"/>
          <w:placeholder>
            <w:docPart w:val="B523889C8EB74F2A99F17BA10FAB80BD"/>
          </w:placeholder>
        </w:sdtPr>
        <w:sdtEndPr/>
        <w:sdtContent>
          <w:r w:rsidR="004528C9" w:rsidRPr="004528C9">
            <w:rPr>
              <w:rFonts w:ascii="Arial" w:hAnsi="Arial" w:cs="Arial"/>
              <w:color w:val="000000"/>
            </w:rPr>
            <w:t>(13)</w:t>
          </w:r>
        </w:sdtContent>
      </w:sdt>
      <w:r>
        <w:rPr>
          <w:rFonts w:ascii="Arial" w:hAnsi="Arial" w:cs="Arial"/>
          <w:color w:val="000000"/>
        </w:rPr>
        <w:t>.</w:t>
      </w:r>
    </w:p>
    <w:p w14:paraId="7B71384C" w14:textId="77777777" w:rsidR="00B128DA" w:rsidRPr="00472CAE" w:rsidRDefault="00B128DA" w:rsidP="00B128DA">
      <w:pPr>
        <w:spacing w:after="0" w:line="360" w:lineRule="auto"/>
        <w:jc w:val="both"/>
        <w:rPr>
          <w:rFonts w:ascii="Arial" w:hAnsi="Arial" w:cs="Arial"/>
        </w:rPr>
      </w:pPr>
      <w:r>
        <w:rPr>
          <w:rFonts w:ascii="Arial" w:hAnsi="Arial" w:cs="Arial"/>
        </w:rPr>
        <w:tab/>
      </w:r>
      <w:r w:rsidRPr="00472CAE">
        <w:rPr>
          <w:rFonts w:ascii="Arial" w:hAnsi="Arial" w:cs="Arial"/>
        </w:rPr>
        <w:t>A organização em biofilme modifica a dinâmica de exposição aos antibacterianos. A matriz extracelular pode retardar ou limitar a difusão do fármaco, resultando em gradientes de concentração entre as camadas superficiais e profundas da estrutura. Mesmo quando as concentrações plasmáticas são adequadas, a exposição efetiva no interior do biofilme pode ser inferior à observada no meio circundante</w:t>
      </w:r>
      <w:r>
        <w:rPr>
          <w:rFonts w:ascii="Arial" w:hAnsi="Arial" w:cs="Arial"/>
        </w:rPr>
        <w:t>.</w:t>
      </w:r>
    </w:p>
    <w:p w14:paraId="4189BAC3" w14:textId="2B307932" w:rsidR="00B128DA" w:rsidRPr="00472CAE" w:rsidRDefault="00B128DA" w:rsidP="00B128DA">
      <w:pPr>
        <w:spacing w:after="0" w:line="360" w:lineRule="auto"/>
        <w:jc w:val="both"/>
        <w:rPr>
          <w:rFonts w:ascii="Arial" w:hAnsi="Arial" w:cs="Arial"/>
        </w:rPr>
      </w:pPr>
      <w:r>
        <w:rPr>
          <w:rFonts w:ascii="Arial" w:hAnsi="Arial" w:cs="Arial"/>
        </w:rPr>
        <w:tab/>
      </w:r>
      <w:r w:rsidRPr="00472CAE">
        <w:rPr>
          <w:rFonts w:ascii="Arial" w:hAnsi="Arial" w:cs="Arial"/>
        </w:rPr>
        <w:t>Além da barreira física, existe heterogeneidade fisiológica entre as bactérias presentes no biofilme. Células localizadas nas camadas mais profundas frequentemente apresentam metabolismo reduzido e menor taxa de divisão. Como diversos antibacterianos exercem maior atividade contra bactérias em crescimento ativo, essa redução metabólica pode diminuir a eficácia farmacodinâmica, mesmo na ausência de resistência genética estável</w:t>
      </w:r>
      <w:r>
        <w:rPr>
          <w:rFonts w:ascii="Arial" w:hAnsi="Arial" w:cs="Arial"/>
        </w:rPr>
        <w:t xml:space="preserve"> </w:t>
      </w:r>
      <w:sdt>
        <w:sdtPr>
          <w:rPr>
            <w:rFonts w:ascii="Arial" w:hAnsi="Arial" w:cs="Arial"/>
            <w:color w:val="000000"/>
          </w:rPr>
          <w:tag w:val="MENDELEY_CITATION_v3_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"/>
          <w:id w:val="1981649969"/>
          <w:placeholder>
            <w:docPart w:val="B523889C8EB74F2A99F17BA10FAB80BD"/>
          </w:placeholder>
        </w:sdtPr>
        <w:sdtEndPr/>
        <w:sdtContent>
          <w:r w:rsidR="004528C9" w:rsidRPr="004528C9">
            <w:rPr>
              <w:rFonts w:ascii="Arial" w:hAnsi="Arial" w:cs="Arial"/>
              <w:color w:val="000000"/>
            </w:rPr>
            <w:t>(14)</w:t>
          </w:r>
        </w:sdtContent>
      </w:sdt>
      <w:r>
        <w:rPr>
          <w:rFonts w:ascii="Arial" w:hAnsi="Arial" w:cs="Arial"/>
          <w:color w:val="000000"/>
        </w:rPr>
        <w:t>.</w:t>
      </w:r>
    </w:p>
    <w:p w14:paraId="5BCEAE1E" w14:textId="307BCDE8" w:rsidR="00B128DA" w:rsidRPr="00472CAE" w:rsidRDefault="00B128DA" w:rsidP="00B128DA">
      <w:pPr>
        <w:spacing w:after="0" w:line="360" w:lineRule="auto"/>
        <w:jc w:val="both"/>
        <w:rPr>
          <w:rFonts w:ascii="Arial" w:hAnsi="Arial" w:cs="Arial"/>
        </w:rPr>
      </w:pPr>
      <w:r>
        <w:rPr>
          <w:rFonts w:ascii="Arial" w:hAnsi="Arial" w:cs="Arial"/>
        </w:rPr>
        <w:tab/>
      </w:r>
      <w:r w:rsidRPr="00472CAE">
        <w:rPr>
          <w:rFonts w:ascii="Arial" w:hAnsi="Arial" w:cs="Arial"/>
        </w:rPr>
        <w:t>Dentro do biofilme podem coexistir subpopulações com diferentes estados funcionais, incluindo células metabolicamente ativas, células em fase estacionária e variantes transitórias com maior tolerância à exposição antimicrobiana</w:t>
      </w:r>
      <w:r>
        <w:rPr>
          <w:rFonts w:ascii="Arial" w:hAnsi="Arial" w:cs="Arial"/>
        </w:rPr>
        <w:t xml:space="preserve"> </w:t>
      </w:r>
      <w:sdt>
        <w:sdtPr>
          <w:rPr>
            <w:rFonts w:ascii="Arial" w:hAnsi="Arial" w:cs="Arial"/>
            <w:color w:val="000000"/>
          </w:rPr>
          <w:tag w:val="MENDELEY_CITATION_v3_eyJjaXRhdGlvbklEIjoiTUVOREVMRVlfQ0lUQVRJT05fYjRhMjc2MTctMTg1NC00YjhlLWJmNGItYWExYzFhOGE3MmFl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
          <w:id w:val="-814107222"/>
          <w:placeholder>
            <w:docPart w:val="B523889C8EB74F2A99F17BA10FAB80BD"/>
          </w:placeholder>
        </w:sdtPr>
        <w:sdtEndPr/>
        <w:sdtContent>
          <w:r w:rsidR="004528C9" w:rsidRPr="004528C9">
            <w:rPr>
              <w:rFonts w:ascii="Arial" w:hAnsi="Arial" w:cs="Arial"/>
              <w:color w:val="000000"/>
            </w:rPr>
            <w:t>(13)</w:t>
          </w:r>
        </w:sdtContent>
      </w:sdt>
      <w:r w:rsidRPr="00472CAE">
        <w:rPr>
          <w:rFonts w:ascii="Arial" w:hAnsi="Arial" w:cs="Arial"/>
        </w:rPr>
        <w:t xml:space="preserve">. Essa </w:t>
      </w:r>
      <w:r w:rsidRPr="00472CAE">
        <w:rPr>
          <w:rFonts w:ascii="Arial" w:hAnsi="Arial" w:cs="Arial"/>
        </w:rPr>
        <w:lastRenderedPageBreak/>
        <w:t>tolerância fenotípica não corresponde necessariamente à presença de mutações ou genes de resistência, mas altera a resposta ao tratamento.</w:t>
      </w:r>
    </w:p>
    <w:p w14:paraId="22FAA897" w14:textId="0492A7B5" w:rsidR="00B128DA" w:rsidRPr="00472CAE" w:rsidRDefault="00B128DA" w:rsidP="00B128DA">
      <w:pPr>
        <w:spacing w:after="0" w:line="360" w:lineRule="auto"/>
        <w:jc w:val="both"/>
        <w:rPr>
          <w:rFonts w:ascii="Arial" w:hAnsi="Arial" w:cs="Arial"/>
        </w:rPr>
      </w:pPr>
      <w:r>
        <w:rPr>
          <w:rFonts w:ascii="Arial" w:hAnsi="Arial" w:cs="Arial"/>
        </w:rPr>
        <w:tab/>
      </w:r>
      <w:r w:rsidRPr="00472CAE">
        <w:rPr>
          <w:rFonts w:ascii="Arial" w:hAnsi="Arial" w:cs="Arial"/>
        </w:rPr>
        <w:t>O microambiente infeccioso também pode apresentar variações locais de pH, disponibilidade de oxigênio, perfusão tecidual e acúmulo de detritos celulares. Essas condições influenciam tanto a atividade do antibacteriano quanto a eficácia da resposta imune do hospedeiro</w:t>
      </w:r>
      <w:r>
        <w:rPr>
          <w:rFonts w:ascii="Arial" w:hAnsi="Arial" w:cs="Arial"/>
        </w:rPr>
        <w:t xml:space="preserve"> </w:t>
      </w:r>
      <w:sdt>
        <w:sdtPr>
          <w:rPr>
            <w:rFonts w:ascii="Arial" w:hAnsi="Arial" w:cs="Arial"/>
            <w:color w:val="000000"/>
          </w:rPr>
          <w:tag w:val="MENDELEY_CITATION_v3_eyJjaXRhdGlvbklEIjoiTUVOREVMRVlfQ0lUQVRJT05fMDgzYmMyMDktYjkzMS00Y2I4LTg0YjctZTFjYThjODc2MmJlIiwicHJvcGVydGllcyI6eyJub3RlSW5kZXgiOjB9LCJpc0VkaXRlZCI6ZmFsc2UsIm1hbnVhbE92ZXJyaWRlIjp7ImlzTWFudWFsbHlPdmVycmlkZGVuIjpmYWxzZSwiY2l0ZXByb2NUZXh0IjoiKDEzLDE0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"/>
          <w:id w:val="-1426883080"/>
          <w:placeholder>
            <w:docPart w:val="B523889C8EB74F2A99F17BA10FAB80BD"/>
          </w:placeholder>
        </w:sdtPr>
        <w:sdtEndPr/>
        <w:sdtContent>
          <w:r w:rsidR="004528C9" w:rsidRPr="004528C9">
            <w:rPr>
              <w:rFonts w:ascii="Arial" w:hAnsi="Arial" w:cs="Arial"/>
              <w:color w:val="000000"/>
            </w:rPr>
            <w:t>(13,14)</w:t>
          </w:r>
        </w:sdtContent>
      </w:sdt>
      <w:r>
        <w:rPr>
          <w:rFonts w:ascii="Arial" w:hAnsi="Arial" w:cs="Arial"/>
        </w:rPr>
        <w:t>.</w:t>
      </w:r>
    </w:p>
    <w:p w14:paraId="05226DB8" w14:textId="5A0E48AB" w:rsidR="00B128DA" w:rsidRDefault="00B128DA" w:rsidP="00B128DA">
      <w:pPr>
        <w:spacing w:after="0" w:line="360" w:lineRule="auto"/>
        <w:jc w:val="both"/>
        <w:rPr>
          <w:rFonts w:ascii="Arial" w:hAnsi="Arial" w:cs="Arial"/>
        </w:rPr>
      </w:pPr>
      <w:r>
        <w:rPr>
          <w:rFonts w:ascii="Arial" w:hAnsi="Arial" w:cs="Arial"/>
        </w:rPr>
        <w:tab/>
      </w:r>
      <w:r w:rsidRPr="00472CAE">
        <w:rPr>
          <w:rFonts w:ascii="Arial" w:hAnsi="Arial" w:cs="Arial"/>
        </w:rPr>
        <w:t>Em infecções associadas a dispositivos médicos, próteses ou tecidos com inflamação crônica, a organização em biofilme modifica a previsibilidade da resposta terapêutica baseada exclusivamente em testes de suscetibilidade in vitro. Nesses contextos, a interação entre estrutura do biofilme, microambiente local e exposição ao antibacteriano pode influenciar significativamente a dinâmica da infecção</w:t>
      </w:r>
      <w:r>
        <w:rPr>
          <w:rFonts w:ascii="Arial" w:hAnsi="Arial" w:cs="Arial"/>
          <w:color w:val="000000"/>
        </w:rPr>
        <w:t xml:space="preserve"> </w:t>
      </w:r>
      <w:sdt>
        <w:sdtPr>
          <w:rPr>
            <w:rFonts w:ascii="Arial" w:hAnsi="Arial" w:cs="Arial"/>
            <w:color w:val="000000"/>
          </w:rPr>
          <w:tag w:val="MENDELEY_CITATION_v3_eyJjaXRhdGlvbklEIjoiTUVOREVMRVlfQ0lUQVRJT05fMTBkMGQ5MzgtZDNiOS00NGNlLTlkOGEtZmU5MTdmYTEyN2M2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
          <w:id w:val="-513142715"/>
          <w:placeholder>
            <w:docPart w:val="B523889C8EB74F2A99F17BA10FAB80BD"/>
          </w:placeholder>
        </w:sdtPr>
        <w:sdtEndPr/>
        <w:sdtContent>
          <w:r w:rsidR="004528C9" w:rsidRPr="004528C9">
            <w:rPr>
              <w:rFonts w:ascii="Arial" w:hAnsi="Arial" w:cs="Arial"/>
              <w:color w:val="000000"/>
            </w:rPr>
            <w:t>(13)</w:t>
          </w:r>
        </w:sdtContent>
      </w:sdt>
      <w:r w:rsidR="00493AAE">
        <w:rPr>
          <w:rFonts w:ascii="Arial" w:hAnsi="Arial" w:cs="Arial"/>
          <w:color w:val="000000"/>
        </w:rPr>
        <w:t>.</w:t>
      </w:r>
    </w:p>
    <w:p w14:paraId="14D7DC8D" w14:textId="77777777" w:rsidR="00B128DA" w:rsidRDefault="00B128DA" w:rsidP="00B128DA">
      <w:pPr>
        <w:spacing w:after="0" w:line="360" w:lineRule="auto"/>
        <w:jc w:val="both"/>
        <w:rPr>
          <w:rFonts w:ascii="Arial" w:hAnsi="Arial" w:cs="Arial"/>
        </w:rPr>
      </w:pPr>
    </w:p>
    <w:p w14:paraId="3834C33F" w14:textId="4D9617FD"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w:t>
      </w:r>
      <w:r w:rsidR="008A533B">
        <w:rPr>
          <w:rFonts w:ascii="Arial" w:hAnsi="Arial" w:cs="Arial"/>
        </w:rPr>
        <w:t>7</w:t>
      </w:r>
    </w:p>
    <w:p w14:paraId="5B33204D" w14:textId="77777777" w:rsidR="00B128DA" w:rsidRDefault="00B128DA" w:rsidP="00B128DA">
      <w:pPr>
        <w:spacing w:after="0" w:line="360" w:lineRule="auto"/>
        <w:jc w:val="right"/>
        <w:rPr>
          <w:rFonts w:ascii="Arial" w:hAnsi="Arial" w:cs="Arial"/>
        </w:rPr>
      </w:pPr>
    </w:p>
    <w:p w14:paraId="536B10B3" w14:textId="77777777" w:rsidR="00B128DA" w:rsidRPr="003D656B" w:rsidRDefault="00B128DA" w:rsidP="00B128DA">
      <w:pPr>
        <w:spacing w:after="0" w:line="360" w:lineRule="auto"/>
        <w:jc w:val="both"/>
        <w:rPr>
          <w:rFonts w:ascii="Arial" w:hAnsi="Arial" w:cs="Arial"/>
          <w:b/>
          <w:bCs/>
        </w:rPr>
      </w:pPr>
      <w:r w:rsidRPr="003D656B">
        <w:rPr>
          <w:rFonts w:ascii="Arial" w:hAnsi="Arial" w:cs="Arial"/>
          <w:b/>
          <w:bCs/>
        </w:rPr>
        <w:t>Exposição antimicrobiana e dinâmica evolutiva</w:t>
      </w:r>
    </w:p>
    <w:p w14:paraId="4D6C7DFD" w14:textId="77777777" w:rsidR="00B128DA" w:rsidRPr="003D656B" w:rsidRDefault="00B128DA" w:rsidP="00B128DA">
      <w:pPr>
        <w:spacing w:after="0" w:line="360" w:lineRule="auto"/>
        <w:jc w:val="both"/>
        <w:rPr>
          <w:rFonts w:ascii="Arial" w:hAnsi="Arial" w:cs="Arial"/>
        </w:rPr>
      </w:pPr>
    </w:p>
    <w:p w14:paraId="562A4061" w14:textId="6C352057" w:rsidR="00B128DA" w:rsidRPr="003D656B" w:rsidRDefault="00B128DA" w:rsidP="00B128DA">
      <w:pPr>
        <w:spacing w:after="0" w:line="360" w:lineRule="auto"/>
        <w:ind w:firstLine="708"/>
        <w:jc w:val="both"/>
        <w:rPr>
          <w:rFonts w:ascii="Arial" w:hAnsi="Arial" w:cs="Arial"/>
        </w:rPr>
      </w:pPr>
      <w:r w:rsidRPr="003D656B">
        <w:rPr>
          <w:rFonts w:ascii="Arial" w:hAnsi="Arial" w:cs="Arial"/>
        </w:rPr>
        <w:t>A exposição ao antibacteriano não apenas reduz a carga bacteriana, mas também modifica a composição relativa da população microbiana residual. A intensidade e a consistência dessa exposição influenciam tanto a velocidade de erradicação bacteriana quanto a probabilidade de que subpopulações com menor suscetibilidade se tornem predominantes ao longo do tratamento</w:t>
      </w:r>
      <w:r>
        <w:rPr>
          <w:rFonts w:ascii="Arial" w:hAnsi="Arial" w:cs="Arial"/>
        </w:rPr>
        <w:t xml:space="preserve"> </w:t>
      </w:r>
      <w:sdt>
        <w:sdtPr>
          <w:rPr>
            <w:rFonts w:ascii="Arial" w:hAnsi="Arial" w:cs="Arial"/>
            <w:color w:val="000000"/>
          </w:rPr>
          <w:tag w:val="MENDELEY_CITATION_v3_eyJjaXRhdGlvbklEIjoiTUVOREVMRVlfQ0lUQVRJT05fMDA5NDdiMzMtNjlhMC00NDQ0LWE1NDAtZGJmYWVkMjUxZDJmIiwicHJvcGVydGllcyI6eyJub3RlSW5kZXgiOjB9LCJpc0VkaXRlZCI6ZmFsc2UsIm1hbnVhbE92ZXJyaWRlIjp7ImlzTWFudWFsbHlPdmVycmlkZGVuIjpmYWxzZSwiY2l0ZXByb2NUZXh0IjoiKDIpIiwibWFudWFsT3ZlcnJpZGVUZXh0IjoiIn0sImNpdGF0aW9uSXRlbXMiOlt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
          <w:id w:val="-893496302"/>
          <w:placeholder>
            <w:docPart w:val="B523889C8EB74F2A99F17BA10FAB80BD"/>
          </w:placeholder>
        </w:sdtPr>
        <w:sdtEndPr/>
        <w:sdtContent>
          <w:r w:rsidR="004528C9" w:rsidRPr="004528C9">
            <w:rPr>
              <w:rFonts w:ascii="Arial" w:hAnsi="Arial" w:cs="Arial"/>
              <w:color w:val="000000"/>
            </w:rPr>
            <w:t>(2)</w:t>
          </w:r>
        </w:sdtContent>
      </w:sdt>
      <w:r>
        <w:rPr>
          <w:rFonts w:ascii="Arial" w:hAnsi="Arial" w:cs="Arial"/>
        </w:rPr>
        <w:t>.</w:t>
      </w:r>
    </w:p>
    <w:p w14:paraId="2DF4B18A" w14:textId="77777777" w:rsidR="00B128DA" w:rsidRPr="003D656B" w:rsidRDefault="00B128DA" w:rsidP="00B128DA">
      <w:pPr>
        <w:spacing w:after="0" w:line="360" w:lineRule="auto"/>
        <w:ind w:firstLine="708"/>
        <w:jc w:val="both"/>
        <w:rPr>
          <w:rFonts w:ascii="Arial" w:hAnsi="Arial" w:cs="Arial"/>
        </w:rPr>
      </w:pPr>
      <w:r w:rsidRPr="003D656B">
        <w:rPr>
          <w:rFonts w:ascii="Arial" w:hAnsi="Arial" w:cs="Arial"/>
        </w:rPr>
        <w:t>Populações bacterianas apresentam variabilidade genética e fenotípica mesmo antes da exposição ao antibacteriano. Quando o tratamento é iniciado, as bactérias mais sensíveis tendem a ser eliminadas com maior rapidez, enquanto variantes com menor suscetibilidade relativa pode persistir. Esse processo altera progressivamente a distribuição de suscetibilidade dentro da população bacteriana</w:t>
      </w:r>
      <w:r>
        <w:rPr>
          <w:rFonts w:ascii="Arial" w:hAnsi="Arial" w:cs="Arial"/>
        </w:rPr>
        <w:t>.</w:t>
      </w:r>
    </w:p>
    <w:p w14:paraId="1F4BCEFB" w14:textId="230CE17D" w:rsidR="00B128DA" w:rsidRPr="003D656B" w:rsidRDefault="00B128DA" w:rsidP="00B128DA">
      <w:pPr>
        <w:spacing w:after="0" w:line="360" w:lineRule="auto"/>
        <w:jc w:val="both"/>
        <w:rPr>
          <w:rFonts w:ascii="Arial" w:hAnsi="Arial" w:cs="Arial"/>
        </w:rPr>
      </w:pPr>
      <w:r>
        <w:rPr>
          <w:rFonts w:ascii="Arial" w:hAnsi="Arial" w:cs="Arial"/>
        </w:rPr>
        <w:tab/>
      </w:r>
      <w:r w:rsidRPr="003D656B">
        <w:rPr>
          <w:rFonts w:ascii="Arial" w:hAnsi="Arial" w:cs="Arial"/>
        </w:rPr>
        <w:t xml:space="preserve">Esse fenômeno torna-se mais provável quando a exposição ao antibacteriano oscila próxima ao limiar farmacodinâmico necessário para inibição bacteriana. Nessa situação, parte da população é suprimida enquanto outras subpopulações permanecem viáveis. A repetição desse padrão ao longo de ciclos terapêuticos pode deslocar gradualmente a distribuição populacional para valores mais elevados de concentração inibitória mínima </w:t>
      </w:r>
      <w:sdt>
        <w:sdtPr>
          <w:rPr>
            <w:rFonts w:ascii="Arial" w:hAnsi="Arial" w:cs="Arial"/>
            <w:color w:val="000000"/>
          </w:rPr>
          <w:tag w:val="MENDELEY_CITATION_v3_eyJjaXRhdGlvbklEIjoiTUVOREVMRVlfQ0lUQVRJT05fMzkzYzY4YjktZmJiMC00YjY4LTlkMWItYmY4ZmVkYjQzNGQx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
          <w:id w:val="815687919"/>
          <w:placeholder>
            <w:docPart w:val="B523889C8EB74F2A99F17BA10FAB80BD"/>
          </w:placeholder>
        </w:sdtPr>
        <w:sdtEndPr/>
        <w:sdtContent>
          <w:r w:rsidR="004528C9" w:rsidRPr="004528C9">
            <w:rPr>
              <w:rFonts w:ascii="Arial" w:hAnsi="Arial" w:cs="Arial"/>
              <w:color w:val="000000"/>
            </w:rPr>
            <w:t>(4,5)</w:t>
          </w:r>
        </w:sdtContent>
      </w:sdt>
      <w:r>
        <w:rPr>
          <w:rFonts w:ascii="Arial" w:hAnsi="Arial" w:cs="Arial"/>
          <w:color w:val="000000"/>
        </w:rPr>
        <w:t>.</w:t>
      </w:r>
    </w:p>
    <w:p w14:paraId="3A50307A" w14:textId="0CF82147" w:rsidR="00B128DA" w:rsidRPr="003D656B" w:rsidRDefault="00B128DA" w:rsidP="00B128DA">
      <w:pPr>
        <w:spacing w:after="0" w:line="360" w:lineRule="auto"/>
        <w:jc w:val="both"/>
        <w:rPr>
          <w:rFonts w:ascii="Arial" w:hAnsi="Arial" w:cs="Arial"/>
        </w:rPr>
      </w:pPr>
      <w:r>
        <w:rPr>
          <w:rFonts w:ascii="Arial" w:hAnsi="Arial" w:cs="Arial"/>
        </w:rPr>
        <w:tab/>
      </w:r>
      <w:r w:rsidRPr="003D656B">
        <w:rPr>
          <w:rFonts w:ascii="Arial" w:hAnsi="Arial" w:cs="Arial"/>
        </w:rPr>
        <w:t xml:space="preserve">A probabilidade desse deslocamento aumenta em cenários de alta carga bacteriana, presença de compartimentos com penetração heterogênea ou variabilidade farmacocinética interindividual. Nessas condições, a concentração efetiva no foco infeccioso pode não refletir a concentração plasmática medida, resultando em exposição </w:t>
      </w:r>
      <w:proofErr w:type="spellStart"/>
      <w:r w:rsidRPr="003D656B">
        <w:rPr>
          <w:rFonts w:ascii="Arial" w:hAnsi="Arial" w:cs="Arial"/>
        </w:rPr>
        <w:t>subótima</w:t>
      </w:r>
      <w:proofErr w:type="spellEnd"/>
      <w:r w:rsidRPr="003D656B">
        <w:rPr>
          <w:rFonts w:ascii="Arial" w:hAnsi="Arial" w:cs="Arial"/>
        </w:rPr>
        <w:t xml:space="preserve"> em determinados microambientes </w:t>
      </w:r>
      <w:sdt>
        <w:sdtPr>
          <w:rPr>
            <w:rFonts w:ascii="Arial" w:hAnsi="Arial" w:cs="Arial"/>
            <w:color w:val="000000"/>
          </w:rPr>
          <w:tag w:val="MENDELEY_CITATION_v3_eyJjaXRhdGlvbklEIjoiTUVOREVMRVlfQ0lUQVRJT05fOWE4ZjY5YWQtMTBhOS00ZjBhLWFlY2ItODMxYjQ2NzdlMDMw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
          <w:id w:val="-1249656638"/>
          <w:placeholder>
            <w:docPart w:val="B523889C8EB74F2A99F17BA10FAB80BD"/>
          </w:placeholder>
        </w:sdtPr>
        <w:sdtEndPr/>
        <w:sdtContent>
          <w:r w:rsidR="004528C9" w:rsidRPr="004528C9">
            <w:rPr>
              <w:rFonts w:ascii="Arial" w:hAnsi="Arial" w:cs="Arial"/>
              <w:color w:val="000000"/>
            </w:rPr>
            <w:t>(10)</w:t>
          </w:r>
        </w:sdtContent>
      </w:sdt>
      <w:r>
        <w:rPr>
          <w:rFonts w:ascii="Arial" w:hAnsi="Arial" w:cs="Arial"/>
          <w:color w:val="000000"/>
        </w:rPr>
        <w:t>.</w:t>
      </w:r>
    </w:p>
    <w:p w14:paraId="31608220" w14:textId="77777777" w:rsidR="00B128DA" w:rsidRPr="003D656B" w:rsidRDefault="00B128DA" w:rsidP="00B128DA">
      <w:pPr>
        <w:spacing w:after="0" w:line="360" w:lineRule="auto"/>
        <w:jc w:val="both"/>
        <w:rPr>
          <w:rFonts w:ascii="Arial" w:hAnsi="Arial" w:cs="Arial"/>
        </w:rPr>
      </w:pPr>
      <w:r>
        <w:rPr>
          <w:rFonts w:ascii="Arial" w:hAnsi="Arial" w:cs="Arial"/>
        </w:rPr>
        <w:lastRenderedPageBreak/>
        <w:tab/>
      </w:r>
      <w:r w:rsidRPr="003D656B">
        <w:rPr>
          <w:rFonts w:ascii="Arial" w:hAnsi="Arial" w:cs="Arial"/>
        </w:rPr>
        <w:t>Alterações no volume de distribuição, depuração renal acelerada ou diferenças na ligação a proteínas plasmáticas podem reduzir o tempo em que a concentração livre permanece acima da CIM ou diminuir a exposição total ao antibacteriano. Reduções sustentadas nesses parâmetros podem não produzir falha terapêutica imediata, mas alteram gradualmente o ambiente seletivo da população bacteriana</w:t>
      </w:r>
      <w:r>
        <w:rPr>
          <w:rFonts w:ascii="Arial" w:hAnsi="Arial" w:cs="Arial"/>
        </w:rPr>
        <w:t>.</w:t>
      </w:r>
    </w:p>
    <w:p w14:paraId="5E6CDC3E" w14:textId="2BE37002" w:rsidR="00B128DA" w:rsidRDefault="00B128DA" w:rsidP="00B128DA">
      <w:pPr>
        <w:spacing w:after="0" w:line="360" w:lineRule="auto"/>
        <w:jc w:val="both"/>
        <w:rPr>
          <w:rFonts w:ascii="Arial" w:hAnsi="Arial" w:cs="Arial"/>
        </w:rPr>
      </w:pPr>
      <w:r>
        <w:rPr>
          <w:rFonts w:ascii="Arial" w:hAnsi="Arial" w:cs="Arial"/>
        </w:rPr>
        <w:tab/>
      </w:r>
      <w:r w:rsidRPr="003D656B">
        <w:rPr>
          <w:rFonts w:ascii="Arial" w:hAnsi="Arial" w:cs="Arial"/>
        </w:rPr>
        <w:t>Assim, a dinâmica evolutiva observada durante o tratamento antimicrobiano resulta da interação entre três elementos principais: exposição farmacológica, heterogeneidade da população bacteriana e condições do microambiente infeccioso. A compreensão desses fatores ajuda a explicar por que esquemas antimicrobianos inadequados podem favorecer a seleção de variantes menos suscetíveis ao longo do tempo</w:t>
      </w:r>
      <w:r>
        <w:rPr>
          <w:rFonts w:ascii="Arial" w:hAnsi="Arial" w:cs="Arial"/>
        </w:rPr>
        <w:t xml:space="preserve"> </w:t>
      </w:r>
      <w:sdt>
        <w:sdtPr>
          <w:rPr>
            <w:rFonts w:ascii="Arial" w:hAnsi="Arial" w:cs="Arial"/>
            <w:color w:val="000000"/>
          </w:rPr>
          <w:tag w:val="MENDELEY_CITATION_v3_eyJjaXRhdGlvbklEIjoiTUVOREVMRVlfQ0lUQVRJT05fMDJmZTU0YTMtMmQwOC00ODEwLTkzYjMtYTcxNTMwODIzMjlj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
          <w:id w:val="-517386122"/>
          <w:placeholder>
            <w:docPart w:val="B523889C8EB74F2A99F17BA10FAB80BD"/>
          </w:placeholder>
        </w:sdtPr>
        <w:sdtEndPr/>
        <w:sdtContent>
          <w:r w:rsidR="004528C9" w:rsidRPr="004528C9">
            <w:rPr>
              <w:rFonts w:ascii="Arial" w:hAnsi="Arial" w:cs="Arial"/>
              <w:color w:val="000000"/>
            </w:rPr>
            <w:t>(1)</w:t>
          </w:r>
        </w:sdtContent>
      </w:sdt>
      <w:r>
        <w:rPr>
          <w:rFonts w:ascii="Arial" w:hAnsi="Arial" w:cs="Arial"/>
          <w:color w:val="000000"/>
        </w:rPr>
        <w:t>.</w:t>
      </w:r>
    </w:p>
    <w:p w14:paraId="114A0F77" w14:textId="77777777" w:rsidR="00B128DA" w:rsidRDefault="00B128DA" w:rsidP="00B128DA">
      <w:pPr>
        <w:spacing w:after="0" w:line="360" w:lineRule="auto"/>
        <w:jc w:val="both"/>
        <w:rPr>
          <w:rFonts w:ascii="Arial" w:hAnsi="Arial" w:cs="Arial"/>
        </w:rPr>
      </w:pPr>
    </w:p>
    <w:p w14:paraId="61401302" w14:textId="68204044" w:rsidR="00B128DA" w:rsidRDefault="00B128DA" w:rsidP="00B128DA">
      <w:pPr>
        <w:spacing w:after="0" w:line="360" w:lineRule="auto"/>
        <w:jc w:val="right"/>
        <w:rPr>
          <w:rFonts w:ascii="Arial" w:hAnsi="Arial" w:cs="Arial"/>
        </w:rPr>
      </w:pPr>
      <w:r w:rsidRPr="00E07765">
        <w:rPr>
          <w:rFonts w:ascii="Arial" w:hAnsi="Arial" w:cs="Arial"/>
        </w:rPr>
        <w:t xml:space="preserve">Página </w:t>
      </w:r>
      <w:r>
        <w:rPr>
          <w:rFonts w:ascii="Arial" w:hAnsi="Arial" w:cs="Arial"/>
        </w:rPr>
        <w:t>3</w:t>
      </w:r>
      <w:r w:rsidR="008A533B">
        <w:rPr>
          <w:rFonts w:ascii="Arial" w:hAnsi="Arial" w:cs="Arial"/>
        </w:rPr>
        <w:t>8</w:t>
      </w:r>
    </w:p>
    <w:p w14:paraId="72261834" w14:textId="77777777" w:rsidR="00B128DA" w:rsidRDefault="00B128DA" w:rsidP="00B128DA">
      <w:pPr>
        <w:spacing w:after="0" w:line="360" w:lineRule="auto"/>
        <w:jc w:val="right"/>
        <w:rPr>
          <w:rFonts w:ascii="Arial" w:hAnsi="Arial" w:cs="Arial"/>
        </w:rPr>
      </w:pPr>
    </w:p>
    <w:p w14:paraId="3A7B72FC" w14:textId="77777777" w:rsidR="00B128DA" w:rsidRPr="00C07B24" w:rsidRDefault="00B128DA" w:rsidP="00B128DA">
      <w:pPr>
        <w:spacing w:after="0" w:line="360" w:lineRule="auto"/>
        <w:jc w:val="both"/>
        <w:rPr>
          <w:rFonts w:ascii="Arial" w:hAnsi="Arial" w:cs="Arial"/>
          <w:b/>
          <w:bCs/>
        </w:rPr>
      </w:pPr>
      <w:bookmarkStart w:id="1" w:name="_Hlk224470440"/>
      <w:r w:rsidRPr="00C07B24">
        <w:rPr>
          <w:rFonts w:ascii="Arial" w:hAnsi="Arial" w:cs="Arial"/>
          <w:b/>
          <w:bCs/>
        </w:rPr>
        <w:t>Quiz de revisão</w:t>
      </w:r>
    </w:p>
    <w:bookmarkEnd w:id="1"/>
    <w:p w14:paraId="2CF6FD32" w14:textId="77777777" w:rsidR="00B128DA" w:rsidRPr="00C07B24" w:rsidRDefault="00B128DA" w:rsidP="00B128DA">
      <w:pPr>
        <w:spacing w:after="0" w:line="360" w:lineRule="auto"/>
        <w:jc w:val="both"/>
        <w:rPr>
          <w:rFonts w:ascii="Arial" w:hAnsi="Arial" w:cs="Arial"/>
          <w:b/>
          <w:bCs/>
        </w:rPr>
      </w:pPr>
    </w:p>
    <w:p w14:paraId="1A5C443A" w14:textId="77777777" w:rsidR="00B128DA" w:rsidRPr="00C07B24" w:rsidRDefault="00B128DA" w:rsidP="00B128DA">
      <w:pPr>
        <w:spacing w:after="0" w:line="360" w:lineRule="auto"/>
        <w:jc w:val="both"/>
        <w:rPr>
          <w:rFonts w:ascii="Arial" w:hAnsi="Arial" w:cs="Arial"/>
        </w:rPr>
      </w:pPr>
      <w:r>
        <w:rPr>
          <w:rFonts w:ascii="Arial" w:hAnsi="Arial" w:cs="Arial"/>
        </w:rPr>
        <w:t xml:space="preserve">1) </w:t>
      </w:r>
      <w:r w:rsidRPr="00C07B24">
        <w:rPr>
          <w:rFonts w:ascii="Arial" w:hAnsi="Arial" w:cs="Arial"/>
        </w:rPr>
        <w:t>Dois pacientes apresentam infecção causada pelo mesmo microrganismo, com CIM idêntica para determinado antibacteriano. Ambos recebem o mesmo esquema posológico. Apesar disso, a resposta ao tratamento é diferente entre os pacientes.</w:t>
      </w:r>
    </w:p>
    <w:p w14:paraId="60B22F79" w14:textId="77777777" w:rsidR="00B128DA" w:rsidRPr="00C07B24" w:rsidRDefault="00B128DA" w:rsidP="00B128DA">
      <w:pPr>
        <w:spacing w:after="0" w:line="360" w:lineRule="auto"/>
        <w:jc w:val="both"/>
        <w:rPr>
          <w:rFonts w:ascii="Arial" w:hAnsi="Arial" w:cs="Arial"/>
        </w:rPr>
      </w:pPr>
    </w:p>
    <w:p w14:paraId="2ED41CF5" w14:textId="77777777" w:rsidR="00B128DA" w:rsidRPr="00C07B24" w:rsidRDefault="00B128DA" w:rsidP="00B128DA">
      <w:pPr>
        <w:spacing w:after="0" w:line="360" w:lineRule="auto"/>
        <w:jc w:val="both"/>
        <w:rPr>
          <w:rFonts w:ascii="Arial" w:hAnsi="Arial" w:cs="Arial"/>
        </w:rPr>
      </w:pPr>
      <w:r w:rsidRPr="00C07B24">
        <w:rPr>
          <w:rFonts w:ascii="Arial" w:hAnsi="Arial" w:cs="Arial"/>
        </w:rPr>
        <w:t>Qual fator farmacológico pode explicar essa diferença?</w:t>
      </w:r>
    </w:p>
    <w:p w14:paraId="1A67C157" w14:textId="77777777" w:rsidR="00B128DA" w:rsidRPr="00C07B24" w:rsidRDefault="00B128DA" w:rsidP="00B128DA">
      <w:pPr>
        <w:spacing w:after="0" w:line="360" w:lineRule="auto"/>
        <w:jc w:val="both"/>
        <w:rPr>
          <w:rFonts w:ascii="Arial" w:hAnsi="Arial" w:cs="Arial"/>
        </w:rPr>
      </w:pPr>
    </w:p>
    <w:p w14:paraId="1970F462" w14:textId="77777777" w:rsidR="00B128DA" w:rsidRPr="00C07B24" w:rsidRDefault="00B128DA" w:rsidP="00B128DA">
      <w:pPr>
        <w:spacing w:after="0" w:line="360" w:lineRule="auto"/>
        <w:jc w:val="both"/>
        <w:rPr>
          <w:rFonts w:ascii="Arial" w:hAnsi="Arial" w:cs="Arial"/>
        </w:rPr>
      </w:pPr>
      <w:r w:rsidRPr="00C07B24">
        <w:rPr>
          <w:rFonts w:ascii="Arial" w:hAnsi="Arial" w:cs="Arial"/>
        </w:rPr>
        <w:t>A) Diferenças na penetração do antibacteriano no sítio da infecção</w:t>
      </w:r>
    </w:p>
    <w:p w14:paraId="1D5C1BE9" w14:textId="77777777" w:rsidR="00B128DA" w:rsidRPr="00C07B24" w:rsidRDefault="00B128DA" w:rsidP="00B128DA">
      <w:pPr>
        <w:spacing w:after="0" w:line="360" w:lineRule="auto"/>
        <w:jc w:val="both"/>
        <w:rPr>
          <w:rFonts w:ascii="Arial" w:hAnsi="Arial" w:cs="Arial"/>
        </w:rPr>
      </w:pPr>
      <w:r w:rsidRPr="00C07B24">
        <w:rPr>
          <w:rFonts w:ascii="Arial" w:hAnsi="Arial" w:cs="Arial"/>
        </w:rPr>
        <w:t>B) Alterações no mecanismo de ação do antibacteriano</w:t>
      </w:r>
    </w:p>
    <w:p w14:paraId="71A777FB" w14:textId="77777777" w:rsidR="00B128DA" w:rsidRPr="00C07B24" w:rsidRDefault="00B128DA" w:rsidP="00B128DA">
      <w:pPr>
        <w:spacing w:after="0" w:line="360" w:lineRule="auto"/>
        <w:jc w:val="both"/>
        <w:rPr>
          <w:rFonts w:ascii="Arial" w:hAnsi="Arial" w:cs="Arial"/>
        </w:rPr>
      </w:pPr>
      <w:r w:rsidRPr="00C07B24">
        <w:rPr>
          <w:rFonts w:ascii="Arial" w:hAnsi="Arial" w:cs="Arial"/>
        </w:rPr>
        <w:t>C) Modificação genética imediata da bactéria durante o tratamento</w:t>
      </w:r>
    </w:p>
    <w:p w14:paraId="40B2DD2E" w14:textId="77777777" w:rsidR="00B128DA" w:rsidRPr="00C07B24" w:rsidRDefault="00B128DA" w:rsidP="00B128DA">
      <w:pPr>
        <w:spacing w:after="0" w:line="360" w:lineRule="auto"/>
        <w:jc w:val="both"/>
        <w:rPr>
          <w:rFonts w:ascii="Arial" w:hAnsi="Arial" w:cs="Arial"/>
        </w:rPr>
      </w:pPr>
      <w:r w:rsidRPr="00C07B24">
        <w:rPr>
          <w:rFonts w:ascii="Arial" w:hAnsi="Arial" w:cs="Arial"/>
        </w:rPr>
        <w:t>D) Mudança no valor laboratorial da CIM após início da terapia</w:t>
      </w:r>
    </w:p>
    <w:p w14:paraId="28DC1770" w14:textId="77777777" w:rsidR="00B128DA" w:rsidRPr="00C07B24" w:rsidRDefault="00B128DA" w:rsidP="00B128DA">
      <w:pPr>
        <w:spacing w:after="0" w:line="360" w:lineRule="auto"/>
        <w:jc w:val="both"/>
        <w:rPr>
          <w:rFonts w:ascii="Arial" w:hAnsi="Arial" w:cs="Arial"/>
        </w:rPr>
      </w:pPr>
    </w:p>
    <w:p w14:paraId="1E7BE27B" w14:textId="117EA6D6" w:rsidR="00B128DA" w:rsidRPr="00C07B24" w:rsidRDefault="00B128DA" w:rsidP="00B128DA">
      <w:pPr>
        <w:spacing w:after="0" w:line="360" w:lineRule="auto"/>
        <w:jc w:val="both"/>
        <w:rPr>
          <w:rFonts w:ascii="Arial" w:hAnsi="Arial" w:cs="Arial"/>
        </w:rPr>
      </w:pPr>
      <w:r w:rsidRPr="00C07B24">
        <w:rPr>
          <w:rFonts w:ascii="Arial" w:hAnsi="Arial" w:cs="Arial"/>
        </w:rPr>
        <w:t>Resposta correta: A) Diferenças na penetração do antibacteriano no sítio da infecção</w:t>
      </w:r>
    </w:p>
    <w:p w14:paraId="11AC4468" w14:textId="77777777" w:rsidR="00B128DA" w:rsidRPr="00C07B24" w:rsidRDefault="00B128DA" w:rsidP="00B128DA">
      <w:pPr>
        <w:spacing w:after="0" w:line="360" w:lineRule="auto"/>
        <w:jc w:val="both"/>
        <w:rPr>
          <w:rFonts w:ascii="Arial" w:hAnsi="Arial" w:cs="Arial"/>
        </w:rPr>
      </w:pPr>
    </w:p>
    <w:p w14:paraId="18C8F458" w14:textId="3766F393" w:rsidR="00B128DA" w:rsidRPr="00C07B24" w:rsidRDefault="00B128DA" w:rsidP="00B128DA">
      <w:pPr>
        <w:spacing w:after="0" w:line="360" w:lineRule="auto"/>
        <w:jc w:val="both"/>
        <w:rPr>
          <w:rFonts w:ascii="Arial" w:hAnsi="Arial" w:cs="Arial"/>
        </w:rPr>
      </w:pPr>
      <w:r w:rsidRPr="00C07B24">
        <w:rPr>
          <w:rFonts w:ascii="Arial" w:hAnsi="Arial" w:cs="Arial"/>
        </w:rPr>
        <w:t>Feedback</w:t>
      </w:r>
      <w:r>
        <w:rPr>
          <w:rFonts w:ascii="Arial" w:hAnsi="Arial" w:cs="Arial"/>
        </w:rPr>
        <w:t xml:space="preserve">: </w:t>
      </w:r>
    </w:p>
    <w:p w14:paraId="70528E09" w14:textId="77777777" w:rsidR="00B128DA" w:rsidRPr="00C07B24" w:rsidRDefault="00B128DA" w:rsidP="00B128DA">
      <w:pPr>
        <w:spacing w:after="0" w:line="360" w:lineRule="auto"/>
        <w:jc w:val="both"/>
        <w:rPr>
          <w:rFonts w:ascii="Arial" w:hAnsi="Arial" w:cs="Arial"/>
        </w:rPr>
      </w:pPr>
    </w:p>
    <w:p w14:paraId="2A1FE6B5" w14:textId="77777777" w:rsidR="00B128DA" w:rsidRPr="00C07B24" w:rsidRDefault="00B128DA" w:rsidP="00B128DA">
      <w:pPr>
        <w:spacing w:after="0" w:line="360" w:lineRule="auto"/>
        <w:jc w:val="both"/>
        <w:rPr>
          <w:rFonts w:ascii="Arial" w:hAnsi="Arial" w:cs="Arial"/>
        </w:rPr>
      </w:pPr>
      <w:r w:rsidRPr="00C07B24">
        <w:rPr>
          <w:rFonts w:ascii="Arial" w:hAnsi="Arial" w:cs="Arial"/>
        </w:rPr>
        <w:t>A) Correta — A concentração plasmática não reflete necessariamente a concentração no foco infeccioso. Perfusão tecidual, barreiras anatômicas e propriedades do fármaco podem alterar a exposição local.</w:t>
      </w:r>
    </w:p>
    <w:p w14:paraId="24E275E9" w14:textId="77777777" w:rsidR="00B128DA" w:rsidRPr="00C07B24" w:rsidRDefault="00B128DA" w:rsidP="00B128DA">
      <w:pPr>
        <w:spacing w:after="0" w:line="360" w:lineRule="auto"/>
        <w:jc w:val="both"/>
        <w:rPr>
          <w:rFonts w:ascii="Arial" w:hAnsi="Arial" w:cs="Arial"/>
        </w:rPr>
      </w:pPr>
    </w:p>
    <w:p w14:paraId="1ED2426A" w14:textId="77777777" w:rsidR="00B128DA" w:rsidRPr="00C07B24" w:rsidRDefault="00B128DA" w:rsidP="00B128DA">
      <w:pPr>
        <w:spacing w:after="0" w:line="360" w:lineRule="auto"/>
        <w:jc w:val="both"/>
        <w:rPr>
          <w:rFonts w:ascii="Arial" w:hAnsi="Arial" w:cs="Arial"/>
        </w:rPr>
      </w:pPr>
      <w:r w:rsidRPr="00C07B24">
        <w:rPr>
          <w:rFonts w:ascii="Arial" w:hAnsi="Arial" w:cs="Arial"/>
        </w:rPr>
        <w:t>B) Incorreta — O mecanismo de ação do antibacteriano não se modifica entre pacientes.</w:t>
      </w:r>
    </w:p>
    <w:p w14:paraId="034A9D06" w14:textId="77777777" w:rsidR="00B128DA" w:rsidRPr="00C07B24" w:rsidRDefault="00B128DA" w:rsidP="00B128DA">
      <w:pPr>
        <w:spacing w:after="0" w:line="360" w:lineRule="auto"/>
        <w:jc w:val="both"/>
        <w:rPr>
          <w:rFonts w:ascii="Arial" w:hAnsi="Arial" w:cs="Arial"/>
        </w:rPr>
      </w:pPr>
    </w:p>
    <w:p w14:paraId="6076B1B7" w14:textId="77777777" w:rsidR="00B128DA" w:rsidRPr="00C07B24" w:rsidRDefault="00B128DA" w:rsidP="00B128DA">
      <w:pPr>
        <w:spacing w:after="0" w:line="360" w:lineRule="auto"/>
        <w:jc w:val="both"/>
        <w:rPr>
          <w:rFonts w:ascii="Arial" w:hAnsi="Arial" w:cs="Arial"/>
        </w:rPr>
      </w:pPr>
      <w:r w:rsidRPr="00C07B24">
        <w:rPr>
          <w:rFonts w:ascii="Arial" w:hAnsi="Arial" w:cs="Arial"/>
        </w:rPr>
        <w:lastRenderedPageBreak/>
        <w:t>C) Incorreta — Mutações bacterianas podem ocorrer, mas não explicam diretamente diferenças iniciais entre pacientes com o mesmo isolado.</w:t>
      </w:r>
    </w:p>
    <w:p w14:paraId="448C9EB6" w14:textId="77777777" w:rsidR="00B128DA" w:rsidRPr="00C07B24" w:rsidRDefault="00B128DA" w:rsidP="00B128DA">
      <w:pPr>
        <w:spacing w:after="0" w:line="360" w:lineRule="auto"/>
        <w:jc w:val="both"/>
        <w:rPr>
          <w:rFonts w:ascii="Arial" w:hAnsi="Arial" w:cs="Arial"/>
        </w:rPr>
      </w:pPr>
    </w:p>
    <w:p w14:paraId="61B185CE" w14:textId="77777777" w:rsidR="00B128DA" w:rsidRPr="00C07B24" w:rsidRDefault="00B128DA" w:rsidP="00B128DA">
      <w:pPr>
        <w:spacing w:after="0" w:line="360" w:lineRule="auto"/>
        <w:jc w:val="both"/>
        <w:rPr>
          <w:rFonts w:ascii="Arial" w:hAnsi="Arial" w:cs="Arial"/>
        </w:rPr>
      </w:pPr>
      <w:r w:rsidRPr="00C07B24">
        <w:rPr>
          <w:rFonts w:ascii="Arial" w:hAnsi="Arial" w:cs="Arial"/>
        </w:rPr>
        <w:t>D) Incorreta — A CIM é determinada em laboratório e não se altera apenas pelo início da terapia.</w:t>
      </w:r>
    </w:p>
    <w:p w14:paraId="726719EF" w14:textId="77777777" w:rsidR="00B128DA" w:rsidRPr="00C07B24" w:rsidRDefault="00B128DA" w:rsidP="00B128DA">
      <w:pPr>
        <w:spacing w:after="0" w:line="360" w:lineRule="auto"/>
        <w:jc w:val="both"/>
        <w:rPr>
          <w:rFonts w:ascii="Arial" w:hAnsi="Arial" w:cs="Arial"/>
        </w:rPr>
      </w:pPr>
    </w:p>
    <w:p w14:paraId="785AC774" w14:textId="77777777" w:rsidR="00B128DA" w:rsidRPr="00C07B24" w:rsidRDefault="00B128DA" w:rsidP="00B128DA">
      <w:pPr>
        <w:spacing w:after="0" w:line="360" w:lineRule="auto"/>
        <w:jc w:val="both"/>
        <w:rPr>
          <w:rFonts w:ascii="Arial" w:hAnsi="Arial" w:cs="Arial"/>
        </w:rPr>
      </w:pPr>
      <w:r>
        <w:rPr>
          <w:rFonts w:ascii="Arial" w:hAnsi="Arial" w:cs="Arial"/>
        </w:rPr>
        <w:t xml:space="preserve">2) </w:t>
      </w:r>
      <w:r w:rsidRPr="00C07B24">
        <w:rPr>
          <w:rFonts w:ascii="Arial" w:hAnsi="Arial" w:cs="Arial"/>
        </w:rPr>
        <w:t>Em algumas infecções associadas a próteses ou dispositivos médicos, bactérias podem se organizar em biofilmes aderidos à superfície do material.</w:t>
      </w:r>
    </w:p>
    <w:p w14:paraId="4DA2A10E" w14:textId="77777777" w:rsidR="00B128DA" w:rsidRPr="00C07B24" w:rsidRDefault="00B128DA" w:rsidP="00B128DA">
      <w:pPr>
        <w:spacing w:after="0" w:line="360" w:lineRule="auto"/>
        <w:jc w:val="both"/>
        <w:rPr>
          <w:rFonts w:ascii="Arial" w:hAnsi="Arial" w:cs="Arial"/>
        </w:rPr>
      </w:pPr>
    </w:p>
    <w:p w14:paraId="73096FEC" w14:textId="77777777" w:rsidR="00B128DA" w:rsidRPr="00C07B24" w:rsidRDefault="00B128DA" w:rsidP="00B128DA">
      <w:pPr>
        <w:spacing w:after="0" w:line="360" w:lineRule="auto"/>
        <w:jc w:val="both"/>
        <w:rPr>
          <w:rFonts w:ascii="Arial" w:hAnsi="Arial" w:cs="Arial"/>
        </w:rPr>
      </w:pPr>
      <w:r w:rsidRPr="00C07B24">
        <w:rPr>
          <w:rFonts w:ascii="Arial" w:hAnsi="Arial" w:cs="Arial"/>
        </w:rPr>
        <w:t>Qual característica dessa organização bacteriana pode influenciar a resposta aos antibacterianos?</w:t>
      </w:r>
    </w:p>
    <w:p w14:paraId="4C17A8C5" w14:textId="77777777" w:rsidR="00B128DA" w:rsidRPr="00C07B24" w:rsidRDefault="00B128DA" w:rsidP="00B128DA">
      <w:pPr>
        <w:spacing w:after="0" w:line="360" w:lineRule="auto"/>
        <w:jc w:val="both"/>
        <w:rPr>
          <w:rFonts w:ascii="Arial" w:hAnsi="Arial" w:cs="Arial"/>
        </w:rPr>
      </w:pPr>
    </w:p>
    <w:p w14:paraId="42B2671B" w14:textId="77777777" w:rsidR="00B128DA" w:rsidRPr="00C07B24" w:rsidRDefault="00B128DA" w:rsidP="00B128DA">
      <w:pPr>
        <w:spacing w:after="0" w:line="360" w:lineRule="auto"/>
        <w:jc w:val="both"/>
        <w:rPr>
          <w:rFonts w:ascii="Arial" w:hAnsi="Arial" w:cs="Arial"/>
        </w:rPr>
      </w:pPr>
      <w:r w:rsidRPr="00C07B24">
        <w:rPr>
          <w:rFonts w:ascii="Arial" w:hAnsi="Arial" w:cs="Arial"/>
        </w:rPr>
        <w:t>A) Formação de uma matriz extracelular que pode limitar a difusão do fármaco</w:t>
      </w:r>
    </w:p>
    <w:p w14:paraId="512A52F8" w14:textId="77777777" w:rsidR="00B128DA" w:rsidRPr="00C07B24" w:rsidRDefault="00B128DA" w:rsidP="00B128DA">
      <w:pPr>
        <w:spacing w:after="0" w:line="360" w:lineRule="auto"/>
        <w:jc w:val="both"/>
        <w:rPr>
          <w:rFonts w:ascii="Arial" w:hAnsi="Arial" w:cs="Arial"/>
        </w:rPr>
      </w:pPr>
      <w:r w:rsidRPr="00C07B24">
        <w:rPr>
          <w:rFonts w:ascii="Arial" w:hAnsi="Arial" w:cs="Arial"/>
        </w:rPr>
        <w:t>B) Ausência completa de metabolismo bacteriano dentro do biofilme</w:t>
      </w:r>
    </w:p>
    <w:p w14:paraId="5FBDDDF7" w14:textId="77777777" w:rsidR="00B128DA" w:rsidRPr="00C07B24" w:rsidRDefault="00B128DA" w:rsidP="00B128DA">
      <w:pPr>
        <w:spacing w:after="0" w:line="360" w:lineRule="auto"/>
        <w:jc w:val="both"/>
        <w:rPr>
          <w:rFonts w:ascii="Arial" w:hAnsi="Arial" w:cs="Arial"/>
        </w:rPr>
      </w:pPr>
      <w:r w:rsidRPr="00C07B24">
        <w:rPr>
          <w:rFonts w:ascii="Arial" w:hAnsi="Arial" w:cs="Arial"/>
        </w:rPr>
        <w:t>C) Neutralização direta do antibacteriano pelas células do hospedeiro</w:t>
      </w:r>
    </w:p>
    <w:p w14:paraId="11F93FD3" w14:textId="77777777" w:rsidR="00B128DA" w:rsidRPr="00C07B24" w:rsidRDefault="00B128DA" w:rsidP="00B128DA">
      <w:pPr>
        <w:spacing w:after="0" w:line="360" w:lineRule="auto"/>
        <w:jc w:val="both"/>
        <w:rPr>
          <w:rFonts w:ascii="Arial" w:hAnsi="Arial" w:cs="Arial"/>
        </w:rPr>
      </w:pPr>
      <w:r w:rsidRPr="00C07B24">
        <w:rPr>
          <w:rFonts w:ascii="Arial" w:hAnsi="Arial" w:cs="Arial"/>
        </w:rPr>
        <w:t>D) Alteração da ligação do antibacteriano às proteínas plasmáticas</w:t>
      </w:r>
    </w:p>
    <w:p w14:paraId="22123521" w14:textId="77777777" w:rsidR="00B128DA" w:rsidRPr="00C07B24" w:rsidRDefault="00B128DA" w:rsidP="00B128DA">
      <w:pPr>
        <w:spacing w:after="0" w:line="360" w:lineRule="auto"/>
        <w:jc w:val="both"/>
        <w:rPr>
          <w:rFonts w:ascii="Arial" w:hAnsi="Arial" w:cs="Arial"/>
        </w:rPr>
      </w:pPr>
    </w:p>
    <w:p w14:paraId="2F8D04A9" w14:textId="733B3A7E" w:rsidR="00B128DA" w:rsidRPr="00C07B24" w:rsidRDefault="00B128DA" w:rsidP="00B128DA">
      <w:pPr>
        <w:spacing w:after="0" w:line="360" w:lineRule="auto"/>
        <w:jc w:val="both"/>
        <w:rPr>
          <w:rFonts w:ascii="Arial" w:hAnsi="Arial" w:cs="Arial"/>
        </w:rPr>
      </w:pPr>
      <w:r w:rsidRPr="00C07B24">
        <w:rPr>
          <w:rFonts w:ascii="Arial" w:hAnsi="Arial" w:cs="Arial"/>
        </w:rPr>
        <w:t>Resposta correta: A) Formação de uma matriz extracelular que pode limitar a difusão do fármaco</w:t>
      </w:r>
    </w:p>
    <w:p w14:paraId="4FF8A0C9" w14:textId="77777777" w:rsidR="00B128DA" w:rsidRPr="00C07B24" w:rsidRDefault="00B128DA" w:rsidP="00B128DA">
      <w:pPr>
        <w:spacing w:after="0" w:line="360" w:lineRule="auto"/>
        <w:jc w:val="both"/>
        <w:rPr>
          <w:rFonts w:ascii="Arial" w:hAnsi="Arial" w:cs="Arial"/>
        </w:rPr>
      </w:pPr>
    </w:p>
    <w:p w14:paraId="103D0D3F" w14:textId="77777777" w:rsidR="00B128DA" w:rsidRPr="00C07B24" w:rsidRDefault="00B128DA" w:rsidP="00B128DA">
      <w:pPr>
        <w:spacing w:after="0" w:line="360" w:lineRule="auto"/>
        <w:jc w:val="both"/>
        <w:rPr>
          <w:rFonts w:ascii="Arial" w:hAnsi="Arial" w:cs="Arial"/>
        </w:rPr>
      </w:pPr>
      <w:r w:rsidRPr="00C07B24">
        <w:rPr>
          <w:rFonts w:ascii="Arial" w:hAnsi="Arial" w:cs="Arial"/>
        </w:rPr>
        <w:t>Feedback</w:t>
      </w:r>
    </w:p>
    <w:p w14:paraId="1131F5A4" w14:textId="77777777" w:rsidR="00B128DA" w:rsidRPr="00C07B24" w:rsidRDefault="00B128DA" w:rsidP="00B128DA">
      <w:pPr>
        <w:spacing w:after="0" w:line="360" w:lineRule="auto"/>
        <w:jc w:val="both"/>
        <w:rPr>
          <w:rFonts w:ascii="Arial" w:hAnsi="Arial" w:cs="Arial"/>
        </w:rPr>
      </w:pPr>
    </w:p>
    <w:p w14:paraId="44A9608E" w14:textId="77777777" w:rsidR="00B128DA" w:rsidRPr="00C07B24" w:rsidRDefault="00B128DA" w:rsidP="00B128DA">
      <w:pPr>
        <w:spacing w:after="0" w:line="360" w:lineRule="auto"/>
        <w:jc w:val="both"/>
        <w:rPr>
          <w:rFonts w:ascii="Arial" w:hAnsi="Arial" w:cs="Arial"/>
        </w:rPr>
      </w:pPr>
      <w:r w:rsidRPr="00C07B24">
        <w:rPr>
          <w:rFonts w:ascii="Arial" w:hAnsi="Arial" w:cs="Arial"/>
        </w:rPr>
        <w:t>A) Correta — A matriz do biofilme pode dificultar a difusão do antibacteriano e gerar gradientes de concentração.</w:t>
      </w:r>
    </w:p>
    <w:p w14:paraId="30EA0878" w14:textId="77777777" w:rsidR="00B128DA" w:rsidRPr="00C07B24" w:rsidRDefault="00B128DA" w:rsidP="00B128DA">
      <w:pPr>
        <w:spacing w:after="0" w:line="360" w:lineRule="auto"/>
        <w:jc w:val="both"/>
        <w:rPr>
          <w:rFonts w:ascii="Arial" w:hAnsi="Arial" w:cs="Arial"/>
        </w:rPr>
      </w:pPr>
    </w:p>
    <w:p w14:paraId="1D53B81E" w14:textId="77777777" w:rsidR="00B128DA" w:rsidRPr="00C07B24" w:rsidRDefault="00B128DA" w:rsidP="00B128DA">
      <w:pPr>
        <w:spacing w:after="0" w:line="360" w:lineRule="auto"/>
        <w:jc w:val="both"/>
        <w:rPr>
          <w:rFonts w:ascii="Arial" w:hAnsi="Arial" w:cs="Arial"/>
        </w:rPr>
      </w:pPr>
      <w:r w:rsidRPr="00C07B24">
        <w:rPr>
          <w:rFonts w:ascii="Arial" w:hAnsi="Arial" w:cs="Arial"/>
        </w:rPr>
        <w:t>B) Incorreta — As bactérias podem apresentar metabolismo reduzido, mas não totalmente ausente.</w:t>
      </w:r>
    </w:p>
    <w:p w14:paraId="2FCB062E" w14:textId="77777777" w:rsidR="00B128DA" w:rsidRPr="00C07B24" w:rsidRDefault="00B128DA" w:rsidP="00B128DA">
      <w:pPr>
        <w:spacing w:after="0" w:line="360" w:lineRule="auto"/>
        <w:jc w:val="both"/>
        <w:rPr>
          <w:rFonts w:ascii="Arial" w:hAnsi="Arial" w:cs="Arial"/>
        </w:rPr>
      </w:pPr>
    </w:p>
    <w:p w14:paraId="1AB8DDCB" w14:textId="77777777" w:rsidR="00B128DA" w:rsidRPr="00C07B24" w:rsidRDefault="00B128DA" w:rsidP="00B128DA">
      <w:pPr>
        <w:spacing w:after="0" w:line="360" w:lineRule="auto"/>
        <w:jc w:val="both"/>
        <w:rPr>
          <w:rFonts w:ascii="Arial" w:hAnsi="Arial" w:cs="Arial"/>
        </w:rPr>
      </w:pPr>
      <w:r w:rsidRPr="00C07B24">
        <w:rPr>
          <w:rFonts w:ascii="Arial" w:hAnsi="Arial" w:cs="Arial"/>
        </w:rPr>
        <w:t>C) Incorreta — A interação com o sistema imune pode ser modificada, mas não há neutralização direta do antibacteriano pelo hospedeiro.</w:t>
      </w:r>
    </w:p>
    <w:p w14:paraId="4121685F" w14:textId="77777777" w:rsidR="00B128DA" w:rsidRPr="00C07B24" w:rsidRDefault="00B128DA" w:rsidP="00B128DA">
      <w:pPr>
        <w:spacing w:after="0" w:line="360" w:lineRule="auto"/>
        <w:jc w:val="both"/>
        <w:rPr>
          <w:rFonts w:ascii="Arial" w:hAnsi="Arial" w:cs="Arial"/>
        </w:rPr>
      </w:pPr>
    </w:p>
    <w:p w14:paraId="39ADE41F" w14:textId="77777777" w:rsidR="00B128DA" w:rsidRDefault="00B128DA" w:rsidP="00B128DA">
      <w:pPr>
        <w:spacing w:after="0" w:line="360" w:lineRule="auto"/>
        <w:jc w:val="both"/>
        <w:rPr>
          <w:rFonts w:ascii="Arial" w:hAnsi="Arial" w:cs="Arial"/>
        </w:rPr>
      </w:pPr>
      <w:r w:rsidRPr="00C07B24">
        <w:rPr>
          <w:rFonts w:ascii="Arial" w:hAnsi="Arial" w:cs="Arial"/>
        </w:rPr>
        <w:t>D) Incorreta — A ligação a proteínas plasmáticas depende de características farmacológicas do fármaco.</w:t>
      </w:r>
    </w:p>
    <w:p w14:paraId="5F154A68" w14:textId="77777777" w:rsidR="00B128DA" w:rsidRDefault="00B128DA" w:rsidP="00B128DA">
      <w:pPr>
        <w:spacing w:after="0" w:line="360" w:lineRule="auto"/>
        <w:jc w:val="both"/>
        <w:rPr>
          <w:rFonts w:ascii="Arial" w:hAnsi="Arial" w:cs="Arial"/>
        </w:rPr>
      </w:pPr>
    </w:p>
    <w:p w14:paraId="4ED46D1E" w14:textId="423FF15A" w:rsidR="00B128DA" w:rsidRDefault="00B128DA" w:rsidP="00B128DA">
      <w:pPr>
        <w:spacing w:after="0" w:line="360" w:lineRule="auto"/>
        <w:jc w:val="both"/>
        <w:rPr>
          <w:rFonts w:ascii="Arial" w:hAnsi="Arial" w:cs="Arial"/>
          <w:b/>
          <w:bCs/>
        </w:rPr>
      </w:pPr>
      <w:r w:rsidRPr="00E9430D">
        <w:rPr>
          <w:rFonts w:ascii="Arial" w:hAnsi="Arial" w:cs="Arial"/>
          <w:b/>
          <w:bCs/>
        </w:rPr>
        <w:t>Referências:</w:t>
      </w:r>
    </w:p>
    <w:p w14:paraId="2A1AF405" w14:textId="0857CFBC" w:rsidR="00B128DA" w:rsidRDefault="00B128DA" w:rsidP="00B128DA">
      <w:pPr>
        <w:spacing w:after="0" w:line="360" w:lineRule="auto"/>
        <w:jc w:val="both"/>
        <w:rPr>
          <w:rFonts w:ascii="Arial" w:hAnsi="Arial" w:cs="Arial"/>
          <w:b/>
          <w:bCs/>
        </w:rPr>
      </w:pPr>
    </w:p>
    <w:sdt>
      <w:sdtPr>
        <w:rPr>
          <w:rFonts w:ascii="Arial" w:hAnsi="Arial" w:cs="Arial"/>
          <w:color w:val="000000"/>
        </w:rPr>
        <w:tag w:val="MENDELEY_BIBLIOGRAPHY"/>
        <w:id w:val="-350409835"/>
        <w:placeholder>
          <w:docPart w:val="DefaultPlaceholder_-1854013440"/>
        </w:placeholder>
      </w:sdtPr>
      <w:sdtEndPr/>
      <w:sdtContent>
        <w:p w14:paraId="3359DC75" w14:textId="77777777" w:rsidR="00B128DA" w:rsidRPr="00493AAE" w:rsidRDefault="00B128DA">
          <w:pPr>
            <w:autoSpaceDE w:val="0"/>
            <w:autoSpaceDN w:val="0"/>
            <w:ind w:hanging="640"/>
            <w:divId w:val="532764985"/>
            <w:rPr>
              <w:rFonts w:ascii="Arial" w:eastAsia="Times New Roman" w:hAnsi="Arial" w:cs="Arial"/>
              <w:color w:val="000000"/>
              <w:szCs w:val="24"/>
              <w:lang w:val="en-US"/>
            </w:rPr>
          </w:pPr>
          <w:r w:rsidRPr="00B128DA">
            <w:rPr>
              <w:rFonts w:ascii="Arial" w:eastAsia="Times New Roman" w:hAnsi="Arial" w:cs="Arial"/>
              <w:color w:val="000000"/>
            </w:rPr>
            <w:t>1.</w:t>
          </w:r>
          <w:r w:rsidRPr="00B128DA">
            <w:rPr>
              <w:rFonts w:ascii="Arial" w:eastAsia="Times New Roman" w:hAnsi="Arial" w:cs="Arial"/>
              <w:color w:val="000000"/>
            </w:rPr>
            <w:tab/>
          </w:r>
          <w:proofErr w:type="spellStart"/>
          <w:r w:rsidRPr="00B128DA">
            <w:rPr>
              <w:rFonts w:ascii="Arial" w:eastAsia="Times New Roman" w:hAnsi="Arial" w:cs="Arial"/>
              <w:color w:val="000000"/>
            </w:rPr>
            <w:t>Onita</w:t>
          </w:r>
          <w:proofErr w:type="spellEnd"/>
          <w:r w:rsidRPr="00B128DA">
            <w:rPr>
              <w:rFonts w:ascii="Arial" w:eastAsia="Times New Roman" w:hAnsi="Arial" w:cs="Arial"/>
              <w:color w:val="000000"/>
            </w:rPr>
            <w:t xml:space="preserve"> T, Ishihara N, Yano T. PK/PD-</w:t>
          </w:r>
          <w:proofErr w:type="spellStart"/>
          <w:r w:rsidRPr="00B128DA">
            <w:rPr>
              <w:rFonts w:ascii="Arial" w:eastAsia="Times New Roman" w:hAnsi="Arial" w:cs="Arial"/>
              <w:color w:val="000000"/>
            </w:rPr>
            <w:t>Guided</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Strategies</w:t>
          </w:r>
          <w:proofErr w:type="spellEnd"/>
          <w:r w:rsidRPr="00B128DA">
            <w:rPr>
              <w:rFonts w:ascii="Arial" w:eastAsia="Times New Roman" w:hAnsi="Arial" w:cs="Arial"/>
              <w:color w:val="000000"/>
            </w:rPr>
            <w:t xml:space="preserve"> for </w:t>
          </w:r>
          <w:proofErr w:type="spellStart"/>
          <w:r w:rsidRPr="00B128DA">
            <w:rPr>
              <w:rFonts w:ascii="Arial" w:eastAsia="Times New Roman" w:hAnsi="Arial" w:cs="Arial"/>
              <w:color w:val="000000"/>
            </w:rPr>
            <w:t>Appropriate</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Antibiotic</w:t>
          </w:r>
          <w:proofErr w:type="spellEnd"/>
          <w:r w:rsidRPr="00B128DA">
            <w:rPr>
              <w:rFonts w:ascii="Arial" w:eastAsia="Times New Roman" w:hAnsi="Arial" w:cs="Arial"/>
              <w:color w:val="000000"/>
            </w:rPr>
            <w:t xml:space="preserve"> Use in </w:t>
          </w:r>
          <w:proofErr w:type="spellStart"/>
          <w:r w:rsidRPr="00B128DA">
            <w:rPr>
              <w:rFonts w:ascii="Arial" w:eastAsia="Times New Roman" w:hAnsi="Arial" w:cs="Arial"/>
              <w:color w:val="000000"/>
            </w:rPr>
            <w:t>the</w:t>
          </w:r>
          <w:proofErr w:type="spellEnd"/>
          <w:r w:rsidRPr="00B128DA">
            <w:rPr>
              <w:rFonts w:ascii="Arial" w:eastAsia="Times New Roman" w:hAnsi="Arial" w:cs="Arial"/>
              <w:color w:val="000000"/>
            </w:rPr>
            <w:t xml:space="preserve"> Era </w:t>
          </w:r>
          <w:proofErr w:type="spellStart"/>
          <w:r w:rsidRPr="00B128DA">
            <w:rPr>
              <w:rFonts w:ascii="Arial" w:eastAsia="Times New Roman" w:hAnsi="Arial" w:cs="Arial"/>
              <w:color w:val="000000"/>
            </w:rPr>
            <w:t>of</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Antimicrobial</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Resistance</w:t>
          </w:r>
          <w:proofErr w:type="spellEnd"/>
          <w:r w:rsidRPr="00B128DA">
            <w:rPr>
              <w:rFonts w:ascii="Arial" w:eastAsia="Times New Roman" w:hAnsi="Arial" w:cs="Arial"/>
              <w:color w:val="000000"/>
            </w:rPr>
            <w:t xml:space="preserve">. </w:t>
          </w:r>
          <w:r w:rsidRPr="00493AAE">
            <w:rPr>
              <w:rFonts w:ascii="Arial" w:eastAsia="Times New Roman" w:hAnsi="Arial" w:cs="Arial"/>
              <w:color w:val="000000"/>
              <w:lang w:val="en-US"/>
            </w:rPr>
            <w:t>Antibiotics. 2025 Jan 14;14(1):92. doi:10.3390/antibiotics14010092</w:t>
          </w:r>
        </w:p>
        <w:p w14:paraId="196B4DF9" w14:textId="77777777" w:rsidR="00B128DA" w:rsidRPr="00493AAE" w:rsidRDefault="00B128DA">
          <w:pPr>
            <w:autoSpaceDE w:val="0"/>
            <w:autoSpaceDN w:val="0"/>
            <w:ind w:hanging="640"/>
            <w:divId w:val="1981884611"/>
            <w:rPr>
              <w:rFonts w:ascii="Arial" w:eastAsia="Times New Roman" w:hAnsi="Arial" w:cs="Arial"/>
              <w:color w:val="000000"/>
              <w:lang w:val="en-US"/>
            </w:rPr>
          </w:pPr>
          <w:r w:rsidRPr="00493AAE">
            <w:rPr>
              <w:rFonts w:ascii="Arial" w:eastAsia="Times New Roman" w:hAnsi="Arial" w:cs="Arial"/>
              <w:color w:val="000000"/>
              <w:lang w:val="en-US"/>
            </w:rPr>
            <w:t>2.</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Witzany</w:t>
          </w:r>
          <w:proofErr w:type="spellEnd"/>
          <w:r w:rsidRPr="00493AAE">
            <w:rPr>
              <w:rFonts w:ascii="Arial" w:eastAsia="Times New Roman" w:hAnsi="Arial" w:cs="Arial"/>
              <w:color w:val="000000"/>
              <w:lang w:val="en-US"/>
            </w:rPr>
            <w:t xml:space="preserve"> C, </w:t>
          </w:r>
          <w:proofErr w:type="spellStart"/>
          <w:r w:rsidRPr="00493AAE">
            <w:rPr>
              <w:rFonts w:ascii="Arial" w:eastAsia="Times New Roman" w:hAnsi="Arial" w:cs="Arial"/>
              <w:color w:val="000000"/>
              <w:lang w:val="en-US"/>
            </w:rPr>
            <w:t>Rolff</w:t>
          </w:r>
          <w:proofErr w:type="spellEnd"/>
          <w:r w:rsidRPr="00493AAE">
            <w:rPr>
              <w:rFonts w:ascii="Arial" w:eastAsia="Times New Roman" w:hAnsi="Arial" w:cs="Arial"/>
              <w:color w:val="000000"/>
              <w:lang w:val="en-US"/>
            </w:rPr>
            <w:t xml:space="preserve"> J, </w:t>
          </w:r>
          <w:proofErr w:type="spellStart"/>
          <w:r w:rsidRPr="00493AAE">
            <w:rPr>
              <w:rFonts w:ascii="Arial" w:eastAsia="Times New Roman" w:hAnsi="Arial" w:cs="Arial"/>
              <w:color w:val="000000"/>
              <w:lang w:val="en-US"/>
            </w:rPr>
            <w:t>Regoes</w:t>
          </w:r>
          <w:proofErr w:type="spellEnd"/>
          <w:r w:rsidRPr="00493AAE">
            <w:rPr>
              <w:rFonts w:ascii="Arial" w:eastAsia="Times New Roman" w:hAnsi="Arial" w:cs="Arial"/>
              <w:color w:val="000000"/>
              <w:lang w:val="en-US"/>
            </w:rPr>
            <w:t xml:space="preserve"> RR, </w:t>
          </w:r>
          <w:proofErr w:type="spellStart"/>
          <w:r w:rsidRPr="00493AAE">
            <w:rPr>
              <w:rFonts w:ascii="Arial" w:eastAsia="Times New Roman" w:hAnsi="Arial" w:cs="Arial"/>
              <w:color w:val="000000"/>
              <w:lang w:val="en-US"/>
            </w:rPr>
            <w:t>Igler</w:t>
          </w:r>
          <w:proofErr w:type="spellEnd"/>
          <w:r w:rsidRPr="00493AAE">
            <w:rPr>
              <w:rFonts w:ascii="Arial" w:eastAsia="Times New Roman" w:hAnsi="Arial" w:cs="Arial"/>
              <w:color w:val="000000"/>
              <w:lang w:val="en-US"/>
            </w:rPr>
            <w:t xml:space="preserve"> C. The pharmacokinetic–pharmacodynamic modelling framework as a tool to predict drug resistance evolution. Microbiology (N Y). 2023 Jul 31;169(7). doi:10.1099/mic.0.001368</w:t>
          </w:r>
        </w:p>
        <w:p w14:paraId="449AF84A" w14:textId="77777777" w:rsidR="00B128DA" w:rsidRPr="00493AAE" w:rsidRDefault="00B128DA">
          <w:pPr>
            <w:autoSpaceDE w:val="0"/>
            <w:autoSpaceDN w:val="0"/>
            <w:ind w:hanging="640"/>
            <w:divId w:val="1712413131"/>
            <w:rPr>
              <w:rFonts w:ascii="Arial" w:eastAsia="Times New Roman" w:hAnsi="Arial" w:cs="Arial"/>
              <w:color w:val="000000"/>
              <w:lang w:val="en-US"/>
            </w:rPr>
          </w:pPr>
          <w:r w:rsidRPr="00493AAE">
            <w:rPr>
              <w:rFonts w:ascii="Arial" w:eastAsia="Times New Roman" w:hAnsi="Arial" w:cs="Arial"/>
              <w:color w:val="000000"/>
              <w:lang w:val="en-US"/>
            </w:rPr>
            <w:t>3.</w:t>
          </w:r>
          <w:r w:rsidRPr="00493AAE">
            <w:rPr>
              <w:rFonts w:ascii="Arial" w:eastAsia="Times New Roman" w:hAnsi="Arial" w:cs="Arial"/>
              <w:color w:val="000000"/>
              <w:lang w:val="en-US"/>
            </w:rPr>
            <w:tab/>
            <w:t xml:space="preserve">Blair JMA, Webber MA, </w:t>
          </w:r>
          <w:proofErr w:type="spellStart"/>
          <w:r w:rsidRPr="00493AAE">
            <w:rPr>
              <w:rFonts w:ascii="Arial" w:eastAsia="Times New Roman" w:hAnsi="Arial" w:cs="Arial"/>
              <w:color w:val="000000"/>
              <w:lang w:val="en-US"/>
            </w:rPr>
            <w:t>Baylay</w:t>
          </w:r>
          <w:proofErr w:type="spellEnd"/>
          <w:r w:rsidRPr="00493AAE">
            <w:rPr>
              <w:rFonts w:ascii="Arial" w:eastAsia="Times New Roman" w:hAnsi="Arial" w:cs="Arial"/>
              <w:color w:val="000000"/>
              <w:lang w:val="en-US"/>
            </w:rPr>
            <w:t xml:space="preserve"> AJ, </w:t>
          </w:r>
          <w:proofErr w:type="spellStart"/>
          <w:r w:rsidRPr="00493AAE">
            <w:rPr>
              <w:rFonts w:ascii="Arial" w:eastAsia="Times New Roman" w:hAnsi="Arial" w:cs="Arial"/>
              <w:color w:val="000000"/>
              <w:lang w:val="en-US"/>
            </w:rPr>
            <w:t>Ogbolu</w:t>
          </w:r>
          <w:proofErr w:type="spellEnd"/>
          <w:r w:rsidRPr="00493AAE">
            <w:rPr>
              <w:rFonts w:ascii="Arial" w:eastAsia="Times New Roman" w:hAnsi="Arial" w:cs="Arial"/>
              <w:color w:val="000000"/>
              <w:lang w:val="en-US"/>
            </w:rPr>
            <w:t xml:space="preserve"> DO, Piddock LJ V. Molecular mechanisms of antibiotic resistance. Nat Rev Microbiol. 2015 Jan 1;13(1):42–51. doi:10.1038/nrmicro3380</w:t>
          </w:r>
        </w:p>
        <w:p w14:paraId="0833F685" w14:textId="77777777" w:rsidR="00B128DA" w:rsidRPr="00493AAE" w:rsidRDefault="00B128DA">
          <w:pPr>
            <w:autoSpaceDE w:val="0"/>
            <w:autoSpaceDN w:val="0"/>
            <w:ind w:hanging="640"/>
            <w:divId w:val="1861772465"/>
            <w:rPr>
              <w:rFonts w:ascii="Arial" w:eastAsia="Times New Roman" w:hAnsi="Arial" w:cs="Arial"/>
              <w:color w:val="000000"/>
              <w:lang w:val="en-US"/>
            </w:rPr>
          </w:pPr>
          <w:r w:rsidRPr="00493AAE">
            <w:rPr>
              <w:rFonts w:ascii="Arial" w:eastAsia="Times New Roman" w:hAnsi="Arial" w:cs="Arial"/>
              <w:color w:val="000000"/>
              <w:lang w:val="en-US"/>
            </w:rPr>
            <w:t>4.</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Drlica</w:t>
          </w:r>
          <w:proofErr w:type="spellEnd"/>
          <w:r w:rsidRPr="00493AAE">
            <w:rPr>
              <w:rFonts w:ascii="Arial" w:eastAsia="Times New Roman" w:hAnsi="Arial" w:cs="Arial"/>
              <w:color w:val="000000"/>
              <w:lang w:val="en-US"/>
            </w:rPr>
            <w:t xml:space="preserve"> K. The mutant selection window and antimicrobial resistance. Journal of Antimicrobial Chemotherapy. 2003 Jun 12;52(1):11–7. doi:10.1093/</w:t>
          </w:r>
          <w:proofErr w:type="spellStart"/>
          <w:r w:rsidRPr="00493AAE">
            <w:rPr>
              <w:rFonts w:ascii="Arial" w:eastAsia="Times New Roman" w:hAnsi="Arial" w:cs="Arial"/>
              <w:color w:val="000000"/>
              <w:lang w:val="en-US"/>
            </w:rPr>
            <w:t>jac</w:t>
          </w:r>
          <w:proofErr w:type="spellEnd"/>
          <w:r w:rsidRPr="00493AAE">
            <w:rPr>
              <w:rFonts w:ascii="Arial" w:eastAsia="Times New Roman" w:hAnsi="Arial" w:cs="Arial"/>
              <w:color w:val="000000"/>
              <w:lang w:val="en-US"/>
            </w:rPr>
            <w:t>/dkg269</w:t>
          </w:r>
        </w:p>
        <w:p w14:paraId="4C84F24E" w14:textId="77777777" w:rsidR="00B128DA" w:rsidRPr="00B128DA" w:rsidRDefault="00B128DA">
          <w:pPr>
            <w:autoSpaceDE w:val="0"/>
            <w:autoSpaceDN w:val="0"/>
            <w:ind w:hanging="640"/>
            <w:divId w:val="2006542366"/>
            <w:rPr>
              <w:rFonts w:ascii="Arial" w:eastAsia="Times New Roman" w:hAnsi="Arial" w:cs="Arial"/>
              <w:color w:val="000000"/>
            </w:rPr>
          </w:pPr>
          <w:r w:rsidRPr="00493AAE">
            <w:rPr>
              <w:rFonts w:ascii="Arial" w:eastAsia="Times New Roman" w:hAnsi="Arial" w:cs="Arial"/>
              <w:color w:val="000000"/>
              <w:lang w:val="en-US"/>
            </w:rPr>
            <w:t>5.</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Baulier</w:t>
          </w:r>
          <w:proofErr w:type="spellEnd"/>
          <w:r w:rsidRPr="00493AAE">
            <w:rPr>
              <w:rFonts w:ascii="Arial" w:eastAsia="Times New Roman" w:hAnsi="Arial" w:cs="Arial"/>
              <w:color w:val="000000"/>
              <w:lang w:val="en-US"/>
            </w:rPr>
            <w:t xml:space="preserve"> C, </w:t>
          </w:r>
          <w:proofErr w:type="spellStart"/>
          <w:r w:rsidRPr="00493AAE">
            <w:rPr>
              <w:rFonts w:ascii="Arial" w:eastAsia="Times New Roman" w:hAnsi="Arial" w:cs="Arial"/>
              <w:color w:val="000000"/>
              <w:lang w:val="en-US"/>
            </w:rPr>
            <w:t>Giry</w:t>
          </w:r>
          <w:proofErr w:type="spellEnd"/>
          <w:r w:rsidRPr="00493AAE">
            <w:rPr>
              <w:rFonts w:ascii="Arial" w:eastAsia="Times New Roman" w:hAnsi="Arial" w:cs="Arial"/>
              <w:color w:val="000000"/>
              <w:lang w:val="en-US"/>
            </w:rPr>
            <w:t xml:space="preserve"> M, Etienne M, </w:t>
          </w:r>
          <w:proofErr w:type="spellStart"/>
          <w:r w:rsidRPr="00493AAE">
            <w:rPr>
              <w:rFonts w:ascii="Arial" w:eastAsia="Times New Roman" w:hAnsi="Arial" w:cs="Arial"/>
              <w:color w:val="000000"/>
              <w:lang w:val="en-US"/>
            </w:rPr>
            <w:t>Kallout</w:t>
          </w:r>
          <w:proofErr w:type="spellEnd"/>
          <w:r w:rsidRPr="00493AAE">
            <w:rPr>
              <w:rFonts w:ascii="Arial" w:eastAsia="Times New Roman" w:hAnsi="Arial" w:cs="Arial"/>
              <w:color w:val="000000"/>
              <w:lang w:val="en-US"/>
            </w:rPr>
            <w:t xml:space="preserve"> J, Alexandre K. Pharmacokinetic/pharmacodynamic targets of ß-lactams associated with bacterial killing and suppression of the resistance emergence in the hollow fiber infection model: A systematic review. </w:t>
          </w:r>
          <w:r w:rsidRPr="00B128DA">
            <w:rPr>
              <w:rFonts w:ascii="Arial" w:eastAsia="Times New Roman" w:hAnsi="Arial" w:cs="Arial"/>
              <w:color w:val="000000"/>
            </w:rPr>
            <w:t xml:space="preserve">J </w:t>
          </w:r>
          <w:proofErr w:type="spellStart"/>
          <w:r w:rsidRPr="00B128DA">
            <w:rPr>
              <w:rFonts w:ascii="Arial" w:eastAsia="Times New Roman" w:hAnsi="Arial" w:cs="Arial"/>
              <w:color w:val="000000"/>
            </w:rPr>
            <w:t>Glob</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Antimicrob</w:t>
          </w:r>
          <w:proofErr w:type="spellEnd"/>
          <w:r w:rsidRPr="00B128DA">
            <w:rPr>
              <w:rFonts w:ascii="Arial" w:eastAsia="Times New Roman" w:hAnsi="Arial" w:cs="Arial"/>
              <w:color w:val="000000"/>
            </w:rPr>
            <w:t xml:space="preserve"> </w:t>
          </w:r>
          <w:proofErr w:type="spellStart"/>
          <w:r w:rsidRPr="00B128DA">
            <w:rPr>
              <w:rFonts w:ascii="Arial" w:eastAsia="Times New Roman" w:hAnsi="Arial" w:cs="Arial"/>
              <w:color w:val="000000"/>
            </w:rPr>
            <w:t>Resist</w:t>
          </w:r>
          <w:proofErr w:type="spellEnd"/>
          <w:r w:rsidRPr="00B128DA">
            <w:rPr>
              <w:rFonts w:ascii="Arial" w:eastAsia="Times New Roman" w:hAnsi="Arial" w:cs="Arial"/>
              <w:color w:val="000000"/>
            </w:rPr>
            <w:t>. 2025 Dec;45:220–7. doi:10.1016/j.jgar.2025.10.009</w:t>
          </w:r>
        </w:p>
        <w:p w14:paraId="235077B3" w14:textId="77777777" w:rsidR="00B128DA" w:rsidRPr="00493AAE" w:rsidRDefault="00B128DA">
          <w:pPr>
            <w:autoSpaceDE w:val="0"/>
            <w:autoSpaceDN w:val="0"/>
            <w:ind w:hanging="640"/>
            <w:divId w:val="1980498024"/>
            <w:rPr>
              <w:rFonts w:ascii="Arial" w:eastAsia="Times New Roman" w:hAnsi="Arial" w:cs="Arial"/>
              <w:color w:val="000000"/>
              <w:lang w:val="en-US"/>
            </w:rPr>
          </w:pPr>
          <w:r w:rsidRPr="00B128DA">
            <w:rPr>
              <w:rFonts w:ascii="Arial" w:eastAsia="Times New Roman" w:hAnsi="Arial" w:cs="Arial"/>
              <w:color w:val="000000"/>
            </w:rPr>
            <w:t>6.</w:t>
          </w:r>
          <w:r w:rsidRPr="00B128DA">
            <w:rPr>
              <w:rFonts w:ascii="Arial" w:eastAsia="Times New Roman" w:hAnsi="Arial" w:cs="Arial"/>
              <w:color w:val="000000"/>
            </w:rPr>
            <w:tab/>
          </w:r>
          <w:proofErr w:type="spellStart"/>
          <w:r w:rsidRPr="00B128DA">
            <w:rPr>
              <w:rFonts w:ascii="Arial" w:eastAsia="Times New Roman" w:hAnsi="Arial" w:cs="Arial"/>
              <w:color w:val="000000"/>
            </w:rPr>
            <w:t>Finazzi</w:t>
          </w:r>
          <w:proofErr w:type="spellEnd"/>
          <w:r w:rsidRPr="00B128DA">
            <w:rPr>
              <w:rFonts w:ascii="Arial" w:eastAsia="Times New Roman" w:hAnsi="Arial" w:cs="Arial"/>
              <w:color w:val="000000"/>
            </w:rPr>
            <w:t xml:space="preserve"> S, Luci G, Olivieri C, </w:t>
          </w:r>
          <w:proofErr w:type="spellStart"/>
          <w:r w:rsidRPr="00B128DA">
            <w:rPr>
              <w:rFonts w:ascii="Arial" w:eastAsia="Times New Roman" w:hAnsi="Arial" w:cs="Arial"/>
              <w:color w:val="000000"/>
            </w:rPr>
            <w:t>Langer</w:t>
          </w:r>
          <w:proofErr w:type="spellEnd"/>
          <w:r w:rsidRPr="00B128DA">
            <w:rPr>
              <w:rFonts w:ascii="Arial" w:eastAsia="Times New Roman" w:hAnsi="Arial" w:cs="Arial"/>
              <w:color w:val="000000"/>
            </w:rPr>
            <w:t xml:space="preserve"> M, Mandelli G, Corona A, et al. </w:t>
          </w:r>
          <w:r w:rsidRPr="00493AAE">
            <w:rPr>
              <w:rFonts w:ascii="Arial" w:eastAsia="Times New Roman" w:hAnsi="Arial" w:cs="Arial"/>
              <w:color w:val="000000"/>
              <w:lang w:val="en-US"/>
            </w:rPr>
            <w:t>Tissue Penetration of Antimicrobials in Intensive Care Unit Patients: A Systematic Review—Part I. Antibiotics. 2022 Aug 29;11(9):1164. doi:10.3390/antibiotics11091164</w:t>
          </w:r>
        </w:p>
        <w:p w14:paraId="610CCDF1" w14:textId="77777777" w:rsidR="00B128DA" w:rsidRPr="00B128DA" w:rsidRDefault="00B128DA">
          <w:pPr>
            <w:autoSpaceDE w:val="0"/>
            <w:autoSpaceDN w:val="0"/>
            <w:ind w:hanging="640"/>
            <w:divId w:val="312638171"/>
            <w:rPr>
              <w:rFonts w:ascii="Arial" w:eastAsia="Times New Roman" w:hAnsi="Arial" w:cs="Arial"/>
              <w:color w:val="000000"/>
            </w:rPr>
          </w:pPr>
          <w:r w:rsidRPr="00493AAE">
            <w:rPr>
              <w:rFonts w:ascii="Arial" w:eastAsia="Times New Roman" w:hAnsi="Arial" w:cs="Arial"/>
              <w:color w:val="000000"/>
              <w:lang w:val="en-US"/>
            </w:rPr>
            <w:t>7.</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Kadeřábková</w:t>
          </w:r>
          <w:proofErr w:type="spellEnd"/>
          <w:r w:rsidRPr="00493AAE">
            <w:rPr>
              <w:rFonts w:ascii="Arial" w:eastAsia="Times New Roman" w:hAnsi="Arial" w:cs="Arial"/>
              <w:color w:val="000000"/>
              <w:lang w:val="en-US"/>
            </w:rPr>
            <w:t xml:space="preserve"> N, Mahmood AJS, </w:t>
          </w:r>
          <w:proofErr w:type="spellStart"/>
          <w:r w:rsidRPr="00493AAE">
            <w:rPr>
              <w:rFonts w:ascii="Arial" w:eastAsia="Times New Roman" w:hAnsi="Arial" w:cs="Arial"/>
              <w:color w:val="000000"/>
              <w:lang w:val="en-US"/>
            </w:rPr>
            <w:t>Mavridou</w:t>
          </w:r>
          <w:proofErr w:type="spellEnd"/>
          <w:r w:rsidRPr="00493AAE">
            <w:rPr>
              <w:rFonts w:ascii="Arial" w:eastAsia="Times New Roman" w:hAnsi="Arial" w:cs="Arial"/>
              <w:color w:val="000000"/>
              <w:lang w:val="en-US"/>
            </w:rPr>
            <w:t xml:space="preserve"> DAI. Antibiotic susceptibility testing using minimum inhibitory concentration (MIC) assays. </w:t>
          </w:r>
          <w:proofErr w:type="spellStart"/>
          <w:r w:rsidRPr="00493AAE">
            <w:rPr>
              <w:rFonts w:ascii="Arial" w:eastAsia="Times New Roman" w:hAnsi="Arial" w:cs="Arial"/>
              <w:color w:val="000000"/>
              <w:lang w:val="en-US"/>
            </w:rPr>
            <w:t>npj</w:t>
          </w:r>
          <w:proofErr w:type="spellEnd"/>
          <w:r w:rsidRPr="00493AAE">
            <w:rPr>
              <w:rFonts w:ascii="Arial" w:eastAsia="Times New Roman" w:hAnsi="Arial" w:cs="Arial"/>
              <w:color w:val="000000"/>
              <w:lang w:val="en-US"/>
            </w:rPr>
            <w:t xml:space="preserve"> Antimicrobials and Resistance. </w:t>
          </w:r>
          <w:r w:rsidRPr="00B128DA">
            <w:rPr>
              <w:rFonts w:ascii="Arial" w:eastAsia="Times New Roman" w:hAnsi="Arial" w:cs="Arial"/>
              <w:color w:val="000000"/>
            </w:rPr>
            <w:t xml:space="preserve">2024 </w:t>
          </w:r>
          <w:proofErr w:type="spellStart"/>
          <w:r w:rsidRPr="00B128DA">
            <w:rPr>
              <w:rFonts w:ascii="Arial" w:eastAsia="Times New Roman" w:hAnsi="Arial" w:cs="Arial"/>
              <w:color w:val="000000"/>
            </w:rPr>
            <w:t>Nov</w:t>
          </w:r>
          <w:proofErr w:type="spellEnd"/>
          <w:r w:rsidRPr="00B128DA">
            <w:rPr>
              <w:rFonts w:ascii="Arial" w:eastAsia="Times New Roman" w:hAnsi="Arial" w:cs="Arial"/>
              <w:color w:val="000000"/>
            </w:rPr>
            <w:t xml:space="preserve"> 7;2(1):37. doi:10.1038/s44259-024-00051-6</w:t>
          </w:r>
        </w:p>
        <w:p w14:paraId="43456E11" w14:textId="77777777" w:rsidR="00B128DA" w:rsidRPr="00493AAE" w:rsidRDefault="00B128DA">
          <w:pPr>
            <w:autoSpaceDE w:val="0"/>
            <w:autoSpaceDN w:val="0"/>
            <w:ind w:hanging="640"/>
            <w:divId w:val="1442841717"/>
            <w:rPr>
              <w:rFonts w:ascii="Arial" w:eastAsia="Times New Roman" w:hAnsi="Arial" w:cs="Arial"/>
              <w:color w:val="000000"/>
              <w:lang w:val="en-US"/>
            </w:rPr>
          </w:pPr>
          <w:r w:rsidRPr="00B128DA">
            <w:rPr>
              <w:rFonts w:ascii="Arial" w:eastAsia="Times New Roman" w:hAnsi="Arial" w:cs="Arial"/>
              <w:color w:val="000000"/>
            </w:rPr>
            <w:t>8.</w:t>
          </w:r>
          <w:r w:rsidRPr="00B128DA">
            <w:rPr>
              <w:rFonts w:ascii="Arial" w:eastAsia="Times New Roman" w:hAnsi="Arial" w:cs="Arial"/>
              <w:color w:val="000000"/>
            </w:rPr>
            <w:tab/>
          </w:r>
          <w:proofErr w:type="spellStart"/>
          <w:r w:rsidRPr="00B128DA">
            <w:rPr>
              <w:rFonts w:ascii="Arial" w:eastAsia="Times New Roman" w:hAnsi="Arial" w:cs="Arial"/>
              <w:color w:val="000000"/>
            </w:rPr>
            <w:t>Mouton</w:t>
          </w:r>
          <w:proofErr w:type="spellEnd"/>
          <w:r w:rsidRPr="00B128DA">
            <w:rPr>
              <w:rFonts w:ascii="Arial" w:eastAsia="Times New Roman" w:hAnsi="Arial" w:cs="Arial"/>
              <w:color w:val="000000"/>
            </w:rPr>
            <w:t xml:space="preserve"> JW, Brown DFJ, </w:t>
          </w:r>
          <w:proofErr w:type="spellStart"/>
          <w:r w:rsidRPr="00B128DA">
            <w:rPr>
              <w:rFonts w:ascii="Arial" w:eastAsia="Times New Roman" w:hAnsi="Arial" w:cs="Arial"/>
              <w:color w:val="000000"/>
            </w:rPr>
            <w:t>Apfalter</w:t>
          </w:r>
          <w:proofErr w:type="spellEnd"/>
          <w:r w:rsidRPr="00B128DA">
            <w:rPr>
              <w:rFonts w:ascii="Arial" w:eastAsia="Times New Roman" w:hAnsi="Arial" w:cs="Arial"/>
              <w:color w:val="000000"/>
            </w:rPr>
            <w:t xml:space="preserve"> P, </w:t>
          </w:r>
          <w:proofErr w:type="spellStart"/>
          <w:r w:rsidRPr="00B128DA">
            <w:rPr>
              <w:rFonts w:ascii="Arial" w:eastAsia="Times New Roman" w:hAnsi="Arial" w:cs="Arial"/>
              <w:color w:val="000000"/>
            </w:rPr>
            <w:t>Cantón</w:t>
          </w:r>
          <w:proofErr w:type="spellEnd"/>
          <w:r w:rsidRPr="00B128DA">
            <w:rPr>
              <w:rFonts w:ascii="Arial" w:eastAsia="Times New Roman" w:hAnsi="Arial" w:cs="Arial"/>
              <w:color w:val="000000"/>
            </w:rPr>
            <w:t xml:space="preserve"> R, </w:t>
          </w:r>
          <w:proofErr w:type="spellStart"/>
          <w:r w:rsidRPr="00B128DA">
            <w:rPr>
              <w:rFonts w:ascii="Arial" w:eastAsia="Times New Roman" w:hAnsi="Arial" w:cs="Arial"/>
              <w:color w:val="000000"/>
            </w:rPr>
            <w:t>Giske</w:t>
          </w:r>
          <w:proofErr w:type="spellEnd"/>
          <w:r w:rsidRPr="00B128DA">
            <w:rPr>
              <w:rFonts w:ascii="Arial" w:eastAsia="Times New Roman" w:hAnsi="Arial" w:cs="Arial"/>
              <w:color w:val="000000"/>
            </w:rPr>
            <w:t xml:space="preserve"> CG, </w:t>
          </w:r>
          <w:proofErr w:type="spellStart"/>
          <w:r w:rsidRPr="00B128DA">
            <w:rPr>
              <w:rFonts w:ascii="Arial" w:eastAsia="Times New Roman" w:hAnsi="Arial" w:cs="Arial"/>
              <w:color w:val="000000"/>
            </w:rPr>
            <w:t>Ivanova</w:t>
          </w:r>
          <w:proofErr w:type="spellEnd"/>
          <w:r w:rsidRPr="00B128DA">
            <w:rPr>
              <w:rFonts w:ascii="Arial" w:eastAsia="Times New Roman" w:hAnsi="Arial" w:cs="Arial"/>
              <w:color w:val="000000"/>
            </w:rPr>
            <w:t xml:space="preserve"> M, et al. </w:t>
          </w:r>
          <w:r w:rsidRPr="00493AAE">
            <w:rPr>
              <w:rFonts w:ascii="Arial" w:eastAsia="Times New Roman" w:hAnsi="Arial" w:cs="Arial"/>
              <w:color w:val="000000"/>
              <w:lang w:val="en-US"/>
            </w:rPr>
            <w:t>The role of pharmacokinetics/pharmacodynamics in setting clinical MIC breakpoints: the EUCAST approach. Clinical Microbiology and Infection. 2012 Mar;18(3):E37–45. doi:10.1111/j.1469-0691.2011.03752.x</w:t>
          </w:r>
        </w:p>
        <w:p w14:paraId="599C6202" w14:textId="77777777" w:rsidR="00B128DA" w:rsidRPr="00493AAE" w:rsidRDefault="00B128DA">
          <w:pPr>
            <w:autoSpaceDE w:val="0"/>
            <w:autoSpaceDN w:val="0"/>
            <w:ind w:hanging="640"/>
            <w:divId w:val="29230973"/>
            <w:rPr>
              <w:rFonts w:ascii="Arial" w:eastAsia="Times New Roman" w:hAnsi="Arial" w:cs="Arial"/>
              <w:color w:val="000000"/>
              <w:lang w:val="en-US"/>
            </w:rPr>
          </w:pPr>
          <w:r w:rsidRPr="00493AAE">
            <w:rPr>
              <w:rFonts w:ascii="Arial" w:eastAsia="Times New Roman" w:hAnsi="Arial" w:cs="Arial"/>
              <w:color w:val="000000"/>
              <w:lang w:val="en-US"/>
            </w:rPr>
            <w:t>9.</w:t>
          </w:r>
          <w:r w:rsidRPr="00493AAE">
            <w:rPr>
              <w:rFonts w:ascii="Arial" w:eastAsia="Times New Roman" w:hAnsi="Arial" w:cs="Arial"/>
              <w:color w:val="000000"/>
              <w:lang w:val="en-US"/>
            </w:rPr>
            <w:tab/>
            <w:t>European Committee on Antimicrobial Susceptibility Testing (EUCAST). Clinical breakpoints and interpretation of S, I and R [Internet]. Växjö, Sweden; 2024. Report. Available from: https://www.eucast.org</w:t>
          </w:r>
        </w:p>
        <w:p w14:paraId="5F68CCC7" w14:textId="77777777" w:rsidR="00B128DA" w:rsidRPr="00493AAE" w:rsidRDefault="00B128DA">
          <w:pPr>
            <w:autoSpaceDE w:val="0"/>
            <w:autoSpaceDN w:val="0"/>
            <w:ind w:hanging="640"/>
            <w:divId w:val="1272974078"/>
            <w:rPr>
              <w:rFonts w:ascii="Arial" w:eastAsia="Times New Roman" w:hAnsi="Arial" w:cs="Arial"/>
              <w:color w:val="000000"/>
              <w:lang w:val="en-US"/>
            </w:rPr>
          </w:pPr>
          <w:r w:rsidRPr="00493AAE">
            <w:rPr>
              <w:rFonts w:ascii="Arial" w:eastAsia="Times New Roman" w:hAnsi="Arial" w:cs="Arial"/>
              <w:color w:val="000000"/>
              <w:lang w:val="en-US"/>
            </w:rPr>
            <w:t>10.</w:t>
          </w:r>
          <w:r w:rsidRPr="00493AAE">
            <w:rPr>
              <w:rFonts w:ascii="Arial" w:eastAsia="Times New Roman" w:hAnsi="Arial" w:cs="Arial"/>
              <w:color w:val="000000"/>
              <w:lang w:val="en-US"/>
            </w:rPr>
            <w:tab/>
            <w:t>Craig WA. State</w:t>
          </w:r>
          <w:r w:rsidRPr="00493AAE">
            <w:rPr>
              <w:rFonts w:ascii="Cambria Math" w:eastAsia="Times New Roman" w:hAnsi="Cambria Math" w:cs="Cambria Math"/>
              <w:color w:val="000000"/>
              <w:lang w:val="en-US"/>
            </w:rPr>
            <w:t>‐</w:t>
          </w:r>
          <w:r w:rsidRPr="00493AAE">
            <w:rPr>
              <w:rFonts w:ascii="Arial" w:eastAsia="Times New Roman" w:hAnsi="Arial" w:cs="Arial"/>
              <w:color w:val="000000"/>
              <w:lang w:val="en-US"/>
            </w:rPr>
            <w:t>of</w:t>
          </w:r>
          <w:r w:rsidRPr="00493AAE">
            <w:rPr>
              <w:rFonts w:ascii="Cambria Math" w:eastAsia="Times New Roman" w:hAnsi="Cambria Math" w:cs="Cambria Math"/>
              <w:color w:val="000000"/>
              <w:lang w:val="en-US"/>
            </w:rPr>
            <w:t>‐</w:t>
          </w:r>
          <w:r w:rsidRPr="00493AAE">
            <w:rPr>
              <w:rFonts w:ascii="Arial" w:eastAsia="Times New Roman" w:hAnsi="Arial" w:cs="Arial"/>
              <w:color w:val="000000"/>
              <w:lang w:val="en-US"/>
            </w:rPr>
            <w:t>the</w:t>
          </w:r>
          <w:r w:rsidRPr="00493AAE">
            <w:rPr>
              <w:rFonts w:ascii="Cambria Math" w:eastAsia="Times New Roman" w:hAnsi="Cambria Math" w:cs="Cambria Math"/>
              <w:color w:val="000000"/>
              <w:lang w:val="en-US"/>
            </w:rPr>
            <w:t>‐</w:t>
          </w:r>
          <w:r w:rsidRPr="00493AAE">
            <w:rPr>
              <w:rFonts w:ascii="Arial" w:eastAsia="Times New Roman" w:hAnsi="Arial" w:cs="Arial"/>
              <w:color w:val="000000"/>
              <w:lang w:val="en-US"/>
            </w:rPr>
            <w:t>Art Clinical Article: Pharmacokinetic/Pharmacodynamic Parameters: Rationale for Antibacterial Dosing of Mice and Men. Clinical Infectious Diseases. 1998 Jan;26(1):1–10. doi:10.1086/516284</w:t>
          </w:r>
        </w:p>
        <w:p w14:paraId="5284D744" w14:textId="77777777" w:rsidR="00B128DA" w:rsidRPr="00493AAE" w:rsidRDefault="00B128DA">
          <w:pPr>
            <w:autoSpaceDE w:val="0"/>
            <w:autoSpaceDN w:val="0"/>
            <w:ind w:hanging="640"/>
            <w:divId w:val="1141270087"/>
            <w:rPr>
              <w:rFonts w:ascii="Arial" w:eastAsia="Times New Roman" w:hAnsi="Arial" w:cs="Arial"/>
              <w:color w:val="000000"/>
              <w:lang w:val="en-US"/>
            </w:rPr>
          </w:pPr>
          <w:r w:rsidRPr="00493AAE">
            <w:rPr>
              <w:rFonts w:ascii="Arial" w:eastAsia="Times New Roman" w:hAnsi="Arial" w:cs="Arial"/>
              <w:color w:val="000000"/>
              <w:lang w:val="en-US"/>
            </w:rPr>
            <w:t>11.</w:t>
          </w:r>
          <w:r w:rsidRPr="00493AAE">
            <w:rPr>
              <w:rFonts w:ascii="Arial" w:eastAsia="Times New Roman" w:hAnsi="Arial" w:cs="Arial"/>
              <w:color w:val="000000"/>
              <w:lang w:val="en-US"/>
            </w:rPr>
            <w:tab/>
            <w:t>Roger C. Understanding antimicrobial pharmacokinetics in critically ill patients to optimize antimicrobial therapy: A narrative review. Journal of Intensive Medicine. 2024 Jul;4(3):287–98. doi:10.1016/j.jointm.2023.12.007</w:t>
          </w:r>
        </w:p>
        <w:p w14:paraId="4D4337E6" w14:textId="77777777" w:rsidR="00B128DA" w:rsidRPr="00493AAE" w:rsidRDefault="00B128DA">
          <w:pPr>
            <w:autoSpaceDE w:val="0"/>
            <w:autoSpaceDN w:val="0"/>
            <w:ind w:hanging="640"/>
            <w:divId w:val="1289891241"/>
            <w:rPr>
              <w:rFonts w:ascii="Arial" w:eastAsia="Times New Roman" w:hAnsi="Arial" w:cs="Arial"/>
              <w:color w:val="000000"/>
              <w:lang w:val="en-US"/>
            </w:rPr>
          </w:pPr>
          <w:r w:rsidRPr="00493AAE">
            <w:rPr>
              <w:rFonts w:ascii="Arial" w:eastAsia="Times New Roman" w:hAnsi="Arial" w:cs="Arial"/>
              <w:color w:val="000000"/>
              <w:lang w:val="en-US"/>
            </w:rPr>
            <w:t>12.</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Viaggi</w:t>
          </w:r>
          <w:proofErr w:type="spellEnd"/>
          <w:r w:rsidRPr="00493AAE">
            <w:rPr>
              <w:rFonts w:ascii="Arial" w:eastAsia="Times New Roman" w:hAnsi="Arial" w:cs="Arial"/>
              <w:color w:val="000000"/>
              <w:lang w:val="en-US"/>
            </w:rPr>
            <w:t xml:space="preserve"> B, </w:t>
          </w:r>
          <w:proofErr w:type="spellStart"/>
          <w:r w:rsidRPr="00493AAE">
            <w:rPr>
              <w:rFonts w:ascii="Arial" w:eastAsia="Times New Roman" w:hAnsi="Arial" w:cs="Arial"/>
              <w:color w:val="000000"/>
              <w:lang w:val="en-US"/>
            </w:rPr>
            <w:t>Cangialosi</w:t>
          </w:r>
          <w:proofErr w:type="spellEnd"/>
          <w:r w:rsidRPr="00493AAE">
            <w:rPr>
              <w:rFonts w:ascii="Arial" w:eastAsia="Times New Roman" w:hAnsi="Arial" w:cs="Arial"/>
              <w:color w:val="000000"/>
              <w:lang w:val="en-US"/>
            </w:rPr>
            <w:t xml:space="preserve"> A, Langer M, </w:t>
          </w:r>
          <w:proofErr w:type="spellStart"/>
          <w:r w:rsidRPr="00493AAE">
            <w:rPr>
              <w:rFonts w:ascii="Arial" w:eastAsia="Times New Roman" w:hAnsi="Arial" w:cs="Arial"/>
              <w:color w:val="000000"/>
              <w:lang w:val="en-US"/>
            </w:rPr>
            <w:t>Olivieri</w:t>
          </w:r>
          <w:proofErr w:type="spellEnd"/>
          <w:r w:rsidRPr="00493AAE">
            <w:rPr>
              <w:rFonts w:ascii="Arial" w:eastAsia="Times New Roman" w:hAnsi="Arial" w:cs="Arial"/>
              <w:color w:val="000000"/>
              <w:lang w:val="en-US"/>
            </w:rPr>
            <w:t xml:space="preserve"> C, Gori A, Corona A, et al. Tissue Penetration of Antimicrobials in Intensive Care Unit Patients: A Systematic Review—Part II. Antibiotics. 2022 Sep 3;11(9):1193. doi:10.3390/antibiotics11091193</w:t>
          </w:r>
        </w:p>
        <w:p w14:paraId="26C4577C" w14:textId="77777777" w:rsidR="00B128DA" w:rsidRPr="00493AAE" w:rsidRDefault="00B128DA">
          <w:pPr>
            <w:autoSpaceDE w:val="0"/>
            <w:autoSpaceDN w:val="0"/>
            <w:ind w:hanging="640"/>
            <w:divId w:val="1198813724"/>
            <w:rPr>
              <w:rFonts w:ascii="Arial" w:eastAsia="Times New Roman" w:hAnsi="Arial" w:cs="Arial"/>
              <w:color w:val="000000"/>
              <w:lang w:val="en-US"/>
            </w:rPr>
          </w:pPr>
          <w:r w:rsidRPr="00493AAE">
            <w:rPr>
              <w:rFonts w:ascii="Arial" w:eastAsia="Times New Roman" w:hAnsi="Arial" w:cs="Arial"/>
              <w:color w:val="000000"/>
              <w:lang w:val="en-US"/>
            </w:rPr>
            <w:t>13.</w:t>
          </w:r>
          <w:r w:rsidRPr="00493AAE">
            <w:rPr>
              <w:rFonts w:ascii="Arial" w:eastAsia="Times New Roman" w:hAnsi="Arial" w:cs="Arial"/>
              <w:color w:val="000000"/>
              <w:lang w:val="en-US"/>
            </w:rPr>
            <w:tab/>
            <w:t xml:space="preserve">Liu HY, Prentice EL, Webber MA. Mechanisms of antimicrobial resistance in biofilms. </w:t>
          </w:r>
          <w:proofErr w:type="spellStart"/>
          <w:r w:rsidRPr="00493AAE">
            <w:rPr>
              <w:rFonts w:ascii="Arial" w:eastAsia="Times New Roman" w:hAnsi="Arial" w:cs="Arial"/>
              <w:color w:val="000000"/>
              <w:lang w:val="en-US"/>
            </w:rPr>
            <w:t>npj</w:t>
          </w:r>
          <w:proofErr w:type="spellEnd"/>
          <w:r w:rsidRPr="00493AAE">
            <w:rPr>
              <w:rFonts w:ascii="Arial" w:eastAsia="Times New Roman" w:hAnsi="Arial" w:cs="Arial"/>
              <w:color w:val="000000"/>
              <w:lang w:val="en-US"/>
            </w:rPr>
            <w:t xml:space="preserve"> Antimicrobials and Resistance. 2024 Oct 1;2(1):27. doi:10.1038/s44259-024-00046-3</w:t>
          </w:r>
        </w:p>
        <w:p w14:paraId="555CFD39" w14:textId="77777777" w:rsidR="00B128DA" w:rsidRPr="00B128DA" w:rsidRDefault="00B128DA">
          <w:pPr>
            <w:autoSpaceDE w:val="0"/>
            <w:autoSpaceDN w:val="0"/>
            <w:ind w:hanging="640"/>
            <w:divId w:val="1425178505"/>
            <w:rPr>
              <w:rFonts w:ascii="Arial" w:eastAsia="Times New Roman" w:hAnsi="Arial" w:cs="Arial"/>
              <w:color w:val="000000"/>
            </w:rPr>
          </w:pPr>
          <w:r w:rsidRPr="00493AAE">
            <w:rPr>
              <w:rFonts w:ascii="Arial" w:eastAsia="Times New Roman" w:hAnsi="Arial" w:cs="Arial"/>
              <w:color w:val="000000"/>
              <w:lang w:val="en-US"/>
            </w:rPr>
            <w:lastRenderedPageBreak/>
            <w:t>14.</w:t>
          </w:r>
          <w:r w:rsidRPr="00493AAE">
            <w:rPr>
              <w:rFonts w:ascii="Arial" w:eastAsia="Times New Roman" w:hAnsi="Arial" w:cs="Arial"/>
              <w:color w:val="000000"/>
              <w:lang w:val="en-US"/>
            </w:rPr>
            <w:tab/>
          </w:r>
          <w:proofErr w:type="spellStart"/>
          <w:r w:rsidRPr="00493AAE">
            <w:rPr>
              <w:rFonts w:ascii="Arial" w:eastAsia="Times New Roman" w:hAnsi="Arial" w:cs="Arial"/>
              <w:color w:val="000000"/>
              <w:lang w:val="en-US"/>
            </w:rPr>
            <w:t>Ciofu</w:t>
          </w:r>
          <w:proofErr w:type="spellEnd"/>
          <w:r w:rsidRPr="00493AAE">
            <w:rPr>
              <w:rFonts w:ascii="Arial" w:eastAsia="Times New Roman" w:hAnsi="Arial" w:cs="Arial"/>
              <w:color w:val="000000"/>
              <w:lang w:val="en-US"/>
            </w:rPr>
            <w:t xml:space="preserve"> O, Moser C, Jensen PØ, </w:t>
          </w:r>
          <w:proofErr w:type="spellStart"/>
          <w:r w:rsidRPr="00493AAE">
            <w:rPr>
              <w:rFonts w:ascii="Arial" w:eastAsia="Times New Roman" w:hAnsi="Arial" w:cs="Arial"/>
              <w:color w:val="000000"/>
              <w:lang w:val="en-US"/>
            </w:rPr>
            <w:t>Høiby</w:t>
          </w:r>
          <w:proofErr w:type="spellEnd"/>
          <w:r w:rsidRPr="00493AAE">
            <w:rPr>
              <w:rFonts w:ascii="Arial" w:eastAsia="Times New Roman" w:hAnsi="Arial" w:cs="Arial"/>
              <w:color w:val="000000"/>
              <w:lang w:val="en-US"/>
            </w:rPr>
            <w:t xml:space="preserve"> N. Tolerance and resistance of microbial biofilms. </w:t>
          </w:r>
          <w:r w:rsidRPr="00B128DA">
            <w:rPr>
              <w:rFonts w:ascii="Arial" w:eastAsia="Times New Roman" w:hAnsi="Arial" w:cs="Arial"/>
              <w:color w:val="000000"/>
            </w:rPr>
            <w:t xml:space="preserve">Nat </w:t>
          </w:r>
          <w:proofErr w:type="spellStart"/>
          <w:r w:rsidRPr="00B128DA">
            <w:rPr>
              <w:rFonts w:ascii="Arial" w:eastAsia="Times New Roman" w:hAnsi="Arial" w:cs="Arial"/>
              <w:color w:val="000000"/>
            </w:rPr>
            <w:t>Rev</w:t>
          </w:r>
          <w:proofErr w:type="spellEnd"/>
          <w:r w:rsidRPr="00B128DA">
            <w:rPr>
              <w:rFonts w:ascii="Arial" w:eastAsia="Times New Roman" w:hAnsi="Arial" w:cs="Arial"/>
              <w:color w:val="000000"/>
            </w:rPr>
            <w:t xml:space="preserve"> Microbiol. 2022 </w:t>
          </w:r>
          <w:proofErr w:type="spellStart"/>
          <w:r w:rsidRPr="00B128DA">
            <w:rPr>
              <w:rFonts w:ascii="Arial" w:eastAsia="Times New Roman" w:hAnsi="Arial" w:cs="Arial"/>
              <w:color w:val="000000"/>
            </w:rPr>
            <w:t>Oct</w:t>
          </w:r>
          <w:proofErr w:type="spellEnd"/>
          <w:r w:rsidRPr="00B128DA">
            <w:rPr>
              <w:rFonts w:ascii="Arial" w:eastAsia="Times New Roman" w:hAnsi="Arial" w:cs="Arial"/>
              <w:color w:val="000000"/>
            </w:rPr>
            <w:t xml:space="preserve"> 3;20(10):621–35. doi:10.1038/s41579-022-00682-4</w:t>
          </w:r>
        </w:p>
        <w:p w14:paraId="2BC9170C" w14:textId="6B6B50FE" w:rsidR="00B128DA" w:rsidRPr="00B128DA" w:rsidRDefault="00B128DA" w:rsidP="00B128DA">
          <w:pPr>
            <w:spacing w:after="0" w:line="360" w:lineRule="auto"/>
            <w:jc w:val="both"/>
            <w:rPr>
              <w:rFonts w:ascii="Arial" w:hAnsi="Arial" w:cs="Arial"/>
            </w:rPr>
          </w:pPr>
          <w:r w:rsidRPr="00B128DA">
            <w:rPr>
              <w:rFonts w:ascii="Arial" w:eastAsia="Times New Roman" w:hAnsi="Arial" w:cs="Arial"/>
              <w:color w:val="000000"/>
            </w:rPr>
            <w:t> </w:t>
          </w:r>
        </w:p>
      </w:sdtContent>
    </w:sdt>
    <w:bookmarkEnd w:id="0"/>
    <w:p w14:paraId="466B02F9" w14:textId="77777777" w:rsidR="00B128DA" w:rsidRPr="00C07B24" w:rsidRDefault="00B128DA" w:rsidP="00B128DA">
      <w:pPr>
        <w:spacing w:after="0" w:line="360" w:lineRule="auto"/>
        <w:jc w:val="both"/>
        <w:rPr>
          <w:rFonts w:ascii="Arial" w:hAnsi="Arial" w:cs="Arial"/>
        </w:rPr>
      </w:pPr>
    </w:p>
    <w:p w14:paraId="7D1C6BEB" w14:textId="77777777" w:rsidR="00775D1C" w:rsidRDefault="00775D1C"/>
    <w:sectPr w:rsidR="00775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DA"/>
    <w:rsid w:val="004528C9"/>
    <w:rsid w:val="00493AAE"/>
    <w:rsid w:val="006009D9"/>
    <w:rsid w:val="00775D1C"/>
    <w:rsid w:val="008A533B"/>
    <w:rsid w:val="00A37C0C"/>
    <w:rsid w:val="00B128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6963"/>
  <w15:chartTrackingRefBased/>
  <w15:docId w15:val="{8B446EE1-CF94-4ABE-AC92-5776A0B1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8D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128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09932">
      <w:bodyDiv w:val="1"/>
      <w:marLeft w:val="0"/>
      <w:marRight w:val="0"/>
      <w:marTop w:val="0"/>
      <w:marBottom w:val="0"/>
      <w:divBdr>
        <w:top w:val="none" w:sz="0" w:space="0" w:color="auto"/>
        <w:left w:val="none" w:sz="0" w:space="0" w:color="auto"/>
        <w:bottom w:val="none" w:sz="0" w:space="0" w:color="auto"/>
        <w:right w:val="none" w:sz="0" w:space="0" w:color="auto"/>
      </w:divBdr>
      <w:divsChild>
        <w:div w:id="532764985">
          <w:marLeft w:val="640"/>
          <w:marRight w:val="0"/>
          <w:marTop w:val="0"/>
          <w:marBottom w:val="0"/>
          <w:divBdr>
            <w:top w:val="none" w:sz="0" w:space="0" w:color="auto"/>
            <w:left w:val="none" w:sz="0" w:space="0" w:color="auto"/>
            <w:bottom w:val="none" w:sz="0" w:space="0" w:color="auto"/>
            <w:right w:val="none" w:sz="0" w:space="0" w:color="auto"/>
          </w:divBdr>
        </w:div>
        <w:div w:id="1981884611">
          <w:marLeft w:val="640"/>
          <w:marRight w:val="0"/>
          <w:marTop w:val="0"/>
          <w:marBottom w:val="0"/>
          <w:divBdr>
            <w:top w:val="none" w:sz="0" w:space="0" w:color="auto"/>
            <w:left w:val="none" w:sz="0" w:space="0" w:color="auto"/>
            <w:bottom w:val="none" w:sz="0" w:space="0" w:color="auto"/>
            <w:right w:val="none" w:sz="0" w:space="0" w:color="auto"/>
          </w:divBdr>
        </w:div>
        <w:div w:id="1712413131">
          <w:marLeft w:val="640"/>
          <w:marRight w:val="0"/>
          <w:marTop w:val="0"/>
          <w:marBottom w:val="0"/>
          <w:divBdr>
            <w:top w:val="none" w:sz="0" w:space="0" w:color="auto"/>
            <w:left w:val="none" w:sz="0" w:space="0" w:color="auto"/>
            <w:bottom w:val="none" w:sz="0" w:space="0" w:color="auto"/>
            <w:right w:val="none" w:sz="0" w:space="0" w:color="auto"/>
          </w:divBdr>
        </w:div>
        <w:div w:id="1861772465">
          <w:marLeft w:val="640"/>
          <w:marRight w:val="0"/>
          <w:marTop w:val="0"/>
          <w:marBottom w:val="0"/>
          <w:divBdr>
            <w:top w:val="none" w:sz="0" w:space="0" w:color="auto"/>
            <w:left w:val="none" w:sz="0" w:space="0" w:color="auto"/>
            <w:bottom w:val="none" w:sz="0" w:space="0" w:color="auto"/>
            <w:right w:val="none" w:sz="0" w:space="0" w:color="auto"/>
          </w:divBdr>
        </w:div>
        <w:div w:id="2006542366">
          <w:marLeft w:val="640"/>
          <w:marRight w:val="0"/>
          <w:marTop w:val="0"/>
          <w:marBottom w:val="0"/>
          <w:divBdr>
            <w:top w:val="none" w:sz="0" w:space="0" w:color="auto"/>
            <w:left w:val="none" w:sz="0" w:space="0" w:color="auto"/>
            <w:bottom w:val="none" w:sz="0" w:space="0" w:color="auto"/>
            <w:right w:val="none" w:sz="0" w:space="0" w:color="auto"/>
          </w:divBdr>
        </w:div>
        <w:div w:id="1980498024">
          <w:marLeft w:val="640"/>
          <w:marRight w:val="0"/>
          <w:marTop w:val="0"/>
          <w:marBottom w:val="0"/>
          <w:divBdr>
            <w:top w:val="none" w:sz="0" w:space="0" w:color="auto"/>
            <w:left w:val="none" w:sz="0" w:space="0" w:color="auto"/>
            <w:bottom w:val="none" w:sz="0" w:space="0" w:color="auto"/>
            <w:right w:val="none" w:sz="0" w:space="0" w:color="auto"/>
          </w:divBdr>
        </w:div>
        <w:div w:id="312638171">
          <w:marLeft w:val="640"/>
          <w:marRight w:val="0"/>
          <w:marTop w:val="0"/>
          <w:marBottom w:val="0"/>
          <w:divBdr>
            <w:top w:val="none" w:sz="0" w:space="0" w:color="auto"/>
            <w:left w:val="none" w:sz="0" w:space="0" w:color="auto"/>
            <w:bottom w:val="none" w:sz="0" w:space="0" w:color="auto"/>
            <w:right w:val="none" w:sz="0" w:space="0" w:color="auto"/>
          </w:divBdr>
        </w:div>
        <w:div w:id="1442841717">
          <w:marLeft w:val="640"/>
          <w:marRight w:val="0"/>
          <w:marTop w:val="0"/>
          <w:marBottom w:val="0"/>
          <w:divBdr>
            <w:top w:val="none" w:sz="0" w:space="0" w:color="auto"/>
            <w:left w:val="none" w:sz="0" w:space="0" w:color="auto"/>
            <w:bottom w:val="none" w:sz="0" w:space="0" w:color="auto"/>
            <w:right w:val="none" w:sz="0" w:space="0" w:color="auto"/>
          </w:divBdr>
        </w:div>
        <w:div w:id="29230973">
          <w:marLeft w:val="640"/>
          <w:marRight w:val="0"/>
          <w:marTop w:val="0"/>
          <w:marBottom w:val="0"/>
          <w:divBdr>
            <w:top w:val="none" w:sz="0" w:space="0" w:color="auto"/>
            <w:left w:val="none" w:sz="0" w:space="0" w:color="auto"/>
            <w:bottom w:val="none" w:sz="0" w:space="0" w:color="auto"/>
            <w:right w:val="none" w:sz="0" w:space="0" w:color="auto"/>
          </w:divBdr>
        </w:div>
        <w:div w:id="1272974078">
          <w:marLeft w:val="640"/>
          <w:marRight w:val="0"/>
          <w:marTop w:val="0"/>
          <w:marBottom w:val="0"/>
          <w:divBdr>
            <w:top w:val="none" w:sz="0" w:space="0" w:color="auto"/>
            <w:left w:val="none" w:sz="0" w:space="0" w:color="auto"/>
            <w:bottom w:val="none" w:sz="0" w:space="0" w:color="auto"/>
            <w:right w:val="none" w:sz="0" w:space="0" w:color="auto"/>
          </w:divBdr>
        </w:div>
        <w:div w:id="1141270087">
          <w:marLeft w:val="640"/>
          <w:marRight w:val="0"/>
          <w:marTop w:val="0"/>
          <w:marBottom w:val="0"/>
          <w:divBdr>
            <w:top w:val="none" w:sz="0" w:space="0" w:color="auto"/>
            <w:left w:val="none" w:sz="0" w:space="0" w:color="auto"/>
            <w:bottom w:val="none" w:sz="0" w:space="0" w:color="auto"/>
            <w:right w:val="none" w:sz="0" w:space="0" w:color="auto"/>
          </w:divBdr>
        </w:div>
        <w:div w:id="1289891241">
          <w:marLeft w:val="640"/>
          <w:marRight w:val="0"/>
          <w:marTop w:val="0"/>
          <w:marBottom w:val="0"/>
          <w:divBdr>
            <w:top w:val="none" w:sz="0" w:space="0" w:color="auto"/>
            <w:left w:val="none" w:sz="0" w:space="0" w:color="auto"/>
            <w:bottom w:val="none" w:sz="0" w:space="0" w:color="auto"/>
            <w:right w:val="none" w:sz="0" w:space="0" w:color="auto"/>
          </w:divBdr>
        </w:div>
        <w:div w:id="1198813724">
          <w:marLeft w:val="640"/>
          <w:marRight w:val="0"/>
          <w:marTop w:val="0"/>
          <w:marBottom w:val="0"/>
          <w:divBdr>
            <w:top w:val="none" w:sz="0" w:space="0" w:color="auto"/>
            <w:left w:val="none" w:sz="0" w:space="0" w:color="auto"/>
            <w:bottom w:val="none" w:sz="0" w:space="0" w:color="auto"/>
            <w:right w:val="none" w:sz="0" w:space="0" w:color="auto"/>
          </w:divBdr>
        </w:div>
        <w:div w:id="142517850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23889C8EB74F2A99F17BA10FAB80BD"/>
        <w:category>
          <w:name w:val="Geral"/>
          <w:gallery w:val="placeholder"/>
        </w:category>
        <w:types>
          <w:type w:val="bbPlcHdr"/>
        </w:types>
        <w:behaviors>
          <w:behavior w:val="content"/>
        </w:behaviors>
        <w:guid w:val="{6770BA9F-0FC3-4979-BD7C-11333619D250}"/>
      </w:docPartPr>
      <w:docPartBody>
        <w:p w:rsidR="00B8572A" w:rsidRDefault="008334E4" w:rsidP="008334E4">
          <w:pPr>
            <w:pStyle w:val="B523889C8EB74F2A99F17BA10FAB80BD"/>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71A6A5BE-7684-417E-9005-122C1EDBA366}"/>
      </w:docPartPr>
      <w:docPartBody>
        <w:p w:rsidR="00B8572A" w:rsidRDefault="008334E4">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E4"/>
    <w:rsid w:val="008334E4"/>
    <w:rsid w:val="00B857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334E4"/>
    <w:rPr>
      <w:color w:val="808080"/>
    </w:rPr>
  </w:style>
  <w:style w:type="paragraph" w:customStyle="1" w:styleId="B523889C8EB74F2A99F17BA10FAB80BD">
    <w:name w:val="B523889C8EB74F2A99F17BA10FAB80BD"/>
    <w:rsid w:val="008334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33CCD4-7F23-4CB7-A6EA-64757885FD6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596586507"/>
    <we:property name="MENDELEY_CITATIONS" value="[{&quot;citationID&quot;:&quot;MENDELEY_CITATION_84f44557-10e8-419d-98d1-ef73bdd36472&quot;,&quot;properties&quot;:{&quot;noteIndex&quot;:0},&quot;isEdited&quot;:false,&quot;manualOverride&quot;:{&quot;isManuallyOverridden&quot;:false,&quot;citeprocText&quot;:&quot;(1,2)&quot;,&quot;manualOverrideText&quot;:&quot;&quot;},&quot;citationTag&quot;:&quot;MENDELEY_CITATION_v3_eyJjaXRhdGlvbklEIjoiTUVOREVMRVlfQ0lUQVRJT05fODRmNDQ1NTctMTBlOC00MTlkLTk4ZDEtZWY3M2JkZDM2NDcyIiwicHJvcGVydGllcyI6eyJub3RlSW5kZXgiOjB9LCJpc0VkaXRlZCI6ZmFsc2UsIm1hbnVhbE92ZXJyaWRlIjp7ImlzTWFudWFsbHlPdmVycmlkZGVuIjpmYWxzZSwiY2l0ZXByb2NUZXh0IjoiKDEsM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3ca0fea3-e8d9-3855-ad80-69ab3241ec72&quot;,&quot;itemData&quot;:{&quot;type&quot;:&quot;article-journal&quot;,&quot;id&quot;:&quot;3ca0fea3-e8d9-3855-ad80-69ab3241ec72&quot;,&quot;title&quot;:&quot;The pharmacokinetic–pharmacodynamic modelling framework as a tool to predict drug resistance evolution&quot;,&quot;author&quot;:[{&quot;family&quot;:&quot;Witzany&quot;,&quot;given&quot;:&quot;Christopher&quot;,&quot;parse-names&quot;:false,&quot;dropping-particle&quot;:&quot;&quot;,&quot;non-dropping-particle&quot;:&quot;&quot;},{&quot;family&quot;:&quot;Rolff&quot;,&quot;given&quot;:&quot;Jens&quot;,&quot;parse-names&quot;:false,&quot;dropping-particle&quot;:&quot;&quot;,&quot;non-dropping-particle&quot;:&quot;&quot;},{&quot;family&quot;:&quot;Regoes&quot;,&quot;given&quot;:&quot;Roland R.&quot;,&quot;parse-names&quot;:false,&quot;dropping-particle&quot;:&quot;&quot;,&quot;non-dropping-particle&quot;:&quot;&quot;},{&quot;family&quot;:&quot;Igler&quot;,&quot;given&quot;:&quot;Claudia&quot;,&quot;parse-names&quot;:false,&quot;dropping-particle&quot;:&quot;&quot;,&quot;non-dropping-particle&quot;:&quot;&quot;}],&quot;container-title&quot;:&quot;Microbiology&quot;,&quot;container-title-short&quot;:&quot;Microbiology (N. Y).&quot;,&quot;DOI&quot;:&quot;10.1099/mic.0.001368&quot;,&quot;ISSN&quot;:&quot;1350-0872&quot;,&quot;issued&quot;:{&quot;date-parts&quot;:[[2023,7,31]]},&quot;abstract&quot;:&quot;&lt;p&gt;Pharmacokinetic–pharmacodynamic (PKPD) models, which describe how drug concentrations change over time and how that affects pathogen growth, have proven highly valuable in designing optimal drug treatments aimed at bacterial eradication. However, the fast rise of antimicrobial resistance calls for increased focus on an additional treatment optimization criterion: avoidance of resistance evolution. We demonstrate here how coupling PKPD and population genetics models can be used to determine treatment regimens that minimize the potential for antimicrobial resistance evolution. Importantly, the resulting modelling framework enables the assessment of resistance evolution in response to dynamic selection pressures, including changes in antimicrobial concentration and the emergence of adaptive phenotypes. Using antibiotics and antimicrobial peptides as an example, we discuss the empirical evidence and intuition behind individual model parameters. We further suggest several extensions of this framework that allow a more comprehensive and realistic prediction of bacterial escape from antimicrobials through various phenotypic and genetic mechanisms.&lt;/p&gt;&quot;,&quot;issue&quot;:&quot;7&quot;,&quot;volume&quot;:&quot;169&quot;},&quot;isTemporary&quot;:false}]},{&quot;citationID&quot;:&quot;MENDELEY_CITATION_cf03bff7-73b9-4e01-8112-0675b3395357&quot;,&quot;properties&quot;:{&quot;noteIndex&quot;:0},&quot;isEdited&quot;:false,&quot;manualOverride&quot;:{&quot;isManuallyOverridden&quot;:false,&quot;citeprocText&quot;:&quot;(3)&quot;,&quot;manualOverrideText&quot;:&quot;&quot;},&quot;citationTag&quot;:&quot;MENDELEY_CITATION_v3_eyJjaXRhdGlvbklEIjoiTUVOREVMRVlfQ0lUQVRJT05fY2YwM2JmZjctNzNiOS00ZTAxLTgxMTItMDY3NWIzMzk1MzU3IiwicHJvcGVydGllcyI6eyJub3RlSW5kZXgiOjB9LCJpc0VkaXRlZCI6ZmFsc2UsIm1hbnVhbE92ZXJyaWRlIjp7ImlzTWFudWFsbHlPdmVycmlkZGVuIjpmYWxzZSwiY2l0ZXByb2NUZXh0IjoiKDM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3904b940-3c85-4d98-9a5b-36f52f29df69&quot;,&quot;properties&quot;:{&quot;noteIndex&quot;:0},&quot;isEdited&quot;:false,&quot;manualOverride&quot;:{&quot;isManuallyOverridden&quot;:false,&quot;citeprocText&quot;:&quot;(4,5)&quot;,&quot;manualOverrideText&quot;:&quot;&quot;},&quot;citationTag&quot;:&quot;MENDELEY_CITATION_v3_eyJjaXRhdGlvbklEIjoiTUVOREVMRVlfQ0lUQVRJT05fMzkwNGI5NDAtM2M4NS00ZDk4LTlhNWItMzZmNTJmMjlkZjY5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quot;,&quot;citationItems&quot;:[{&quot;id&quot;:&quot;8bab1326-75f0-39f0-9b3e-36845f09146e&quot;,&quot;itemData&quot;:{&quot;type&quot;:&quot;article-journal&quot;,&quot;id&quot;:&quot;8bab1326-75f0-39f0-9b3e-36845f09146e&quot;,&quot;title&quot;:&quot;The mutant selection window and antimicrobial resistance&quot;,&quot;author&quot;:[{&quot;family&quot;:&quot;Drlica&quot;,&quot;given&quot;:&quot;K.&quot;,&quot;parse-names&quot;:false,&quot;dropping-particle&quot;:&quot;&quot;,&quot;non-dropping-particle&quot;:&quot;&quot;}],&quot;container-title&quot;:&quot;Journal of Antimicrobial Chemotherapy&quot;,&quot;DOI&quot;:&quot;10.1093/jac/dkg269&quot;,&quot;ISSN&quot;:&quot;1460-2091&quot;,&quot;issued&quot;:{&quot;date-parts&quot;:[[2003,6,12]]},&quot;page&quot;:&quot;11-17&quot;,&quot;issue&quot;:&quot;1&quot;,&quot;volume&quot;:&quot;52&quot;,&quot;container-title-short&quot;:&quot;&quot;},&quot;isTemporary&quot;:false},{&quot;id&quot;:&quot;28f74d73-8add-3fb3-bec5-3c4f53a1fd20&quot;,&quot;itemData&quot;:{&quot;type&quot;:&quot;article-journal&quot;,&quot;id&quot;:&quot;28f74d73-8add-3fb3-bec5-3c4f53a1fd20&quot;,&quot;title&quot;:&quot;Pharmacokinetic/pharmacodynamic targets of ß-lactams associated with bacterial killing and suppression of the resistance emergence in the hollow fiber infection model: A systematic review&quot;,&quot;author&quot;:[{&quot;family&quot;:&quot;Baulier&quot;,&quot;given&quot;:&quot;Charles&quot;,&quot;parse-names&quot;:false,&quot;dropping-particle&quot;:&quot;&quot;,&quot;non-dropping-particle&quot;:&quot;&quot;},{&quot;family&quot;:&quot;Giry&quot;,&quot;given&quot;:&quot;Marion&quot;,&quot;parse-names&quot;:false,&quot;dropping-particle&quot;:&quot;&quot;,&quot;non-dropping-particle&quot;:&quot;&quot;},{&quot;family&quot;:&quot;Etienne&quot;,&quot;given&quot;:&quot;Manuel&quot;,&quot;parse-names&quot;:false,&quot;dropping-particle&quot;:&quot;&quot;,&quot;non-dropping-particle&quot;:&quot;&quot;},{&quot;family&quot;:&quot;Kallout&quot;,&quot;given&quot;:&quot;Julien&quot;,&quot;parse-names&quot;:false,&quot;dropping-particle&quot;:&quot;&quot;,&quot;non-dropping-particle&quot;:&quot;&quot;},{&quot;family&quot;:&quot;Alexandre&quot;,&quot;given&quot;:&quot;Kévin&quot;,&quot;parse-names&quot;:false,&quot;dropping-particle&quot;:&quot;&quot;,&quot;non-dropping-particle&quot;:&quot;&quot;}],&quot;container-title&quot;:&quot;Journal of Global Antimicrobial Resistance&quot;,&quot;container-title-short&quot;:&quot;J. Glob. Antimicrob. Resist.&quot;,&quot;DOI&quot;:&quot;10.1016/j.jgar.2025.10.009&quot;,&quot;ISSN&quot;:&quot;22137165&quot;,&quot;issued&quot;:{&quot;date-parts&quot;:[[2025,12]]},&quot;page&quot;:&quot;220-227&quot;,&quot;volume&quot;:&quot;45&quot;},&quot;isTemporary&quot;:false}]},{&quot;citationID&quot;:&quot;MENDELEY_CITATION_b2fc0297-beee-401e-9051-fd2e35a92a23&quot;,&quot;properties&quot;:{&quot;noteIndex&quot;:0},&quot;isEdited&quot;:false,&quot;manualOverride&quot;:{&quot;isManuallyOverridden&quot;:false,&quot;citeprocText&quot;:&quot;(2)&quot;,&quot;manualOverrideText&quot;:&quot;&quot;},&quot;citationTag&quot;:&quot;MENDELEY_CITATION_v3_eyJjaXRhdGlvbklEIjoiTUVOREVMRVlfQ0lUQVRJT05fYjJmYzAyOTctYmVlZS00MDFlLTkwNTEtZmQyZTM1YTkyYTIzIiwicHJvcGVydGllcyI6eyJub3RlSW5kZXgiOjB9LCJpc0VkaXRlZCI6ZmFsc2UsIm1hbnVhbE92ZXJyaWRlIjp7ImlzTWFudWFsbHlPdmVycmlkZGVuIjpmYWxzZSwiY2l0ZXByb2NUZXh0IjoiKDIpIiwibWFudWFsT3ZlcnJpZGVUZXh0IjoiIn0sImNpdGF0aW9uSXRlbXMiOlt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quot;,&quot;citationItems&quot;:[{&quot;id&quot;:&quot;3ca0fea3-e8d9-3855-ad80-69ab3241ec72&quot;,&quot;itemData&quot;:{&quot;type&quot;:&quot;article-journal&quot;,&quot;id&quot;:&quot;3ca0fea3-e8d9-3855-ad80-69ab3241ec72&quot;,&quot;title&quot;:&quot;The pharmacokinetic–pharmacodynamic modelling framework as a tool to predict drug resistance evolution&quot;,&quot;author&quot;:[{&quot;family&quot;:&quot;Witzany&quot;,&quot;given&quot;:&quot;Christopher&quot;,&quot;parse-names&quot;:false,&quot;dropping-particle&quot;:&quot;&quot;,&quot;non-dropping-particle&quot;:&quot;&quot;},{&quot;family&quot;:&quot;Rolff&quot;,&quot;given&quot;:&quot;Jens&quot;,&quot;parse-names&quot;:false,&quot;dropping-particle&quot;:&quot;&quot;,&quot;non-dropping-particle&quot;:&quot;&quot;},{&quot;family&quot;:&quot;Regoes&quot;,&quot;given&quot;:&quot;Roland R.&quot;,&quot;parse-names&quot;:false,&quot;dropping-particle&quot;:&quot;&quot;,&quot;non-dropping-particle&quot;:&quot;&quot;},{&quot;family&quot;:&quot;Igler&quot;,&quot;given&quot;:&quot;Claudia&quot;,&quot;parse-names&quot;:false,&quot;dropping-particle&quot;:&quot;&quot;,&quot;non-dropping-particle&quot;:&quot;&quot;}],&quot;container-title&quot;:&quot;Microbiology&quot;,&quot;container-title-short&quot;:&quot;Microbiology (N. Y).&quot;,&quot;DOI&quot;:&quot;10.1099/mic.0.001368&quot;,&quot;ISSN&quot;:&quot;1350-0872&quot;,&quot;issued&quot;:{&quot;date-parts&quot;:[[2023,7,31]]},&quot;abstract&quot;:&quot;&lt;p&gt;Pharmacokinetic–pharmacodynamic (PKPD) models, which describe how drug concentrations change over time and how that affects pathogen growth, have proven highly valuable in designing optimal drug treatments aimed at bacterial eradication. However, the fast rise of antimicrobial resistance calls for increased focus on an additional treatment optimization criterion: avoidance of resistance evolution. We demonstrate here how coupling PKPD and population genetics models can be used to determine treatment regimens that minimize the potential for antimicrobial resistance evolution. Importantly, the resulting modelling framework enables the assessment of resistance evolution in response to dynamic selection pressures, including changes in antimicrobial concentration and the emergence of adaptive phenotypes. Using antibiotics and antimicrobial peptides as an example, we discuss the empirical evidence and intuition behind individual model parameters. We further suggest several extensions of this framework that allow a more comprehensive and realistic prediction of bacterial escape from antimicrobials through various phenotypic and genetic mechanisms.&lt;/p&gt;&quot;,&quot;issue&quot;:&quot;7&quot;,&quot;volume&quot;:&quot;169&quot;},&quot;isTemporary&quot;:false}]},{&quot;citationID&quot;:&quot;MENDELEY_CITATION_cf370d99-c1c3-43a3-b22c-4546dccb593b&quot;,&quot;properties&quot;:{&quot;noteIndex&quot;:0},&quot;isEdited&quot;:false,&quot;manualOverride&quot;:{&quot;isManuallyOverridden&quot;:false,&quot;citeprocText&quot;:&quot;(1)&quot;,&quot;manualOverrideText&quot;:&quot;&quot;},&quot;citationTag&quot;:&quot;MENDELEY_CITATION_v3_eyJjaXRhdGlvbklEIjoiTUVOREVMRVlfQ0lUQVRJT05fY2YzNzBkOTktYzFjMy00M2EzLWIyMmMtNDU0NmRjY2I1OTNi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43efd06d-e776-4b28-bc2a-bee6352220c5&quot;,&quot;properties&quot;:{&quot;noteIndex&quot;:0},&quot;isEdited&quot;:false,&quot;manualOverride&quot;:{&quot;isManuallyOverridden&quot;:false,&quot;citeprocText&quot;:&quot;(6)&quot;,&quot;manualOverrideText&quot;:&quot;&quot;},&quot;citationTag&quot;:&quot;MENDELEY_CITATION_v3_eyJjaXRhdGlvbklEIjoiTUVOREVMRVlfQ0lUQVRJT05fNDNlZmQwNmQtZTc3Ni00YjI4LWJjMmEtYmVlNjM1MjIyMGM1IiwicHJvcGVydGllcyI6eyJub3RlSW5kZXgiOjB9LCJpc0VkaXRlZCI6ZmFsc2UsIm1hbnVhbE92ZXJyaWRlIjp7ImlzTWFudWFsbHlPdmVycmlkZGVuIjpmYWxzZSwiY2l0ZXByb2NUZXh0IjoiKDY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1dfQ==&quot;,&quot;citationItems&quot;:[{&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container-title-short&quot;:&quot;&quot;},&quot;isTemporary&quot;:false}]},{&quot;citationID&quot;:&quot;MENDELEY_CITATION_7e569da2-8dfc-4ced-a9e3-61878a128557&quot;,&quot;properties&quot;:{&quot;noteIndex&quot;:0},&quot;isEdited&quot;:false,&quot;manualOverride&quot;:{&quot;isManuallyOverridden&quot;:false,&quot;citeprocText&quot;:&quot;(7)&quot;,&quot;manualOverrideText&quot;:&quot;&quot;},&quot;citationTag&quot;:&quot;MENDELEY_CITATION_v3_eyJjaXRhdGlvbklEIjoiTUVOREVMRVlfQ0lUQVRJT05fN2U1NjlkYTItOGRmYy00Y2VkLWE5ZTMtNjE4NzhhMTI4NTU3IiwicHJvcGVydGllcyI6eyJub3RlSW5kZXgiOjB9LCJpc0VkaXRlZCI6ZmFsc2UsIm1hbnVhbE92ZXJyaWRlIjp7ImlzTWFudWFsbHlPdmVycmlkZGVuIjpmYWxzZSwiY2l0ZXByb2NUZXh0IjoiKDc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50c7e597-ab92-41db-a494-c33b5560953d&quot;,&quot;properties&quot;:{&quot;noteIndex&quot;:0},&quot;isEdited&quot;:false,&quot;manualOverride&quot;:{&quot;isManuallyOverridden&quot;:false,&quot;citeprocText&quot;:&quot;(7)&quot;,&quot;manualOverrideText&quot;:&quot;&quot;},&quot;citationTag&quot;:&quot;MENDELEY_CITATION_v3_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&quot;,&quot;citationItems&quot;:[{&quot;id&quot;:&quot;1d1e5556-2507-357e-bb45-622e3d3f1959&quot;,&quot;itemData&quot;:{&quot;type&quot;:&quot;article-journal&quot;,&quot;id&quot;:&quot;1d1e5556-2507-357e-bb45-622e3d3f1959&quot;,&quot;title&quot;:&quot;Antibiotic susceptibility testing using minimum inhibitory concentration (MIC) assays&quot;,&quot;author&quot;:[{&quot;family&quot;:&quot;Kadeřábková&quot;,&quot;given&quot;:&quot;Nikol&quot;,&quot;parse-names&quot;:false,&quot;dropping-particle&quot;:&quot;&quot;,&quot;non-dropping-particle&quot;:&quot;&quot;},{&quot;family&quot;:&quot;Mahmood&quot;,&quot;given&quot;:&quot;Ayesha J. S.&quot;,&quot;parse-names&quot;:false,&quot;dropping-particle&quot;:&quot;&quot;,&quot;non-dropping-particle&quot;:&quot;&quot;},{&quot;family&quot;:&quot;Mavridou&quot;,&quot;given&quot;:&quot;Despoina A. I.&quot;,&quot;parse-names&quot;:false,&quot;dropping-particle&quot;:&quot;&quot;,&quot;non-dropping-particle&quot;:&quot;&quot;}],&quot;container-title&quot;:&quot;npj Antimicrobials and Resistance&quot;,&quot;DOI&quot;:&quot;10.1038/s44259-024-00051-6&quot;,&quot;ISSN&quot;:&quot;2731-8745&quot;,&quot;issued&quot;:{&quot;date-parts&quot;:[[2024,11,7]]},&quot;page&quot;:&quot;37&quot;,&quot;issue&quot;:&quot;1&quot;,&quot;volume&quot;:&quot;2&quot;,&quot;container-title-short&quot;:&quot;&quot;},&quot;isTemporary&quot;:false}]},{&quot;citationID&quot;:&quot;MENDELEY_CITATION_3a5a1508-e1ad-49ab-8d32-3a1eaeadbb5f&quot;,&quot;properties&quot;:{&quot;noteIndex&quot;:0},&quot;isEdited&quot;:false,&quot;manualOverride&quot;:{&quot;isManuallyOverridden&quot;:false,&quot;citeprocText&quot;:&quot;(8)&quot;,&quot;manualOverrideText&quot;:&quot;&quot;},&quot;citationTag&quot;:&quot;MENDELEY_CITATION_v3_eyJjaXRhdGlvbklEIjoiTUVOREVMRVlfQ0lUQVRJT05fM2E1YTE1MDgtZTFhZC00OWFiLThkMzItM2ExZWFlYWRiYjVmIiwicHJvcGVydGllcyI6eyJub3RlSW5kZXgiOjB9LCJpc0VkaXRlZCI6ZmFsc2UsIm1hbnVhbE92ZXJyaWRlIjp7ImlzTWFudWFsbHlPdmVycmlkZGVuIjpmYWxzZSwiY2l0ZXByb2NUZXh0IjoiKDgpIiwibWFudWFsT3ZlcnJpZGVUZXh0IjoiIn0sImNpdGF0aW9uSXRlbXMiOlt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IsImNvbnRhaW5lci10aXRsZS1zaG9ydCI6IiJ9LCJpc1RlbXBvcmFyeSI6ZmFsc2V9XX0=&quot;,&quot;citationItems&quot;:[{&quot;id&quot;:&quot;dfde2c39-e166-3ce2-b13a-0a4886f98df6&quot;,&quot;itemData&quot;:{&quot;type&quot;:&quot;article-journal&quot;,&quot;id&quot;:&quot;dfde2c39-e166-3ce2-b13a-0a4886f98df6&quot;,&quot;title&quot;:&quot;The role of pharmacokinetics/pharmacodynamics in setting clinical MIC breakpoints: the EUCAST approach&quot;,&quot;author&quot;:[{&quot;family&quot;:&quot;Mouton&quot;,&quot;given&quot;:&quot;J.W.&quot;,&quot;parse-names&quot;:false,&quot;dropping-particle&quot;:&quot;&quot;,&quot;non-dropping-particle&quot;:&quot;&quot;},{&quot;family&quot;:&quot;Brown&quot;,&quot;given&quot;:&quot;D.F.J.&quot;,&quot;parse-names&quot;:false,&quot;dropping-particle&quot;:&quot;&quot;,&quot;non-dropping-particle&quot;:&quot;&quot;},{&quot;family&quot;:&quot;Apfalter&quot;,&quot;given&quot;:&quot;P.&quot;,&quot;parse-names&quot;:false,&quot;dropping-particle&quot;:&quot;&quot;,&quot;non-dropping-particle&quot;:&quot;&quot;},{&quot;family&quot;:&quot;Cantón&quot;,&quot;given&quot;:&quot;R.&quot;,&quot;parse-names&quot;:false,&quot;dropping-particle&quot;:&quot;&quot;,&quot;non-dropping-particle&quot;:&quot;&quot;},{&quot;family&quot;:&quot;Giske&quot;,&quot;given&quot;:&quot;C.G.&quot;,&quot;parse-names&quot;:false,&quot;dropping-particle&quot;:&quot;&quot;,&quot;non-dropping-particle&quot;:&quot;&quot;},{&quot;family&quot;:&quot;Ivanova&quot;,&quot;given&quot;:&quot;M.&quot;,&quot;parse-names&quot;:false,&quot;dropping-particle&quot;:&quot;&quot;,&quot;non-dropping-particle&quot;:&quot;&quot;},{&quot;family&quot;:&quot;MacGowan&quot;,&quot;given&quot;:&quot;A.P.&quot;,&quot;parse-names&quot;:false,&quot;dropping-particle&quot;:&quot;&quot;,&quot;non-dropping-particle&quot;:&quot;&quot;},{&quot;family&quot;:&quot;Rodloff&quot;,&quot;given&quot;:&quot;A.&quot;,&quot;parse-names&quot;:false,&quot;dropping-particle&quot;:&quot;&quot;,&quot;non-dropping-particle&quot;:&quot;&quot;},{&quot;family&quot;:&quot;Soussy&quot;,&quot;given&quot;:&quot;C.-J.&quot;,&quot;parse-names&quot;:false,&quot;dropping-particle&quot;:&quot;&quot;,&quot;non-dropping-particle&quot;:&quot;&quot;},{&quot;family&quot;:&quot;Steinbakk&quot;,&quot;given&quot;:&quot;M.&quot;,&quot;parse-names&quot;:false,&quot;dropping-particle&quot;:&quot;&quot;,&quot;non-dropping-particle&quot;:&quot;&quot;},{&quot;family&quot;:&quot;Kahlmeter&quot;,&quot;given&quot;:&quot;G.&quot;,&quot;parse-names&quot;:false,&quot;dropping-particle&quot;:&quot;&quot;,&quot;non-dropping-particle&quot;:&quot;&quot;}],&quot;container-title&quot;:&quot;Clinical Microbiology and Infection&quot;,&quot;DOI&quot;:&quot;10.1111/j.1469-0691.2011.03752.x&quot;,&quot;ISSN&quot;:&quot;1198743X&quot;,&quot;issued&quot;:{&quot;date-parts&quot;:[[2012,3]]},&quot;page&quot;:&quot;E37-E45&quot;,&quot;issue&quot;:&quot;3&quot;,&quot;volume&quot;:&quot;18&quot;,&quot;container-title-short&quot;:&quot;&quot;},&quot;isTemporary&quot;:false}]},{&quot;citationID&quot;:&quot;MENDELEY_CITATION_2e473183-79a0-474f-b0ad-e5fb90c358b9&quot;,&quot;properties&quot;:{&quot;noteIndex&quot;:0},&quot;isEdited&quot;:false,&quot;manualOverride&quot;:{&quot;isManuallyOverridden&quot;:false,&quot;citeprocText&quot;:&quot;(9)&quot;,&quot;manualOverrideText&quot;:&quot;&quot;},&quot;citationTag&quot;:&quot;MENDELEY_CITATION_v3_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&quot;,&quot;citationItems&quot;:[{&quot;id&quot;:&quot;58e41284-b07e-3743-812c-afa510caf214&quot;,&quot;itemData&quot;:{&quot;type&quot;:&quot;report&quot;,&quot;id&quot;:&quot;58e41284-b07e-3743-812c-afa510caf214&quot;,&quot;title&quot;:&quot;Clinical breakpoints and interpretation of S, I and R&quot;,&quot;author&quot;:[{&quot;family&quot;:&quot;European Committee on Antimicrobial Susceptibility Testing (EUCAST)&quot;,&quot;given&quot;:&quot;&quot;,&quot;parse-names&quot;:false,&quot;dropping-particle&quot;:&quot;&quot;,&quot;non-dropping-particle&quot;:&quot;&quot;}],&quot;URL&quot;:&quot;https://www.eucast.org&quot;,&quot;issued&quot;:{&quot;date-parts&quot;:[[2024]]},&quot;publisher-place&quot;:&quot;Växjö, Sweden&quot;,&quot;container-title-short&quot;:&quot;&quot;},&quot;isTemporary&quot;:false}]},{&quot;citationID&quot;:&quot;MENDELEY_CITATION_384c15fa-9b1b-4be4-a1b6-dc52211494dc&quot;,&quot;properties&quot;:{&quot;noteIndex&quot;:0},&quot;isEdited&quot;:false,&quot;manualOverride&quot;:{&quot;isManuallyOverridden&quot;:false,&quot;citeprocText&quot;:&quot;(1,9)&quot;,&quot;manualOverrideText&quot;:&quot;&quot;},&quot;citationTag&quot;:&quot;MENDELEY_CITATION_v3_eyJjaXRhdGlvbklEIjoiTUVOREVMRVlfQ0lUQVRJT05fMzg0YzE1ZmEtOWIxYi00YmU0LWExYjYtZGM1MjIxMTQ5NGRjIiwicHJvcGVydGllcyI6eyJub3RlSW5kZXgiOjB9LCJpc0VkaXRlZCI6ZmFsc2UsIm1hbnVhbE92ZXJyaWRlIjp7ImlzTWFudWFsbHlPdmVycmlkZGVuIjpmYWxzZSwiY2l0ZXByb2NUZXh0IjoiKDEsOS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&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58e41284-b07e-3743-812c-afa510caf214&quot;,&quot;itemData&quot;:{&quot;type&quot;:&quot;report&quot;,&quot;id&quot;:&quot;58e41284-b07e-3743-812c-afa510caf214&quot;,&quot;title&quot;:&quot;Clinical breakpoints and interpretation of S, I and R&quot;,&quot;author&quot;:[{&quot;family&quot;:&quot;European Committee on Antimicrobial Susceptibility Testing (EUCAST)&quot;,&quot;given&quot;:&quot;&quot;,&quot;parse-names&quot;:false,&quot;dropping-particle&quot;:&quot;&quot;,&quot;non-dropping-particle&quot;:&quot;&quot;}],&quot;URL&quot;:&quot;https://www.eucast.org&quot;,&quot;issued&quot;:{&quot;date-parts&quot;:[[2024]]},&quot;publisher-place&quot;:&quot;Växjö, Sweden&quot;,&quot;container-title-short&quot;:&quot;&quot;},&quot;isTemporary&quot;:false}]},{&quot;citationID&quot;:&quot;MENDELEY_CITATION_5a862cc1-dab0-4c4f-a69e-9544ebc68a02&quot;,&quot;properties&quot;:{&quot;noteIndex&quot;:0},&quot;isEdited&quot;:false,&quot;manualOverride&quot;:{&quot;isManuallyOverridden&quot;:false,&quot;citeprocText&quot;:&quot;(1)&quot;,&quot;manualOverrideText&quot;:&quot;&quot;},&quot;citationTag&quot;:&quot;MENDELEY_CITATION_v3_eyJjaXRhdGlvbklEIjoiTUVOREVMRVlfQ0lUQVRJT05fNWE4NjJjYzEtZGFiMC00YzRmLWE2OWUtOTU0NGViYzY4YTAy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0f94f4b8-b40d-4267-b69a-ba74171715fd&quot;,&quot;properties&quot;:{&quot;noteIndex&quot;:0},&quot;isEdited&quot;:false,&quot;manualOverride&quot;:{&quot;isManuallyOverridden&quot;:false,&quot;citeprocText&quot;:&quot;(1,10)&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isTemporary&quot;:false}],&quot;citationTag&quot;:&quot;MENDELEY_CITATION_v3_eyJjaXRhdGlvbklEIjoiTUVOREVMRVlfQ0lUQVRJT05fMGY5NGY0YjgtYjQwZC00MjY3LWI2OWEtYmE3NDE3MTcxNWZk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quot;},{&quot;citationID&quot;:&quot;MENDELEY_CITATION_8fc20f57-ae88-405c-b746-c8b8bf7f1f3e&quot;,&quot;properties&quot;:{&quot;noteIndex&quot;:0},&quot;isEdited&quot;:false,&quot;manualOverride&quot;:{&quot;isManuallyOverridden&quot;:false,&quot;citeprocText&quot;:&quot;(1,10)&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isTemporary&quot;:false}],&quot;citationTag&quot;:&quot;MENDELEY_CITATION_v3_eyJjaXRhdGlvbklEIjoiTUVOREVMRVlfQ0lUQVRJT05fOGZjMjBmNTctYWU4OC00MDVjLWI3NDYtYzhiOGJmN2YxZjNl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quot;},{&quot;citationID&quot;:&quot;MENDELEY_CITATION_b98912e7-57dd-47df-bf19-ac1ca25b00c3&quot;,&quot;properties&quot;:{&quot;noteIndex&quot;:0},&quot;isEdited&quot;:false,&quot;manualOverride&quot;:{&quot;isManuallyOverridden&quot;:false,&quot;citeprocText&quot;:&quot;(1,11)&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fdbb5876-6820-3471-b854-73f2e7f26509&quot;,&quot;itemData&quot;:{&quot;type&quot;:&quot;article-journal&quot;,&quot;id&quot;:&quot;fdbb5876-6820-3471-b854-73f2e7f26509&quot;,&quot;title&quot;:&quot;State‐of‐the‐Art Clinical Article: Pharmacokinetic/Pharmacodynamic Parameters: Rationale for Antibacterial Dosing of Mice and Men&quot;,&quot;author&quot;:[{&quot;family&quot;:&quot;Craig&quot;,&quot;given&quot;:&quot;William A.&quot;,&quot;parse-names&quot;:false,&quot;dropping-particle&quot;:&quot;&quot;,&quot;non-dropping-particle&quot;:&quot;&quot;}],&quot;container-title&quot;:&quot;Clinical Infectious Diseases&quot;,&quot;DOI&quot;:&quot;10.1086/516284&quot;,&quot;ISSN&quot;:&quot;1058-4838&quot;,&quot;issued&quot;:{&quot;date-parts&quot;:[[1998,1]]},&quot;page&quot;:&quot;1-10&quot;,&quot;issue&quot;:&quot;1&quot;,&quot;volume&quot;:&quot;26&quot;},&quot;isTemporary&quot;:false}],&quot;citationTag&quot;:&quot;MENDELEY_CITATION_v3_eyJjaXRhdGlvbklEIjoiTUVOREVMRVlfQ0lUQVRJT05fYjk4OTEyZTctNTdkZC00N2RmLWJmMTktYWMxY2EyNWIwMGMz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quot;},{&quot;citationID&quot;:&quot;MENDELEY_CITATION_fc4813e1-8a6e-4e30-aa50-9e820ef49ea6&quot;,&quot;properties&quot;:{&quot;noteIndex&quot;:0},&quot;isEdited&quot;:false,&quot;manualOverride&quot;:{&quot;isManuallyOverridden&quot;:false,&quot;citeprocText&quot;:&quot;(1,6)&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isTemporary&quot;:false}],&quot;citationTag&quot;:&quot;MENDELEY_CITATION_v3_eyJjaXRhdGlvbklEIjoiTUVOREVMRVlfQ0lUQVRJT05fZmM0ODEzZTEtOGE2ZS00ZTMwLWFhNTAtOWU4MjBlZjQ5ZWE2IiwicHJvcGVydGllcyI6eyJub3RlSW5kZXgiOjB9LCJpc0VkaXRlZCI6ZmFsc2UsIm1hbnVhbE92ZXJyaWRlIjp7ImlzTWFudWFsbHlPdmVycmlkZGVuIjpmYWxzZSwiY2l0ZXByb2NUZXh0IjoiKDEsN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n0sImlzVGVtcG9yYXJ5IjpmYWxzZX1dfQ==&quot;},{&quot;citationID&quot;:&quot;MENDELEY_CITATION_879c41ab-5376-453d-a58d-35fdf48a0cea&quot;,&quot;properties&quot;:{&quot;noteIndex&quot;:0},&quot;isEdited&quot;:false,&quot;manualOverride&quot;:{&quot;isManuallyOverridden&quot;:false,&quot;citeprocText&quot;:&quot;(1,11)&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fdbb5876-6820-3471-b854-73f2e7f26509&quot;,&quot;itemData&quot;:{&quot;type&quot;:&quot;article-journal&quot;,&quot;id&quot;:&quot;fdbb5876-6820-3471-b854-73f2e7f26509&quot;,&quot;title&quot;:&quot;State‐of‐the‐Art Clinical Article: Pharmacokinetic/Pharmacodynamic Parameters: Rationale for Antibacterial Dosing of Mice and Men&quot;,&quot;author&quot;:[{&quot;family&quot;:&quot;Craig&quot;,&quot;given&quot;:&quot;William A.&quot;,&quot;parse-names&quot;:false,&quot;dropping-particle&quot;:&quot;&quot;,&quot;non-dropping-particle&quot;:&quot;&quot;}],&quot;container-title&quot;:&quot;Clinical Infectious Diseases&quot;,&quot;DOI&quot;:&quot;10.1086/516284&quot;,&quot;ISSN&quot;:&quot;1058-4838&quot;,&quot;issued&quot;:{&quot;date-parts&quot;:[[1998,1]]},&quot;page&quot;:&quot;1-10&quot;,&quot;issue&quot;:&quot;1&quot;,&quot;volume&quot;:&quot;26&quot;},&quot;isTemporary&quot;:false}],&quot;citationTag&quot;:&quot;MENDELEY_CITATION_v3_eyJjaXRhdGlvbklEIjoiTUVOREVMRVlfQ0lUQVRJT05fODc5YzQxYWItNTM3Ni00NTNkLWE1OGQtMzVmZGY0OGEwY2Vh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quot;},{&quot;citationID&quot;:&quot;MENDELEY_CITATION_c366df69-8002-4818-bed9-63b987c623e4&quot;,&quot;properties&quot;:{&quot;noteIndex&quot;:0},&quot;isEdited&quot;:false,&quot;manualOverride&quot;:{&quot;isManuallyOverridden&quot;:false,&quot;citeprocText&quot;:&quot;(1,8)&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dfde2c39-e166-3ce2-b13a-0a4886f98df6&quot;,&quot;itemData&quot;:{&quot;type&quot;:&quot;article-journal&quot;,&quot;id&quot;:&quot;dfde2c39-e166-3ce2-b13a-0a4886f98df6&quot;,&quot;title&quot;:&quot;The role of pharmacokinetics/pharmacodynamics in setting clinical MIC breakpoints: the EUCAST approach&quot;,&quot;author&quot;:[{&quot;family&quot;:&quot;Mouton&quot;,&quot;given&quot;:&quot;J.W.&quot;,&quot;parse-names&quot;:false,&quot;dropping-particle&quot;:&quot;&quot;,&quot;non-dropping-particle&quot;:&quot;&quot;},{&quot;family&quot;:&quot;Brown&quot;,&quot;given&quot;:&quot;D.F.J.&quot;,&quot;parse-names&quot;:false,&quot;dropping-particle&quot;:&quot;&quot;,&quot;non-dropping-particle&quot;:&quot;&quot;},{&quot;family&quot;:&quot;Apfalter&quot;,&quot;given&quot;:&quot;P.&quot;,&quot;parse-names&quot;:false,&quot;dropping-particle&quot;:&quot;&quot;,&quot;non-dropping-particle&quot;:&quot;&quot;},{&quot;family&quot;:&quot;Cantón&quot;,&quot;given&quot;:&quot;R.&quot;,&quot;parse-names&quot;:false,&quot;dropping-particle&quot;:&quot;&quot;,&quot;non-dropping-particle&quot;:&quot;&quot;},{&quot;family&quot;:&quot;Giske&quot;,&quot;given&quot;:&quot;C.G.&quot;,&quot;parse-names&quot;:false,&quot;dropping-particle&quot;:&quot;&quot;,&quot;non-dropping-particle&quot;:&quot;&quot;},{&quot;family&quot;:&quot;Ivanova&quot;,&quot;given&quot;:&quot;M.&quot;,&quot;parse-names&quot;:false,&quot;dropping-particle&quot;:&quot;&quot;,&quot;non-dropping-particle&quot;:&quot;&quot;},{&quot;family&quot;:&quot;MacGowan&quot;,&quot;given&quot;:&quot;A.P.&quot;,&quot;parse-names&quot;:false,&quot;dropping-particle&quot;:&quot;&quot;,&quot;non-dropping-particle&quot;:&quot;&quot;},{&quot;family&quot;:&quot;Rodloff&quot;,&quot;given&quot;:&quot;A.&quot;,&quot;parse-names&quot;:false,&quot;dropping-particle&quot;:&quot;&quot;,&quot;non-dropping-particle&quot;:&quot;&quot;},{&quot;family&quot;:&quot;Soussy&quot;,&quot;given&quot;:&quot;C.-J.&quot;,&quot;parse-names&quot;:false,&quot;dropping-particle&quot;:&quot;&quot;,&quot;non-dropping-particle&quot;:&quot;&quot;},{&quot;family&quot;:&quot;Steinbakk&quot;,&quot;given&quot;:&quot;M.&quot;,&quot;parse-names&quot;:false,&quot;dropping-particle&quot;:&quot;&quot;,&quot;non-dropping-particle&quot;:&quot;&quot;},{&quot;family&quot;:&quot;Kahlmeter&quot;,&quot;given&quot;:&quot;G.&quot;,&quot;parse-names&quot;:false,&quot;dropping-particle&quot;:&quot;&quot;,&quot;non-dropping-particle&quot;:&quot;&quot;}],&quot;container-title&quot;:&quot;Clinical Microbiology and Infection&quot;,&quot;DOI&quot;:&quot;10.1111/j.1469-0691.2011.03752.x&quot;,&quot;ISSN&quot;:&quot;1198743X&quot;,&quot;issued&quot;:{&quot;date-parts&quot;:[[2012,3]]},&quot;page&quot;:&quot;E37-E45&quot;,&quot;issue&quot;:&quot;3&quot;,&quot;volume&quot;:&quot;18&quot;},&quot;isTemporary&quot;:false}],&quot;citationTag&quot;:&quot;MENDELEY_CITATION_v3_eyJjaXRhdGlvbklEIjoiTUVOREVMRVlfQ0lUQVRJT05fYzM2NmRmNjktODAwMi00ODE4LWJlZDktNjNiOTg3YzYyM2U0IiwicHJvcGVydGllcyI6eyJub3RlSW5kZXgiOjB9LCJpc0VkaXRlZCI6ZmFsc2UsIm1hbnVhbE92ZXJyaWRlIjp7ImlzTWFudWFsbHlPdmVycmlkZGVuIjpmYWxzZSwiY2l0ZXByb2NUZXh0IjoiKDEsOC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J9LCJpc1RlbXBvcmFyeSI6ZmFsc2V9XX0=&quot;},{&quot;citationID&quot;:&quot;MENDELEY_CITATION_a8b9fce8-06f2-4431-87eb-caff22a6be03&quot;,&quot;properties&quot;:{&quot;noteIndex&quot;:0},&quot;isEdited&quot;:false,&quot;manualOverride&quot;:{&quot;isManuallyOverridden&quot;:false,&quot;citeprocText&quot;:&quot;(1,10)&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isTemporary&quot;:false}],&quot;citationTag&quot;:&quot;MENDELEY_CITATION_v3_eyJjaXRhdGlvbklEIjoiTUVOREVMRVlfQ0lUQVRJT05fYThiOWZjZTgtMDZmMi00NDMxLTg3ZWItY2FmZjIyYTZiZTAzIiwicHJvcGVydGllcyI6eyJub3RlSW5kZXgiOjB9LCJpc0VkaXRlZCI6ZmFsc2UsIm1hbnVhbE92ZXJyaWRlIjp7ImlzTWFudWFsbHlPdmVycmlkZGVuIjpmYWxzZSwiY2l0ZXByb2NUZXh0IjoiKDEsMTA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quot;},{&quot;citationID&quot;:&quot;MENDELEY_CITATION_1b3b5a4b-1f9a-43ff-82fc-9e9c339b32f2&quot;,&quot;properties&quot;:{&quot;noteIndex&quot;:0},&quot;isEdited&quot;:false,&quot;manualOverride&quot;:{&quot;isManuallyOverridden&quot;:false,&quot;citeprocText&quot;:&quot;(6,10)&quot;,&quot;manualOverrideText&quot;:&quot;&quot;},&quot;citationItems&quot;:[{&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container-title-short&quot;:&quot;&quot;},&quot;isTemporary&quot;:false},{&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isTemporary&quot;:false}],&quot;citationTag&quot;:&quot;MENDELEY_CITATION_v3_eyJjaXRhdGlvbklEIjoiTUVOREVMRVlfQ0lUQVRJT05fMWIzYjVhNGItMWY5YS00M2ZmLTgyZmMtOWU5YzMzOWIzMmYyIiwicHJvcGVydGllcyI6eyJub3RlSW5kZXgiOjB9LCJpc0VkaXRlZCI6ZmFsc2UsIm1hbnVhbE92ZXJyaWRlIjp7ImlzTWFudWFsbHlPdmVycmlkZGVuIjpmYWxzZSwiY2l0ZXByb2NUZXh0IjoiKDYsMTA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J9LCJpc1RlbXBvcmFyeSI6ZmFsc2V9XX0=&quot;},{&quot;citationID&quot;:&quot;MENDELEY_CITATION_dd5f5cec-d083-492f-b8c2-1a47c3edba11&quot;,&quot;properties&quot;:{&quot;noteIndex&quot;:0},&quot;isEdited&quot;:false,&quot;manualOverride&quot;:{&quot;isManuallyOverridden&quot;:false,&quot;citeprocText&quot;:&quot;(1,6)&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isTemporary&quot;:false}],&quot;citationTag&quot;:&quot;MENDELEY_CITATION_v3_eyJjaXRhdGlvbklEIjoiTUVOREVMRVlfQ0lUQVRJT05fZGQ1ZjVjZWMtZDA4My00OTJmLWI4YzItMWE0N2MzZWRiYTExIiwicHJvcGVydGllcyI6eyJub3RlSW5kZXgiOjB9LCJpc0VkaXRlZCI6ZmFsc2UsIm1hbnVhbE92ZXJyaWRlIjp7ImlzTWFudWFsbHlPdmVycmlkZGVuIjpmYWxzZSwiY2l0ZXByb2NUZXh0IjoiKDEsNi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n0sImlzVGVtcG9yYXJ5IjpmYWxzZX1dfQ==&quot;},{&quot;citationID&quot;:&quot;MENDELEY_CITATION_f9c5aaed-3bdd-419d-b60e-daf0db14cc83&quot;,&quot;properties&quot;:{&quot;noteIndex&quot;:0},&quot;isEdited&quot;:false,&quot;manualOverride&quot;:{&quot;isManuallyOverridden&quot;:false,&quot;citeprocText&quot;:&quot;(1,8)&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dfde2c39-e166-3ce2-b13a-0a4886f98df6&quot;,&quot;itemData&quot;:{&quot;type&quot;:&quot;article-journal&quot;,&quot;id&quot;:&quot;dfde2c39-e166-3ce2-b13a-0a4886f98df6&quot;,&quot;title&quot;:&quot;The role of pharmacokinetics/pharmacodynamics in setting clinical MIC breakpoints: the EUCAST approach&quot;,&quot;author&quot;:[{&quot;family&quot;:&quot;Mouton&quot;,&quot;given&quot;:&quot;J.W.&quot;,&quot;parse-names&quot;:false,&quot;dropping-particle&quot;:&quot;&quot;,&quot;non-dropping-particle&quot;:&quot;&quot;},{&quot;family&quot;:&quot;Brown&quot;,&quot;given&quot;:&quot;D.F.J.&quot;,&quot;parse-names&quot;:false,&quot;dropping-particle&quot;:&quot;&quot;,&quot;non-dropping-particle&quot;:&quot;&quot;},{&quot;family&quot;:&quot;Apfalter&quot;,&quot;given&quot;:&quot;P.&quot;,&quot;parse-names&quot;:false,&quot;dropping-particle&quot;:&quot;&quot;,&quot;non-dropping-particle&quot;:&quot;&quot;},{&quot;family&quot;:&quot;Cantón&quot;,&quot;given&quot;:&quot;R.&quot;,&quot;parse-names&quot;:false,&quot;dropping-particle&quot;:&quot;&quot;,&quot;non-dropping-particle&quot;:&quot;&quot;},{&quot;family&quot;:&quot;Giske&quot;,&quot;given&quot;:&quot;C.G.&quot;,&quot;parse-names&quot;:false,&quot;dropping-particle&quot;:&quot;&quot;,&quot;non-dropping-particle&quot;:&quot;&quot;},{&quot;family&quot;:&quot;Ivanova&quot;,&quot;given&quot;:&quot;M.&quot;,&quot;parse-names&quot;:false,&quot;dropping-particle&quot;:&quot;&quot;,&quot;non-dropping-particle&quot;:&quot;&quot;},{&quot;family&quot;:&quot;MacGowan&quot;,&quot;given&quot;:&quot;A.P.&quot;,&quot;parse-names&quot;:false,&quot;dropping-particle&quot;:&quot;&quot;,&quot;non-dropping-particle&quot;:&quot;&quot;},{&quot;family&quot;:&quot;Rodloff&quot;,&quot;given&quot;:&quot;A.&quot;,&quot;parse-names&quot;:false,&quot;dropping-particle&quot;:&quot;&quot;,&quot;non-dropping-particle&quot;:&quot;&quot;},{&quot;family&quot;:&quot;Soussy&quot;,&quot;given&quot;:&quot;C.-J.&quot;,&quot;parse-names&quot;:false,&quot;dropping-particle&quot;:&quot;&quot;,&quot;non-dropping-particle&quot;:&quot;&quot;},{&quot;family&quot;:&quot;Steinbakk&quot;,&quot;given&quot;:&quot;M.&quot;,&quot;parse-names&quot;:false,&quot;dropping-particle&quot;:&quot;&quot;,&quot;non-dropping-particle&quot;:&quot;&quot;},{&quot;family&quot;:&quot;Kahlmeter&quot;,&quot;given&quot;:&quot;G.&quot;,&quot;parse-names&quot;:false,&quot;dropping-particle&quot;:&quot;&quot;,&quot;non-dropping-particle&quot;:&quot;&quot;}],&quot;container-title&quot;:&quot;Clinical Microbiology and Infection&quot;,&quot;DOI&quot;:&quot;10.1111/j.1469-0691.2011.03752.x&quot;,&quot;ISSN&quot;:&quot;1198743X&quot;,&quot;issued&quot;:{&quot;date-parts&quot;:[[2012,3]]},&quot;page&quot;:&quot;E37-E45&quot;,&quot;issue&quot;:&quot;3&quot;,&quot;volume&quot;:&quot;18&quot;},&quot;isTemporary&quot;:false}],&quot;citationTag&quot;:&quot;MENDELEY_CITATION_v3_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&quot;},{&quot;citationID&quot;:&quot;MENDELEY_CITATION_0255c76f-1b92-4a69-aa13-820d8d2e81f8&quot;,&quot;properties&quot;:{&quot;noteIndex&quot;:0},&quot;isEdited&quot;:false,&quot;manualOverride&quot;:{&quot;isManuallyOverridden&quot;:false,&quot;citeprocText&quot;:&quot;(4,5)&quot;,&quot;manualOverrideText&quot;:&quot;&quot;},&quot;citationTag&quot;:&quot;MENDELEY_CITATION_v3_eyJjaXRhdGlvbklEIjoiTUVOREVMRVlfQ0lUQVRJT05fMDI1NWM3NmYtMWI5Mi00YTY5LWFhMTMtODIwZDhkMmU4MWY4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quot;,&quot;citationItems&quot;:[{&quot;id&quot;:&quot;8bab1326-75f0-39f0-9b3e-36845f09146e&quot;,&quot;itemData&quot;:{&quot;type&quot;:&quot;article-journal&quot;,&quot;id&quot;:&quot;8bab1326-75f0-39f0-9b3e-36845f09146e&quot;,&quot;title&quot;:&quot;The mutant selection window and antimicrobial resistance&quot;,&quot;author&quot;:[{&quot;family&quot;:&quot;Drlica&quot;,&quot;given&quot;:&quot;K.&quot;,&quot;parse-names&quot;:false,&quot;dropping-particle&quot;:&quot;&quot;,&quot;non-dropping-particle&quot;:&quot;&quot;}],&quot;container-title&quot;:&quot;Journal of Antimicrobial Chemotherapy&quot;,&quot;DOI&quot;:&quot;10.1093/jac/dkg269&quot;,&quot;ISSN&quot;:&quot;1460-2091&quot;,&quot;issued&quot;:{&quot;date-parts&quot;:[[2003,6,12]]},&quot;page&quot;:&quot;11-17&quot;,&quot;issue&quot;:&quot;1&quot;,&quot;volume&quot;:&quot;52&quot;,&quot;container-title-short&quot;:&quot;&quot;},&quot;isTemporary&quot;:false},{&quot;id&quot;:&quot;28f74d73-8add-3fb3-bec5-3c4f53a1fd20&quot;,&quot;itemData&quot;:{&quot;type&quot;:&quot;article-journal&quot;,&quot;id&quot;:&quot;28f74d73-8add-3fb3-bec5-3c4f53a1fd20&quot;,&quot;title&quot;:&quot;Pharmacokinetic/pharmacodynamic targets of ß-lactams associated with bacterial killing and suppression of the resistance emergence in the hollow fiber infection model: A systematic review&quot;,&quot;author&quot;:[{&quot;family&quot;:&quot;Baulier&quot;,&quot;given&quot;:&quot;Charles&quot;,&quot;parse-names&quot;:false,&quot;dropping-particle&quot;:&quot;&quot;,&quot;non-dropping-particle&quot;:&quot;&quot;},{&quot;family&quot;:&quot;Giry&quot;,&quot;given&quot;:&quot;Marion&quot;,&quot;parse-names&quot;:false,&quot;dropping-particle&quot;:&quot;&quot;,&quot;non-dropping-particle&quot;:&quot;&quot;},{&quot;family&quot;:&quot;Etienne&quot;,&quot;given&quot;:&quot;Manuel&quot;,&quot;parse-names&quot;:false,&quot;dropping-particle&quot;:&quot;&quot;,&quot;non-dropping-particle&quot;:&quot;&quot;},{&quot;family&quot;:&quot;Kallout&quot;,&quot;given&quot;:&quot;Julien&quot;,&quot;parse-names&quot;:false,&quot;dropping-particle&quot;:&quot;&quot;,&quot;non-dropping-particle&quot;:&quot;&quot;},{&quot;family&quot;:&quot;Alexandre&quot;,&quot;given&quot;:&quot;Kévin&quot;,&quot;parse-names&quot;:false,&quot;dropping-particle&quot;:&quot;&quot;,&quot;non-dropping-particle&quot;:&quot;&quot;}],&quot;container-title&quot;:&quot;Journal of Global Antimicrobial Resistance&quot;,&quot;container-title-short&quot;:&quot;J. Glob. Antimicrob. Resist.&quot;,&quot;DOI&quot;:&quot;10.1016/j.jgar.2025.10.009&quot;,&quot;ISSN&quot;:&quot;22137165&quot;,&quot;issued&quot;:{&quot;date-parts&quot;:[[2025,12]]},&quot;page&quot;:&quot;220-227&quot;,&quot;volume&quot;:&quot;45&quot;},&quot;isTemporary&quot;:false}]},{&quot;citationID&quot;:&quot;MENDELEY_CITATION_d4bf40ca-8bc7-4b4c-bcc7-a4125d66e940&quot;,&quot;properties&quot;:{&quot;noteIndex&quot;:0},&quot;isEdited&quot;:false,&quot;manualOverride&quot;:{&quot;isManuallyOverridden&quot;:false,&quot;citeprocText&quot;:&quot;(1,11)&quot;,&quot;manualOverrideText&quot;:&quot;&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fdbb5876-6820-3471-b854-73f2e7f26509&quot;,&quot;itemData&quot;:{&quot;type&quot;:&quot;article-journal&quot;,&quot;id&quot;:&quot;fdbb5876-6820-3471-b854-73f2e7f26509&quot;,&quot;title&quot;:&quot;State‐of‐the‐Art Clinical Article: Pharmacokinetic/Pharmacodynamic Parameters: Rationale for Antibacterial Dosing of Mice and Men&quot;,&quot;author&quot;:[{&quot;family&quot;:&quot;Craig&quot;,&quot;given&quot;:&quot;William A.&quot;,&quot;parse-names&quot;:false,&quot;dropping-particle&quot;:&quot;&quot;,&quot;non-dropping-particle&quot;:&quot;&quot;}],&quot;container-title&quot;:&quot;Clinical Infectious Diseases&quot;,&quot;DOI&quot;:&quot;10.1086/516284&quot;,&quot;ISSN&quot;:&quot;1058-4838&quot;,&quot;issued&quot;:{&quot;date-parts&quot;:[[1998,1]]},&quot;page&quot;:&quot;1-10&quot;,&quot;issue&quot;:&quot;1&quot;,&quot;volume&quot;:&quot;26&quot;},&quot;isTemporary&quot;:false}],&quot;citationTag&quot;:&quot;MENDELEY_CITATION_v3_eyJjaXRhdGlvbklEIjoiTUVOREVMRVlfQ0lUQVRJT05fZDRiZjQwY2EtOGJjNy00YjRjLWJjYzctYTQxMjVkNjZlOTQw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n0sImlzVGVtcG9yYXJ5IjpmYWxzZX1dfQ==&quot;},{&quot;citationID&quot;:&quot;MENDELEY_CITATION_03aea17b-f2f3-4bc1-a1a6-a020cb39cc5b&quot;,&quot;properties&quot;:{&quot;noteIndex&quot;:0},&quot;isEdited&quot;:false,&quot;manualOverride&quot;:{&quot;isManuallyOverridden&quot;:false,&quot;citeprocText&quot;:&quot;(1)&quot;,&quot;manualOverrideText&quot;:&quot;&quot;},&quot;citationTag&quot;:&quot;MENDELEY_CITATION_v3_eyJjaXRhdGlvbklEIjoiTUVOREVMRVlfQ0lUQVRJT05fMDNhZWExN2ItZjJmMy00YmMxLWExYTYtYTAyMGNiMzljYzVi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50bd80a5-acce-4e47-894c-e5c415b1a480&quot;,&quot;properties&quot;:{&quot;noteIndex&quot;:0},&quot;isEdited&quot;:false,&quot;manualOverride&quot;:{&quot;isManuallyOverridden&quot;:false,&quot;citeprocText&quot;:&quot;(1,11)&quot;,&quot;manualOverrideText&quot;:&quot;&quot;},&quot;citationTag&quot;:&quot;MENDELEY_CITATION_v3_eyJjaXRhdGlvbklEIjoiTUVOREVMRVlfQ0lUQVRJT05fNTBiZDgwYTUtYWNjZS00ZTQ3LTg5NGMtZTVjNDE1YjFhNDgwIiwicHJvcGVydGllcyI6eyJub3RlSW5kZXgiOjB9LCJpc0VkaXRlZCI6ZmFsc2UsIm1hbnVhbE92ZXJyaWRlIjp7ImlzTWFudWFsbHlPdmVycmlkZGVuIjpmYWxzZSwiY2l0ZXByb2NUZXh0IjoiKDEsMT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id&quot;:&quot;fdbb5876-6820-3471-b854-73f2e7f26509&quot;,&quot;itemData&quot;:{&quot;type&quot;:&quot;article-journal&quot;,&quot;id&quot;:&quot;fdbb5876-6820-3471-b854-73f2e7f26509&quot;,&quot;title&quot;:&quot;State‐of‐the‐Art Clinical Article: Pharmacokinetic/Pharmacodynamic Parameters: Rationale for Antibacterial Dosing of Mice and Men&quot;,&quot;author&quot;:[{&quot;family&quot;:&quot;Craig&quot;,&quot;given&quot;:&quot;William A.&quot;,&quot;parse-names&quot;:false,&quot;dropping-particle&quot;:&quot;&quot;,&quot;non-dropping-particle&quot;:&quot;&quot;}],&quot;container-title&quot;:&quot;Clinical Infectious Diseases&quot;,&quot;DOI&quot;:&quot;10.1086/516284&quot;,&quot;ISSN&quot;:&quot;1058-4838&quot;,&quot;issued&quot;:{&quot;date-parts&quot;:[[1998,1]]},&quot;page&quot;:&quot;1-10&quot;,&quot;issue&quot;:&quot;1&quot;,&quot;volume&quot;:&quot;26&quot;,&quot;container-title-short&quot;:&quot;&quot;},&quot;isTemporary&quot;:false}]},{&quot;citationID&quot;:&quot;MENDELEY_CITATION_0a126a14-4a0d-4b09-b99e-0892a3087018&quot;,&quot;properties&quot;:{&quot;noteIndex&quot;:0},&quot;isEdited&quot;:false,&quot;manualOverride&quot;:{&quot;isManuallyOverridden&quot;:false,&quot;citeprocText&quot;:&quot;(1)&quot;,&quot;manualOverrideText&quot;:&quot;&quot;},&quot;citationTag&quot;:&quot;MENDELEY_CITATION_v3_eyJjaXRhdGlvbklEIjoiTUVOREVMRVlfQ0lUQVRJT05fMGExMjZhMTQtNGEwZC00YjA5LWI5OWUtMDg5MmEzMDg3MDE4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fe24fab1-edc0-412e-bc1c-e9c7ede3c8d6&quot;,&quot;properties&quot;:{&quot;noteIndex&quot;:0},&quot;isEdited&quot;:false,&quot;manualOverride&quot;:{&quot;isManuallyOverridden&quot;:false,&quot;citeprocText&quot;:&quot;(1)&quot;,&quot;manualOverrideText&quot;:&quot;&quot;},&quot;citationTag&quot;:&quot;MENDELEY_CITATION_v3_eyJjaXRhdGlvbklEIjoiTUVOREVMRVlfQ0lUQVRJT05fZmUyNGZhYjEtZWRjMC00MTJlLWJjMWMtZTljN2VkZTNjOGQ2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d50db0ea-726a-4974-97ca-2e03daa15ef3&quot;,&quot;properties&quot;:{&quot;noteIndex&quot;:0},&quot;isEdited&quot;:false,&quot;manualOverride&quot;:{&quot;isManuallyOverridden&quot;:false,&quot;citeprocText&quot;:&quot;(1)&quot;,&quot;manualOverrideText&quot;:&quot;&quot;},&quot;citationTag&quot;:&quot;MENDELEY_CITATION_v3_eyJjaXRhdGlvbklEIjoiTUVOREVMRVlfQ0lUQVRJT05fZDUwZGIwZWEtNzI2YS00OTc0LTk3Y2EtMmUwM2RhYTE1ZWYz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quot;citationID&quot;:&quot;MENDELEY_CITATION_dc4a50bf-ab44-4024-80e8-14ffdfb4b514&quot;,&quot;properties&quot;:{&quot;noteIndex&quot;:0},&quot;isEdited&quot;:false,&quot;manualOverride&quot;:{&quot;isManuallyOverridden&quot;:false,&quot;citeprocText&quot;:&quot;(10)&quot;,&quot;manualOverrideText&quot;:&quot;&quot;},&quot;citationTag&quot;:&quot;MENDELEY_CITATION_v3_eyJjaXRhdGlvbklEIjoiTUVOREVMRVlfQ0lUQVRJT05fZGM0YTUwYmYtYWI0NC00MDI0LTgwZTgtMTRmZmRmYjRiNTE0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quot;,&quot;citationItems&quot;:[{&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container-title-short&quot;:&quot;&quot;},&quot;isTemporary&quot;:false}]},{&quot;citationID&quot;:&quot;MENDELEY_CITATION_d8f29b8e-3cbe-4105-97be-99e6ba269d0f&quot;,&quot;properties&quot;:{&quot;noteIndex&quot;:0},&quot;isEdited&quot;:false,&quot;manualOverride&quot;:{&quot;isManuallyOverridden&quot;:false,&quot;citeprocText&quot;:&quot;(6,12)&quot;,&quot;manualOverrideText&quot;:&quot;&quot;},&quot;citationTag&quot;:&quot;MENDELEY_CITATION_v3_eyJjaXRhdGlvbklEIjoiTUVOREVMRVlfQ0lUQVRJT05fZDhmMjliOGUtM2NiZS00MTA1LTk3YmUtOTllNmJhMjY5ZDBmIiwicHJvcGVydGllcyI6eyJub3RlSW5kZXgiOjB9LCJpc0VkaXRlZCI6ZmFsc2UsIm1hbnVhbE92ZXJyaWRlIjp7ImlzTWFudWFsbHlPdmVycmlkZGVuIjpmYWxzZSwiY2l0ZXByb2NUZXh0IjoiKDYsMTI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&quot;,&quot;citationItems&quot;:[{&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container-title-short&quot;:&quot;&quot;},&quot;isTemporary&quot;:false},{&quot;id&quot;:&quot;f2d25364-75b8-36b0-bfe7-6bccc0e92f9f&quot;,&quot;itemData&quot;:{&quot;type&quot;:&quot;article-journal&quot;,&quot;id&quot;:&quot;f2d25364-75b8-36b0-bfe7-6bccc0e92f9f&quot;,&quot;title&quot;:&quot;Tissue Penetration of Antimicrobials in Intensive Care Unit Patients: A Systematic Review—Part II&quot;,&quot;author&quot;:[{&quot;family&quot;:&quot;Viaggi&quot;,&quot;given&quot;:&quot;Bruno&quot;,&quot;parse-names&quot;:false,&quot;dropping-particle&quot;:&quot;&quot;,&quot;non-dropping-particle&quot;:&quot;&quot;},{&quot;family&quot;:&quot;Cangialosi&quot;,&quot;given&quot;:&quot;Alice&quot;,&quot;parse-names&quot;:false,&quot;dropping-particle&quot;:&quot;&quot;,&quot;non-dropping-particle&quot;:&quot;&quot;},{&quot;family&quot;:&quot;Langer&quot;,&quot;given&quot;:&quot;Martin&quot;,&quot;parse-names&quot;:false,&quot;dropping-particle&quot;:&quot;&quot;,&quot;non-dropping-particle&quot;:&quot;&quot;},{&quot;family&quot;:&quot;Olivieri&quot;,&quot;given&quot;:&quot;Carlo&quot;,&quot;parse-names&quot;:false,&quot;dropping-particle&quot;:&quot;&quot;,&quot;non-dropping-particle&quot;:&quot;&quot;},{&quot;family&quot;:&quot;Gori&quot;,&quot;given&quot;:&quot;Andrea&quot;,&quot;parse-names&quot;:false,&quot;dropping-particle&quot;:&quot;&quot;,&quot;non-dropping-particle&quot;:&quot;&quot;},{&quot;family&quot;:&quot;Corona&quot;,&quot;given&quot;:&quot;Alberto&quot;,&quot;parse-names&quot;:false,&quot;dropping-particle&quot;:&quot;&quot;,&quot;non-dropping-particle&quot;:&quot;&quot;},{&quot;family&quot;:&quot;Finazzi&quot;,&quot;given&quot;:&quot;Stefa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93&quot;,&quot;ISSN&quot;:&quot;2079-6382&quot;,&quot;issued&quot;:{&quot;date-parts&quot;:[[2022,9,3]]},&quot;page&quot;:&quot;1193&quot;,&quot;abstract&quot;:&quot;&lt;p&gt;In patients that are admitted to intensive care units (ICUs), the clinical outcome of severe infections depends on several factors, as well as the early administration of chemotherapies and comorbidities. Antimicrobials may be used in off-label regimens to maximize the probability of therapeutic concentrations within infected tissues and to prevent the selection of resistant clones. Interestingly, the literature clearly shows that the rate of tissue penetration is variable among antibacterial drugs, and the correlation between plasma and tissue concentrations may be inconstant. The present review harvests data about tissue penetration of antibacterial drugs in ICU patients, limiting the search to those drugs that mainly act as protein synthesis inhibitors and disrupting DNA structure and function. As expected, fluoroquinolones, macrolides, linezolid, and tigecycline have an excellent diffusion into epithelial lining fluid. That high penetration is fundamental for the therapy of ventilator and healthcare-associated pneumonia. Some drugs also display a high penetration rate within cerebrospinal fluid, while other agents diffuse into the skin and soft tissues. Further studies are needed to improve our knowledge about drug tissue penetration, especially in the presence of factors that may affect drug pharmacokinetics.&lt;/p&gt;&quot;,&quot;issue&quot;:&quot;9&quot;,&quot;volume&quot;:&quot;11&quot;,&quot;container-title-short&quot;:&quot;&quot;},&quot;isTemporary&quot;:false}]},{&quot;citationID&quot;:&quot;MENDELEY_CITATION_590e89df-dbc7-4a2c-8cea-5da75d1af82c&quot;,&quot;properties&quot;:{&quot;noteIndex&quot;:0},&quot;isEdited&quot;:false,&quot;manualOverride&quot;:{&quot;isManuallyOverridden&quot;:false,&quot;citeprocText&quot;:&quot;(10)&quot;,&quot;manualOverrideText&quot;:&quot;&quot;},&quot;citationTag&quot;:&quot;MENDELEY_CITATION_v3_eyJjaXRhdGlvbklEIjoiTUVOREVMRVlfQ0lUQVRJT05fNTkwZTg5ZGYtZGJjNy00YTJjLThjZWEtNWRhNzVkMWFmODJj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quot;,&quot;citationItems&quot;:[{&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container-title-short&quot;:&quot;&quot;},&quot;isTemporary&quot;:false}]},{&quot;citationID&quot;:&quot;MENDELEY_CITATION_1d6abbc5-fdda-430f-9fd8-a5435b4a5e3d&quot;,&quot;properties&quot;:{&quot;noteIndex&quot;:0},&quot;isEdited&quot;:false,&quot;manualOverride&quot;:{&quot;isManuallyOverridden&quot;:false,&quot;citeprocText&quot;:&quot;(10)&quot;,&quot;manualOverrideText&quot;:&quot;&quot;},&quot;citationTag&quot;:&quot;MENDELEY_CITATION_v3_eyJjaXRhdGlvbklEIjoiTUVOREVMRVlfQ0lUQVRJT05fMWQ2YWJiYzUtZmRkYS00MzBmLTlmZDgtYTU0MzViNGE1ZTNk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quot;,&quot;citationItems&quot;:[{&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container-title-short&quot;:&quot;&quot;},&quot;isTemporary&quot;:false}]},{&quot;citationID&quot;:&quot;MENDELEY_CITATION_62277607-4cf6-43bd-88f8-7870a80a63cd&quot;,&quot;properties&quot;:{&quot;noteIndex&quot;:0},&quot;isEdited&quot;:false,&quot;manualOverride&quot;:{&quot;isManuallyOverridden&quot;:false,&quot;citeprocText&quot;:&quot;(6,12)&quot;,&quot;manualOverrideText&quot;:&quot;&quot;},&quot;citationTag&quot;:&quot;MENDELEY_CITATION_v3_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&quot;,&quot;citationItems&quot;:[{&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container-title-short&quot;:&quot;&quot;},&quot;isTemporary&quot;:false},{&quot;id&quot;:&quot;f2d25364-75b8-36b0-bfe7-6bccc0e92f9f&quot;,&quot;itemData&quot;:{&quot;type&quot;:&quot;article-journal&quot;,&quot;id&quot;:&quot;f2d25364-75b8-36b0-bfe7-6bccc0e92f9f&quot;,&quot;title&quot;:&quot;Tissue Penetration of Antimicrobials in Intensive Care Unit Patients: A Systematic Review—Part II&quot;,&quot;author&quot;:[{&quot;family&quot;:&quot;Viaggi&quot;,&quot;given&quot;:&quot;Bruno&quot;,&quot;parse-names&quot;:false,&quot;dropping-particle&quot;:&quot;&quot;,&quot;non-dropping-particle&quot;:&quot;&quot;},{&quot;family&quot;:&quot;Cangialosi&quot;,&quot;given&quot;:&quot;Alice&quot;,&quot;parse-names&quot;:false,&quot;dropping-particle&quot;:&quot;&quot;,&quot;non-dropping-particle&quot;:&quot;&quot;},{&quot;family&quot;:&quot;Langer&quot;,&quot;given&quot;:&quot;Martin&quot;,&quot;parse-names&quot;:false,&quot;dropping-particle&quot;:&quot;&quot;,&quot;non-dropping-particle&quot;:&quot;&quot;},{&quot;family&quot;:&quot;Olivieri&quot;,&quot;given&quot;:&quot;Carlo&quot;,&quot;parse-names&quot;:false,&quot;dropping-particle&quot;:&quot;&quot;,&quot;non-dropping-particle&quot;:&quot;&quot;},{&quot;family&quot;:&quot;Gori&quot;,&quot;given&quot;:&quot;Andrea&quot;,&quot;parse-names&quot;:false,&quot;dropping-particle&quot;:&quot;&quot;,&quot;non-dropping-particle&quot;:&quot;&quot;},{&quot;family&quot;:&quot;Corona&quot;,&quot;given&quot;:&quot;Alberto&quot;,&quot;parse-names&quot;:false,&quot;dropping-particle&quot;:&quot;&quot;,&quot;non-dropping-particle&quot;:&quot;&quot;},{&quot;family&quot;:&quot;Finazzi&quot;,&quot;given&quot;:&quot;Stefa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93&quot;,&quot;ISSN&quot;:&quot;2079-6382&quot;,&quot;issued&quot;:{&quot;date-parts&quot;:[[2022,9,3]]},&quot;page&quot;:&quot;1193&quot;,&quot;abstract&quot;:&quot;&lt;p&gt;In patients that are admitted to intensive care units (ICUs), the clinical outcome of severe infections depends on several factors, as well as the early administration of chemotherapies and comorbidities. Antimicrobials may be used in off-label regimens to maximize the probability of therapeutic concentrations within infected tissues and to prevent the selection of resistant clones. Interestingly, the literature clearly shows that the rate of tissue penetration is variable among antibacterial drugs, and the correlation between plasma and tissue concentrations may be inconstant. The present review harvests data about tissue penetration of antibacterial drugs in ICU patients, limiting the search to those drugs that mainly act as protein synthesis inhibitors and disrupting DNA structure and function. As expected, fluoroquinolones, macrolides, linezolid, and tigecycline have an excellent diffusion into epithelial lining fluid. That high penetration is fundamental for the therapy of ventilator and healthcare-associated pneumonia. Some drugs also display a high penetration rate within cerebrospinal fluid, while other agents diffuse into the skin and soft tissues. Further studies are needed to improve our knowledge about drug tissue penetration, especially in the presence of factors that may affect drug pharmacokinetics.&lt;/p&gt;&quot;,&quot;issue&quot;:&quot;9&quot;,&quot;volume&quot;:&quot;11&quot;,&quot;container-title-short&quot;:&quot;&quot;},&quot;isTemporary&quot;:false}]},{&quot;citationID&quot;:&quot;MENDELEY_CITATION_85c3a37e-e096-423e-973c-b57963ae3524&quot;,&quot;properties&quot;:{&quot;noteIndex&quot;:0},&quot;isEdited&quot;:false,&quot;manualOverride&quot;:{&quot;isManuallyOverridden&quot;:false,&quot;citeprocText&quot;:&quot;(6,12)&quot;,&quot;manualOverrideText&quot;:&quot;&quot;},&quot;citationTag&quot;:&quot;MENDELEY_CITATION_v3_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&quot;,&quot;citationItems&quot;:[{&quot;id&quot;:&quot;f2d25364-75b8-36b0-bfe7-6bccc0e92f9f&quot;,&quot;itemData&quot;:{&quot;type&quot;:&quot;article-journal&quot;,&quot;id&quot;:&quot;f2d25364-75b8-36b0-bfe7-6bccc0e92f9f&quot;,&quot;title&quot;:&quot;Tissue Penetration of Antimicrobials in Intensive Care Unit Patients: A Systematic Review—Part II&quot;,&quot;author&quot;:[{&quot;family&quot;:&quot;Viaggi&quot;,&quot;given&quot;:&quot;Bruno&quot;,&quot;parse-names&quot;:false,&quot;dropping-particle&quot;:&quot;&quot;,&quot;non-dropping-particle&quot;:&quot;&quot;},{&quot;family&quot;:&quot;Cangialosi&quot;,&quot;given&quot;:&quot;Alice&quot;,&quot;parse-names&quot;:false,&quot;dropping-particle&quot;:&quot;&quot;,&quot;non-dropping-particle&quot;:&quot;&quot;},{&quot;family&quot;:&quot;Langer&quot;,&quot;given&quot;:&quot;Martin&quot;,&quot;parse-names&quot;:false,&quot;dropping-particle&quot;:&quot;&quot;,&quot;non-dropping-particle&quot;:&quot;&quot;},{&quot;family&quot;:&quot;Olivieri&quot;,&quot;given&quot;:&quot;Carlo&quot;,&quot;parse-names&quot;:false,&quot;dropping-particle&quot;:&quot;&quot;,&quot;non-dropping-particle&quot;:&quot;&quot;},{&quot;family&quot;:&quot;Gori&quot;,&quot;given&quot;:&quot;Andrea&quot;,&quot;parse-names&quot;:false,&quot;dropping-particle&quot;:&quot;&quot;,&quot;non-dropping-particle&quot;:&quot;&quot;},{&quot;family&quot;:&quot;Corona&quot;,&quot;given&quot;:&quot;Alberto&quot;,&quot;parse-names&quot;:false,&quot;dropping-particle&quot;:&quot;&quot;,&quot;non-dropping-particle&quot;:&quot;&quot;},{&quot;family&quot;:&quot;Finazzi&quot;,&quot;given&quot;:&quot;Stefa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93&quot;,&quot;ISSN&quot;:&quot;2079-6382&quot;,&quot;issued&quot;:{&quot;date-parts&quot;:[[2022,9,3]]},&quot;page&quot;:&quot;1193&quot;,&quot;abstract&quot;:&quot;&lt;p&gt;In patients that are admitted to intensive care units (ICUs), the clinical outcome of severe infections depends on several factors, as well as the early administration of chemotherapies and comorbidities. Antimicrobials may be used in off-label regimens to maximize the probability of therapeutic concentrations within infected tissues and to prevent the selection of resistant clones. Interestingly, the literature clearly shows that the rate of tissue penetration is variable among antibacterial drugs, and the correlation between plasma and tissue concentrations may be inconstant. The present review harvests data about tissue penetration of antibacterial drugs in ICU patients, limiting the search to those drugs that mainly act as protein synthesis inhibitors and disrupting DNA structure and function. As expected, fluoroquinolones, macrolides, linezolid, and tigecycline have an excellent diffusion into epithelial lining fluid. That high penetration is fundamental for the therapy of ventilator and healthcare-associated pneumonia. Some drugs also display a high penetration rate within cerebrospinal fluid, while other agents diffuse into the skin and soft tissues. Further studies are needed to improve our knowledge about drug tissue penetration, especially in the presence of factors that may affect drug pharmacokinetics.&lt;/p&gt;&quot;,&quot;issue&quot;:&quot;9&quot;,&quot;volume&quot;:&quot;11&quot;,&quot;container-title-short&quot;:&quot;&quot;},&quot;isTemporary&quot;:false},{&quot;id&quot;:&quot;905cbb3d-63d6-3382-a97d-dd0fba2d10a2&quot;,&quot;itemData&quot;:{&quot;type&quot;:&quot;article-journal&quot;,&quot;id&quot;:&quot;905cbb3d-63d6-3382-a97d-dd0fba2d10a2&quot;,&quot;title&quot;:&quot;Tissue Penetration of Antimicrobials in Intensive Care Unit Patients: A Systematic Review—Part I&quot;,&quot;author&quot;:[{&quot;family&quot;:&quot;Finazzi&quot;,&quot;given&quot;:&quot;Stefano&quot;,&quot;parse-names&quot;:false,&quot;dropping-particle&quot;:&quot;&quot;,&quot;non-dropping-particle&quot;:&quot;&quot;},{&quot;family&quot;:&quot;Luci&quot;,&quot;given&quot;:&quot;Giacomo&quot;,&quot;parse-names&quot;:false,&quot;dropping-particle&quot;:&quot;&quot;,&quot;non-dropping-particle&quot;:&quot;&quot;},{&quot;family&quot;:&quot;Olivieri&quot;,&quot;given&quot;:&quot;Carlo&quot;,&quot;parse-names&quot;:false,&quot;dropping-particle&quot;:&quot;&quot;,&quot;non-dropping-particle&quot;:&quot;&quot;},{&quot;family&quot;:&quot;Langer&quot;,&quot;given&quot;:&quot;Martin&quot;,&quot;parse-names&quot;:false,&quot;dropping-particle&quot;:&quot;&quot;,&quot;non-dropping-particle&quot;:&quot;&quot;},{&quot;family&quot;:&quot;Mandelli&quot;,&quot;given&quot;:&quot;Giulia&quot;,&quot;parse-names&quot;:false,&quot;dropping-particle&quot;:&quot;&quot;,&quot;non-dropping-particle&quot;:&quot;&quot;},{&quot;family&quot;:&quot;Corona&quot;,&quot;given&quot;:&quot;Alberto&quot;,&quot;parse-names&quot;:false,&quot;dropping-particle&quot;:&quot;&quot;,&quot;non-dropping-particle&quot;:&quot;&quot;},{&quot;family&quot;:&quot;Viaggi&quot;,&quot;given&quot;:&quot;Bruno&quot;,&quot;parse-names&quot;:false,&quot;dropping-particle&quot;:&quot;&quot;,&quot;non-dropping-particle&quot;:&quot;&quot;},{&quot;family&quot;:&quot;Paolo&quot;,&quot;given&quot;:&quot;Antonello&quot;,&quot;parse-names&quot;:false,&quot;dropping-particle&quot;:&quot;&quot;,&quot;non-dropping-particle&quot;:&quot;Di&quot;}],&quot;container-title&quot;:&quot;Antibiotics&quot;,&quot;DOI&quot;:&quot;10.3390/antibiotics11091164&quot;,&quot;ISSN&quot;:&quot;2079-6382&quot;,&quot;issued&quot;:{&quot;date-parts&quot;:[[2022,8,29]]},&quot;page&quot;:&quot;1164&quot;,&quot;abstract&quot;:&quot;&lt;p&gt;The challenging severity of some infections, especially in critically ill patients, makes the diffusion of antimicrobial drugs within tissues one of the cornerstones of chemotherapy. The knowledge of how antibacterial agents penetrate tissues may come from different sources: preclinical studies in animal models, phase I–III clinical trials and post-registration studies. However, the particular physiopathology of critically ill patients may significantly alter drug pharmacokinetics. Indeed, changes in interstitial volumes (the third space) and/or in glomerular filtration ratio may influence the achievement of bactericidal concentrations in peripheral compartments, while inflammation can alter the systemic distribution of some drugs. On the contrary, other antibacterial agents may reach high and effective concentrations thanks to the increased tissue accumulation of macrophages and neutrophils. Therefore, the present review explores the tissue distribution of beta-lactams and other antimicrobials acting on the cell wall and cytoplasmic membrane of bacteria in critically ill patients. A systematic search of articles was performed according to PRISMA guidelines, and tissue/plasma penetration ratios were collected. Results showed a highly variable passage of drugs within tissues, while large interindividual variability may represent a hurdle which must be overcome to achieve therapeutic concentrations in some compartments. To solve that issue, off-label dosing regimens could represent an effective solution in particular conditions.&lt;/p&gt;&quot;,&quot;issue&quot;:&quot;9&quot;,&quot;volume&quot;:&quot;11&quot;,&quot;container-title-short&quot;:&quot;&quot;},&quot;isTemporary&quot;:false}]},{&quot;citationID&quot;:&quot;MENDELEY_CITATION_91f1900e-815e-49fc-b149-13f673a5d2fa&quot;,&quot;properties&quot;:{&quot;noteIndex&quot;:0},&quot;isEdited&quot;:false,&quot;manualOverride&quot;:{&quot;isManuallyOverridden&quot;:false,&quot;citeprocText&quot;:&quot;(13)&quot;,&quot;manualOverrideText&quot;:&quot;&quot;},&quot;citationTag&quot;:&quot;MENDELEY_CITATION_v3_eyJjaXRhdGlvbklEIjoiTUVOREVMRVlfQ0lUQVRJT05fOTFmMTkwMGUtODE1ZS00OWZjLWIxNDktMTNmNjczYTVkMmZh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quot;,&quot;citationItems&quot;:[{&quot;id&quot;:&quot;7b8c82c0-f49b-312f-ad4a-e2b99f64ce8c&quot;,&quot;itemData&quot;:{&quot;type&quot;:&quot;article-journal&quot;,&quot;id&quot;:&quot;7b8c82c0-f49b-312f-ad4a-e2b99f64ce8c&quot;,&quot;title&quot;:&quot;Mechanisms of antimicrobial resistance in biofilms&quot;,&quot;author&quot;:[{&quot;family&quot;:&quot;Liu&quot;,&quot;given&quot;:&quot;Ho Yu&quot;,&quot;parse-names&quot;:false,&quot;dropping-particle&quot;:&quot;&quot;,&quot;non-dropping-particle&quot;:&quot;&quot;},{&quot;family&quot;:&quot;Prentice&quot;,&quot;given&quot;:&quot;Emma L.&quot;,&quot;parse-names&quot;:false,&quot;dropping-particle&quot;:&quot;&quot;,&quot;non-dropping-particle&quot;:&quot;&quot;},{&quot;family&quot;:&quot;Webber&quot;,&quot;given&quot;:&quot;Mark A.&quot;,&quot;parse-names&quot;:false,&quot;dropping-particle&quot;:&quot;&quot;,&quot;non-dropping-particle&quot;:&quot;&quot;}],&quot;container-title&quot;:&quot;npj Antimicrobials and Resistance&quot;,&quot;DOI&quot;:&quot;10.1038/s44259-024-00046-3&quot;,&quot;ISSN&quot;:&quot;2731-8745&quot;,&quot;issued&quot;:{&quot;date-parts&quot;:[[2024,10,1]]},&quot;page&quot;:&quot;27&quot;,&quot;abstract&quot;:&quot;&lt;p&gt;Most bacteria in nature exist in aggregated communities known as biofilms, and cells within a biofilm demonstrate major physiological changes compared to their planktonic counterparts. Biofilms are associated with many different types of infections which can have severe impacts on patients. Infections involving a biofilm component are often chronic and highly recalcitrant to antibiotic therapy as a result of intrinsic physical factors including extracellular matrix production, low growth rates, altered antibiotic target production and efficient exchange of resistance genes. This review describes the biofilm lifecycle, phenotypic characteristics of a biofilm, and contribution of matrix and persister cells to biofilms intrinsic tolerance to antimicrobials. We also describe how biofilms can evolve antibiotic resistance and transfer resistance genes within biofilms. Multispecies biofilms and the impacts of various interactions, including cooperation and competition, between species on tolerance to antimicrobials in polymicrobial biofilm communities are also discussed.&lt;/p&gt;&quot;,&quot;issue&quot;:&quot;1&quot;,&quot;volume&quot;:&quot;2&quot;,&quot;container-title-short&quot;:&quot;&quot;},&quot;isTemporary&quot;:false}]},{&quot;citationID&quot;:&quot;MENDELEY_CITATION_00a0f9af-bcf3-4cd9-b103-bcccf0209b19&quot;,&quot;properties&quot;:{&quot;noteIndex&quot;:0},&quot;isEdited&quot;:false,&quot;manualOverride&quot;:{&quot;isManuallyOverridden&quot;:false,&quot;citeprocText&quot;:&quot;(14)&quot;,&quot;manualOverrideText&quot;:&quot;&quot;},&quot;citationTag&quot;:&quot;MENDELEY_CITATION_v3_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&quot;,&quot;citationItems&quot;:[{&quot;id&quot;:&quot;abe59bd2-f471-3b32-8844-7c50d63fb690&quot;,&quot;itemData&quot;:{&quot;type&quot;:&quot;article-journal&quot;,&quot;id&quot;:&quot;abe59bd2-f471-3b32-8844-7c50d63fb690&quot;,&quot;title&quot;:&quot;Tolerance and resistance of microbial biofilms&quot;,&quot;author&quot;:[{&quot;family&quot;:&quot;Ciofu&quot;,&quot;given&quot;:&quot;Oana&quot;,&quot;parse-names&quot;:false,&quot;dropping-particle&quot;:&quot;&quot;,&quot;non-dropping-particle&quot;:&quot;&quot;},{&quot;family&quot;:&quot;Moser&quot;,&quot;given&quot;:&quot;Claus&quot;,&quot;parse-names&quot;:false,&quot;dropping-particle&quot;:&quot;&quot;,&quot;non-dropping-particle&quot;:&quot;&quot;},{&quot;family&quot;:&quot;Jensen&quot;,&quot;given&quot;:&quot;Peter Østrup&quot;,&quot;parse-names&quot;:false,&quot;dropping-particle&quot;:&quot;&quot;,&quot;non-dropping-particle&quot;:&quot;&quot;},{&quot;family&quot;:&quot;Høiby&quot;,&quot;given&quot;:&quot;Niels&quot;,&quot;parse-names&quot;:false,&quot;dropping-particle&quot;:&quot;&quot;,&quot;non-dropping-particle&quot;:&quot;&quot;}],&quot;container-title&quot;:&quot;Nature Reviews Microbiology&quot;,&quot;container-title-short&quot;:&quot;Nat. Rev. Microbiol.&quot;,&quot;DOI&quot;:&quot;10.1038/s41579-022-00682-4&quot;,&quot;ISSN&quot;:&quot;1740-1526&quot;,&quot;issued&quot;:{&quot;date-parts&quot;:[[2022,10,3]]},&quot;page&quot;:&quot;621-635&quot;,&quot;issue&quot;:&quot;10&quot;,&quot;volume&quot;:&quot;20&quot;},&quot;isTemporary&quot;:false}]},{&quot;citationID&quot;:&quot;MENDELEY_CITATION_b4a27617-1854-4b8e-bf4b-aa1c1a8a72ae&quot;,&quot;properties&quot;:{&quot;noteIndex&quot;:0},&quot;isEdited&quot;:false,&quot;manualOverride&quot;:{&quot;isManuallyOverridden&quot;:false,&quot;citeprocText&quot;:&quot;(13)&quot;,&quot;manualOverrideText&quot;:&quot;&quot;},&quot;citationTag&quot;:&quot;MENDELEY_CITATION_v3_eyJjaXRhdGlvbklEIjoiTUVOREVMRVlfQ0lUQVRJT05fYjRhMjc2MTctMTg1NC00YjhlLWJmNGItYWExYzFhOGE3MmFl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quot;,&quot;citationItems&quot;:[{&quot;id&quot;:&quot;7b8c82c0-f49b-312f-ad4a-e2b99f64ce8c&quot;,&quot;itemData&quot;:{&quot;type&quot;:&quot;article-journal&quot;,&quot;id&quot;:&quot;7b8c82c0-f49b-312f-ad4a-e2b99f64ce8c&quot;,&quot;title&quot;:&quot;Mechanisms of antimicrobial resistance in biofilms&quot;,&quot;author&quot;:[{&quot;family&quot;:&quot;Liu&quot;,&quot;given&quot;:&quot;Ho Yu&quot;,&quot;parse-names&quot;:false,&quot;dropping-particle&quot;:&quot;&quot;,&quot;non-dropping-particle&quot;:&quot;&quot;},{&quot;family&quot;:&quot;Prentice&quot;,&quot;given&quot;:&quot;Emma L.&quot;,&quot;parse-names&quot;:false,&quot;dropping-particle&quot;:&quot;&quot;,&quot;non-dropping-particle&quot;:&quot;&quot;},{&quot;family&quot;:&quot;Webber&quot;,&quot;given&quot;:&quot;Mark A.&quot;,&quot;parse-names&quot;:false,&quot;dropping-particle&quot;:&quot;&quot;,&quot;non-dropping-particle&quot;:&quot;&quot;}],&quot;container-title&quot;:&quot;npj Antimicrobials and Resistance&quot;,&quot;DOI&quot;:&quot;10.1038/s44259-024-00046-3&quot;,&quot;ISSN&quot;:&quot;2731-8745&quot;,&quot;issued&quot;:{&quot;date-parts&quot;:[[2024,10,1]]},&quot;page&quot;:&quot;27&quot;,&quot;abstract&quot;:&quot;&lt;p&gt;Most bacteria in nature exist in aggregated communities known as biofilms, and cells within a biofilm demonstrate major physiological changes compared to their planktonic counterparts. Biofilms are associated with many different types of infections which can have severe impacts on patients. Infections involving a biofilm component are often chronic and highly recalcitrant to antibiotic therapy as a result of intrinsic physical factors including extracellular matrix production, low growth rates, altered antibiotic target production and efficient exchange of resistance genes. This review describes the biofilm lifecycle, phenotypic characteristics of a biofilm, and contribution of matrix and persister cells to biofilms intrinsic tolerance to antimicrobials. We also describe how biofilms can evolve antibiotic resistance and transfer resistance genes within biofilms. Multispecies biofilms and the impacts of various interactions, including cooperation and competition, between species on tolerance to antimicrobials in polymicrobial biofilm communities are also discussed.&lt;/p&gt;&quot;,&quot;issue&quot;:&quot;1&quot;,&quot;volume&quot;:&quot;2&quot;,&quot;container-title-short&quot;:&quot;&quot;},&quot;isTemporary&quot;:false}]},{&quot;citationID&quot;:&quot;MENDELEY_CITATION_083bc209-b931-4cb8-84b7-e1ca8c8762be&quot;,&quot;properties&quot;:{&quot;noteIndex&quot;:0},&quot;isEdited&quot;:false,&quot;manualOverride&quot;:{&quot;isManuallyOverridden&quot;:false,&quot;citeprocText&quot;:&quot;(13,14)&quot;,&quot;manualOverrideText&quot;:&quot;&quot;},&quot;citationTag&quot;:&quot;MENDELEY_CITATION_v3_eyJjaXRhdGlvbklEIjoiTUVOREVMRVlfQ0lUQVRJT05fMDgzYmMyMDktYjkzMS00Y2I4LTg0YjctZTFjYThjODc2MmJlIiwicHJvcGVydGllcyI6eyJub3RlSW5kZXgiOjB9LCJpc0VkaXRlZCI6ZmFsc2UsIm1hbnVhbE92ZXJyaWRlIjp7ImlzTWFudWFsbHlPdmVycmlkZGVuIjpmYWxzZSwiY2l0ZXByb2NUZXh0IjoiKDEzLDE0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&quot;,&quot;citationItems&quot;:[{&quot;id&quot;:&quot;7b8c82c0-f49b-312f-ad4a-e2b99f64ce8c&quot;,&quot;itemData&quot;:{&quot;type&quot;:&quot;article-journal&quot;,&quot;id&quot;:&quot;7b8c82c0-f49b-312f-ad4a-e2b99f64ce8c&quot;,&quot;title&quot;:&quot;Mechanisms of antimicrobial resistance in biofilms&quot;,&quot;author&quot;:[{&quot;family&quot;:&quot;Liu&quot;,&quot;given&quot;:&quot;Ho Yu&quot;,&quot;parse-names&quot;:false,&quot;dropping-particle&quot;:&quot;&quot;,&quot;non-dropping-particle&quot;:&quot;&quot;},{&quot;family&quot;:&quot;Prentice&quot;,&quot;given&quot;:&quot;Emma L.&quot;,&quot;parse-names&quot;:false,&quot;dropping-particle&quot;:&quot;&quot;,&quot;non-dropping-particle&quot;:&quot;&quot;},{&quot;family&quot;:&quot;Webber&quot;,&quot;given&quot;:&quot;Mark A.&quot;,&quot;parse-names&quot;:false,&quot;dropping-particle&quot;:&quot;&quot;,&quot;non-dropping-particle&quot;:&quot;&quot;}],&quot;container-title&quot;:&quot;npj Antimicrobials and Resistance&quot;,&quot;DOI&quot;:&quot;10.1038/s44259-024-00046-3&quot;,&quot;ISSN&quot;:&quot;2731-8745&quot;,&quot;issued&quot;:{&quot;date-parts&quot;:[[2024,10,1]]},&quot;page&quot;:&quot;27&quot;,&quot;abstract&quot;:&quot;&lt;p&gt;Most bacteria in nature exist in aggregated communities known as biofilms, and cells within a biofilm demonstrate major physiological changes compared to their planktonic counterparts. Biofilms are associated with many different types of infections which can have severe impacts on patients. Infections involving a biofilm component are often chronic and highly recalcitrant to antibiotic therapy as a result of intrinsic physical factors including extracellular matrix production, low growth rates, altered antibiotic target production and efficient exchange of resistance genes. This review describes the biofilm lifecycle, phenotypic characteristics of a biofilm, and contribution of matrix and persister cells to biofilms intrinsic tolerance to antimicrobials. We also describe how biofilms can evolve antibiotic resistance and transfer resistance genes within biofilms. Multispecies biofilms and the impacts of various interactions, including cooperation and competition, between species on tolerance to antimicrobials in polymicrobial biofilm communities are also discussed.&lt;/p&gt;&quot;,&quot;issue&quot;:&quot;1&quot;,&quot;volume&quot;:&quot;2&quot;,&quot;container-title-short&quot;:&quot;&quot;},&quot;isTemporary&quot;:false},{&quot;id&quot;:&quot;abe59bd2-f471-3b32-8844-7c50d63fb690&quot;,&quot;itemData&quot;:{&quot;type&quot;:&quot;article-journal&quot;,&quot;id&quot;:&quot;abe59bd2-f471-3b32-8844-7c50d63fb690&quot;,&quot;title&quot;:&quot;Tolerance and resistance of microbial biofilms&quot;,&quot;author&quot;:[{&quot;family&quot;:&quot;Ciofu&quot;,&quot;given&quot;:&quot;Oana&quot;,&quot;parse-names&quot;:false,&quot;dropping-particle&quot;:&quot;&quot;,&quot;non-dropping-particle&quot;:&quot;&quot;},{&quot;family&quot;:&quot;Moser&quot;,&quot;given&quot;:&quot;Claus&quot;,&quot;parse-names&quot;:false,&quot;dropping-particle&quot;:&quot;&quot;,&quot;non-dropping-particle&quot;:&quot;&quot;},{&quot;family&quot;:&quot;Jensen&quot;,&quot;given&quot;:&quot;Peter Østrup&quot;,&quot;parse-names&quot;:false,&quot;dropping-particle&quot;:&quot;&quot;,&quot;non-dropping-particle&quot;:&quot;&quot;},{&quot;family&quot;:&quot;Høiby&quot;,&quot;given&quot;:&quot;Niels&quot;,&quot;parse-names&quot;:false,&quot;dropping-particle&quot;:&quot;&quot;,&quot;non-dropping-particle&quot;:&quot;&quot;}],&quot;container-title&quot;:&quot;Nature Reviews Microbiology&quot;,&quot;container-title-short&quot;:&quot;Nat. Rev. Microbiol.&quot;,&quot;DOI&quot;:&quot;10.1038/s41579-022-00682-4&quot;,&quot;ISSN&quot;:&quot;1740-1526&quot;,&quot;issued&quot;:{&quot;date-parts&quot;:[[2022,10,3]]},&quot;page&quot;:&quot;621-635&quot;,&quot;issue&quot;:&quot;10&quot;,&quot;volume&quot;:&quot;20&quot;},&quot;isTemporary&quot;:false}]},{&quot;citationID&quot;:&quot;MENDELEY_CITATION_10d0d938-d3b9-44ce-9d8a-fe917fa127c6&quot;,&quot;properties&quot;:{&quot;noteIndex&quot;:0},&quot;isEdited&quot;:false,&quot;manualOverride&quot;:{&quot;isManuallyOverridden&quot;:false,&quot;citeprocText&quot;:&quot;(13)&quot;,&quot;manualOverrideText&quot;:&quot;&quot;},&quot;citationTag&quot;:&quot;MENDELEY_CITATION_v3_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&quot;,&quot;citationItems&quot;:[{&quot;id&quot;:&quot;7b8c82c0-f49b-312f-ad4a-e2b99f64ce8c&quot;,&quot;itemData&quot;:{&quot;type&quot;:&quot;article-journal&quot;,&quot;id&quot;:&quot;7b8c82c0-f49b-312f-ad4a-e2b99f64ce8c&quot;,&quot;title&quot;:&quot;Mechanisms of antimicrobial resistance in biofilms&quot;,&quot;author&quot;:[{&quot;family&quot;:&quot;Liu&quot;,&quot;given&quot;:&quot;Ho Yu&quot;,&quot;parse-names&quot;:false,&quot;dropping-particle&quot;:&quot;&quot;,&quot;non-dropping-particle&quot;:&quot;&quot;},{&quot;family&quot;:&quot;Prentice&quot;,&quot;given&quot;:&quot;Emma L.&quot;,&quot;parse-names&quot;:false,&quot;dropping-particle&quot;:&quot;&quot;,&quot;non-dropping-particle&quot;:&quot;&quot;},{&quot;family&quot;:&quot;Webber&quot;,&quot;given&quot;:&quot;Mark A.&quot;,&quot;parse-names&quot;:false,&quot;dropping-particle&quot;:&quot;&quot;,&quot;non-dropping-particle&quot;:&quot;&quot;}],&quot;container-title&quot;:&quot;npj Antimicrobials and Resistance&quot;,&quot;DOI&quot;:&quot;10.1038/s44259-024-00046-3&quot;,&quot;ISSN&quot;:&quot;2731-8745&quot;,&quot;issued&quot;:{&quot;date-parts&quot;:[[2024,10,1]]},&quot;page&quot;:&quot;27&quot;,&quot;abstract&quot;:&quot;&lt;p&gt;Most bacteria in nature exist in aggregated communities known as biofilms, and cells within a biofilm demonstrate major physiological changes compared to their planktonic counterparts. Biofilms are associated with many different types of infections which can have severe impacts on patients. Infections involving a biofilm component are often chronic and highly recalcitrant to antibiotic therapy as a result of intrinsic physical factors including extracellular matrix production, low growth rates, altered antibiotic target production and efficient exchange of resistance genes. This review describes the biofilm lifecycle, phenotypic characteristics of a biofilm, and contribution of matrix and persister cells to biofilms intrinsic tolerance to antimicrobials. We also describe how biofilms can evolve antibiotic resistance and transfer resistance genes within biofilms. Multispecies biofilms and the impacts of various interactions, including cooperation and competition, between species on tolerance to antimicrobials in polymicrobial biofilm communities are also discussed.&lt;/p&gt;&quot;,&quot;issue&quot;:&quot;1&quot;,&quot;volume&quot;:&quot;2&quot;,&quot;container-title-short&quot;:&quot;&quot;},&quot;isTemporary&quot;:false}]},{&quot;citationID&quot;:&quot;MENDELEY_CITATION_00947b33-69a0-4444-a540-dbfaed251d2f&quot;,&quot;properties&quot;:{&quot;noteIndex&quot;:0},&quot;isEdited&quot;:false,&quot;manualOverride&quot;:{&quot;isManuallyOverridden&quot;:false,&quot;citeprocText&quot;:&quot;(2)&quot;,&quot;manualOverrideText&quot;:&quot;&quot;},&quot;citationTag&quot;:&quot;MENDELEY_CITATION_v3_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&quot;,&quot;citationItems&quot;:[{&quot;id&quot;:&quot;3ca0fea3-e8d9-3855-ad80-69ab3241ec72&quot;,&quot;itemData&quot;:{&quot;type&quot;:&quot;article-journal&quot;,&quot;id&quot;:&quot;3ca0fea3-e8d9-3855-ad80-69ab3241ec72&quot;,&quot;title&quot;:&quot;The pharmacokinetic–pharmacodynamic modelling framework as a tool to predict drug resistance evolution&quot;,&quot;author&quot;:[{&quot;family&quot;:&quot;Witzany&quot;,&quot;given&quot;:&quot;Christopher&quot;,&quot;parse-names&quot;:false,&quot;dropping-particle&quot;:&quot;&quot;,&quot;non-dropping-particle&quot;:&quot;&quot;},{&quot;family&quot;:&quot;Rolff&quot;,&quot;given&quot;:&quot;Jens&quot;,&quot;parse-names&quot;:false,&quot;dropping-particle&quot;:&quot;&quot;,&quot;non-dropping-particle&quot;:&quot;&quot;},{&quot;family&quot;:&quot;Regoes&quot;,&quot;given&quot;:&quot;Roland R.&quot;,&quot;parse-names&quot;:false,&quot;dropping-particle&quot;:&quot;&quot;,&quot;non-dropping-particle&quot;:&quot;&quot;},{&quot;family&quot;:&quot;Igler&quot;,&quot;given&quot;:&quot;Claudia&quot;,&quot;parse-names&quot;:false,&quot;dropping-particle&quot;:&quot;&quot;,&quot;non-dropping-particle&quot;:&quot;&quot;}],&quot;container-title&quot;:&quot;Microbiology&quot;,&quot;container-title-short&quot;:&quot;Microbiology (N. Y).&quot;,&quot;DOI&quot;:&quot;10.1099/mic.0.001368&quot;,&quot;ISSN&quot;:&quot;1350-0872&quot;,&quot;issued&quot;:{&quot;date-parts&quot;:[[2023,7,31]]},&quot;abstract&quot;:&quot;&lt;p&gt;Pharmacokinetic–pharmacodynamic (PKPD) models, which describe how drug concentrations change over time and how that affects pathogen growth, have proven highly valuable in designing optimal drug treatments aimed at bacterial eradication. However, the fast rise of antimicrobial resistance calls for increased focus on an additional treatment optimization criterion: avoidance of resistance evolution. We demonstrate here how coupling PKPD and population genetics models can be used to determine treatment regimens that minimize the potential for antimicrobial resistance evolution. Importantly, the resulting modelling framework enables the assessment of resistance evolution in response to dynamic selection pressures, including changes in antimicrobial concentration and the emergence of adaptive phenotypes. Using antibiotics and antimicrobial peptides as an example, we discuss the empirical evidence and intuition behind individual model parameters. We further suggest several extensions of this framework that allow a more comprehensive and realistic prediction of bacterial escape from antimicrobials through various phenotypic and genetic mechanisms.&lt;/p&gt;&quot;,&quot;issue&quot;:&quot;7&quot;,&quot;volume&quot;:&quot;169&quot;},&quot;isTemporary&quot;:false}]},{&quot;citationID&quot;:&quot;MENDELEY_CITATION_393c68b9-fbb0-4b68-9d1b-bf8fedb434d1&quot;,&quot;properties&quot;:{&quot;noteIndex&quot;:0},&quot;isEdited&quot;:false,&quot;manualOverride&quot;:{&quot;isManuallyOverridden&quot;:false,&quot;citeprocText&quot;:&quot;(4,5)&quot;,&quot;manualOverrideText&quot;:&quot;&quot;},&quot;citationTag&quot;:&quot;MENDELEY_CITATION_v3_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&quot;,&quot;citationItems&quot;:[{&quot;id&quot;:&quot;8bab1326-75f0-39f0-9b3e-36845f09146e&quot;,&quot;itemData&quot;:{&quot;type&quot;:&quot;article-journal&quot;,&quot;id&quot;:&quot;8bab1326-75f0-39f0-9b3e-36845f09146e&quot;,&quot;title&quot;:&quot;The mutant selection window and antimicrobial resistance&quot;,&quot;author&quot;:[{&quot;family&quot;:&quot;Drlica&quot;,&quot;given&quot;:&quot;K.&quot;,&quot;parse-names&quot;:false,&quot;dropping-particle&quot;:&quot;&quot;,&quot;non-dropping-particle&quot;:&quot;&quot;}],&quot;container-title&quot;:&quot;Journal of Antimicrobial Chemotherapy&quot;,&quot;DOI&quot;:&quot;10.1093/jac/dkg269&quot;,&quot;ISSN&quot;:&quot;1460-2091&quot;,&quot;issued&quot;:{&quot;date-parts&quot;:[[2003,6,12]]},&quot;page&quot;:&quot;11-17&quot;,&quot;issue&quot;:&quot;1&quot;,&quot;volume&quot;:&quot;52&quot;,&quot;container-title-short&quot;:&quot;&quot;},&quot;isTemporary&quot;:false},{&quot;id&quot;:&quot;28f74d73-8add-3fb3-bec5-3c4f53a1fd20&quot;,&quot;itemData&quot;:{&quot;type&quot;:&quot;article-journal&quot;,&quot;id&quot;:&quot;28f74d73-8add-3fb3-bec5-3c4f53a1fd20&quot;,&quot;title&quot;:&quot;Pharmacokinetic/pharmacodynamic targets of ß-lactams associated with bacterial killing and suppression of the resistance emergence in the hollow fiber infection model: A systematic review&quot;,&quot;author&quot;:[{&quot;family&quot;:&quot;Baulier&quot;,&quot;given&quot;:&quot;Charles&quot;,&quot;parse-names&quot;:false,&quot;dropping-particle&quot;:&quot;&quot;,&quot;non-dropping-particle&quot;:&quot;&quot;},{&quot;family&quot;:&quot;Giry&quot;,&quot;given&quot;:&quot;Marion&quot;,&quot;parse-names&quot;:false,&quot;dropping-particle&quot;:&quot;&quot;,&quot;non-dropping-particle&quot;:&quot;&quot;},{&quot;family&quot;:&quot;Etienne&quot;,&quot;given&quot;:&quot;Manuel&quot;,&quot;parse-names&quot;:false,&quot;dropping-particle&quot;:&quot;&quot;,&quot;non-dropping-particle&quot;:&quot;&quot;},{&quot;family&quot;:&quot;Kallout&quot;,&quot;given&quot;:&quot;Julien&quot;,&quot;parse-names&quot;:false,&quot;dropping-particle&quot;:&quot;&quot;,&quot;non-dropping-particle&quot;:&quot;&quot;},{&quot;family&quot;:&quot;Alexandre&quot;,&quot;given&quot;:&quot;Kévin&quot;,&quot;parse-names&quot;:false,&quot;dropping-particle&quot;:&quot;&quot;,&quot;non-dropping-particle&quot;:&quot;&quot;}],&quot;container-title&quot;:&quot;Journal of Global Antimicrobial Resistance&quot;,&quot;container-title-short&quot;:&quot;J. Glob. Antimicrob. Resist.&quot;,&quot;DOI&quot;:&quot;10.1016/j.jgar.2025.10.009&quot;,&quot;ISSN&quot;:&quot;22137165&quot;,&quot;issued&quot;:{&quot;date-parts&quot;:[[2025,12]]},&quot;page&quot;:&quot;220-227&quot;,&quot;volume&quot;:&quot;45&quot;},&quot;isTemporary&quot;:false}]},{&quot;citationID&quot;:&quot;MENDELEY_CITATION_9a8f69ad-10a9-4f0a-aecb-831b4677e030&quot;,&quot;properties&quot;:{&quot;noteIndex&quot;:0},&quot;isEdited&quot;:false,&quot;manualOverride&quot;:{&quot;isManuallyOverridden&quot;:false,&quot;citeprocText&quot;:&quot;(10)&quot;,&quot;manualOverrideText&quot;:&quot;&quot;},&quot;citationTag&quot;:&quot;MENDELEY_CITATION_v3_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&quot;,&quot;citationItems&quot;:[{&quot;id&quot;:&quot;c7dd2c46-a2d1-3aa6-9851-261e0c962f50&quot;,&quot;itemData&quot;:{&quot;type&quot;:&quot;article-journal&quot;,&quot;id&quot;:&quot;c7dd2c46-a2d1-3aa6-9851-261e0c962f50&quot;,&quot;title&quot;:&quot;Understanding antimicrobial pharmacokinetics in critically ill patients to optimize antimicrobial therapy: A narrative review&quot;,&quot;author&quot;:[{&quot;family&quot;:&quot;Roger&quot;,&quot;given&quot;:&quot;Claire&quot;,&quot;parse-names&quot;:false,&quot;dropping-particle&quot;:&quot;&quot;,&quot;non-dropping-particle&quot;:&quot;&quot;}],&quot;container-title&quot;:&quot;Journal of Intensive Medicine&quot;,&quot;DOI&quot;:&quot;10.1016/j.jointm.2023.12.007&quot;,&quot;ISSN&quot;:&quot;2667100X&quot;,&quot;issued&quot;:{&quot;date-parts&quot;:[[2024,7]]},&quot;page&quot;:&quot;287-298&quot;,&quot;issue&quot;:&quot;3&quot;,&quot;volume&quot;:&quot;4&quot;,&quot;container-title-short&quot;:&quot;&quot;},&quot;isTemporary&quot;:false}]},{&quot;citationID&quot;:&quot;MENDELEY_CITATION_02fe54a3-2d08-4810-93b3-a7153082329c&quot;,&quot;properties&quot;:{&quot;noteIndex&quot;:0},&quot;isEdited&quot;:false,&quot;manualOverride&quot;:{&quot;isManuallyOverridden&quot;:false,&quot;citeprocText&quot;:&quot;(1)&quot;,&quot;manualOverrideText&quot;:&quot;&quot;},&quot;citationTag&quot;:&quot;MENDELEY_CITATION_v3_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&quot;,&quot;citationItems&quot;:[{&quot;id&quot;:&quot;86f2ed2a-887d-397e-a2d8-0b580a121371&quot;,&quot;itemData&quot;:{&quot;type&quot;:&quot;article-journal&quot;,&quot;id&quot;:&quot;86f2ed2a-887d-397e-a2d8-0b580a121371&quot;,&quot;title&quot;:&quot;PK/PD-Guided Strategies for Appropriate Antibiotic Use in the Era of Antimicrobial Resistance&quot;,&quot;author&quot;:[{&quot;family&quot;:&quot;Onita&quot;,&quot;given&quot;:&quot;Tetsushu&quot;,&quot;parse-names&quot;:false,&quot;dropping-particle&quot;:&quot;&quot;,&quot;non-dropping-particle&quot;:&quot;&quot;},{&quot;family&quot;:&quot;Ishihara&quot;,&quot;given&quot;:&quot;Noriyuki&quot;,&quot;parse-names&quot;:false,&quot;dropping-particle&quot;:&quot;&quot;,&quot;non-dropping-particle&quot;:&quot;&quot;},{&quot;family&quot;:&quot;Yano&quot;,&quot;given&quot;:&quot;Takahisa&quot;,&quot;parse-names&quot;:false,&quot;dropping-particle&quot;:&quot;&quot;,&quot;non-dropping-particle&quot;:&quot;&quot;}],&quot;container-title&quot;:&quot;Antibiotics&quot;,&quot;DOI&quot;:&quot;10.3390/antibiotics14010092&quot;,&quot;ISSN&quot;:&quot;2079-6382&quot;,&quot;issued&quot;:{&quot;date-parts&quot;:[[2025,1,14]]},&quot;page&quot;:&quot;92&quot;,&quot;abstract&quot;:&quot;&lt;p&gt;Antimicrobial resistance (AMR) poses a critical global health threat, necessitating the optimal use of existing antibiotics. Pharmacokinetic/pharmacodynamic (PK/PD) principles provide a scientific framework for optimizing antimicrobial therapy, particularly to respond to evolving resistance patterns. This review examines PK/PD strategies for antimicrobial dosing optimization, focusing on three key aspects. First, we discuss the importance of drug concentration management for enhancing efficacy while preventing toxicity, considering various patient populations, including pediatric and elderly patients with their unique physiological characteristics. Second, we analyze different PK modeling approaches: the classic top-down approach exemplified by population PK analysis, the bottom-up approach represented by physiologically based PK modeling, and hybrid models combining both approaches for enhanced predictive performance. Third, we explore clinical applications, including nomogram-based dosing strategies, Bayesian estimation, and emerging artificial intelligence applications, for real-time dose optimization. Critical challenges in implementing PK/PD simulation are addressed, particularly the selection of appropriate PK models, the optimization of PK/PD indices, and considerations concerning antimicrobial concentrations at infection sites. Understanding these principles and challenges is crucial for optimizing antimicrobial therapy and combating AMR through improved dosing strategies.&lt;/p&gt;&quot;,&quot;issue&quot;:&quot;1&quot;,&quot;volume&quot;:&quot;14&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69B-8355-47AE-AD64-D47A81576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13</Pages>
  <Words>4347</Words>
  <Characters>23474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3</cp:revision>
  <dcterms:created xsi:type="dcterms:W3CDTF">2026-03-15T17:42:00Z</dcterms:created>
  <dcterms:modified xsi:type="dcterms:W3CDTF">2026-03-24T04:23:00Z</dcterms:modified>
</cp:coreProperties>
</file>