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E54E3" w14:textId="77777777" w:rsidR="00307F19" w:rsidRPr="0003129B" w:rsidRDefault="00307F19" w:rsidP="00307F19">
      <w:pPr>
        <w:spacing w:after="0" w:line="360" w:lineRule="auto"/>
        <w:jc w:val="center"/>
        <w:rPr>
          <w:rFonts w:ascii="Arial" w:hAnsi="Arial" w:cs="Arial"/>
          <w:b/>
          <w:bCs/>
        </w:rPr>
      </w:pPr>
      <w:r w:rsidRPr="0003129B">
        <w:rPr>
          <w:rFonts w:ascii="Arial" w:hAnsi="Arial" w:cs="Arial"/>
          <w:b/>
          <w:bCs/>
        </w:rPr>
        <w:t>Capítulo 5 — Laboratório de Microbiologia e Interpretação do Antibiograma</w:t>
      </w:r>
    </w:p>
    <w:p w14:paraId="18EB3473" w14:textId="77777777" w:rsidR="00307F19" w:rsidRPr="0003129B" w:rsidRDefault="00307F19" w:rsidP="00307F19">
      <w:pPr>
        <w:spacing w:after="0" w:line="360" w:lineRule="auto"/>
        <w:jc w:val="right"/>
        <w:rPr>
          <w:rFonts w:ascii="Arial" w:hAnsi="Arial" w:cs="Arial"/>
        </w:rPr>
      </w:pPr>
    </w:p>
    <w:p w14:paraId="1247EB29" w14:textId="49CD7239" w:rsidR="00307F19" w:rsidRPr="0003129B" w:rsidRDefault="00307F19" w:rsidP="00307F19">
      <w:pPr>
        <w:spacing w:after="0" w:line="360" w:lineRule="auto"/>
        <w:jc w:val="right"/>
        <w:rPr>
          <w:rFonts w:ascii="Arial" w:hAnsi="Arial" w:cs="Arial"/>
        </w:rPr>
      </w:pPr>
      <w:r w:rsidRPr="0003129B">
        <w:rPr>
          <w:rFonts w:ascii="Arial" w:hAnsi="Arial" w:cs="Arial"/>
        </w:rPr>
        <w:t>Página 3</w:t>
      </w:r>
      <w:r w:rsidR="00772CDC">
        <w:rPr>
          <w:rFonts w:ascii="Arial" w:hAnsi="Arial" w:cs="Arial"/>
        </w:rPr>
        <w:t>9</w:t>
      </w:r>
    </w:p>
    <w:p w14:paraId="6C152D07" w14:textId="77777777" w:rsidR="00307F19" w:rsidRPr="0003129B" w:rsidRDefault="00307F19" w:rsidP="00307F19">
      <w:pPr>
        <w:spacing w:after="0" w:line="360" w:lineRule="auto"/>
        <w:jc w:val="both"/>
        <w:rPr>
          <w:rFonts w:ascii="Arial" w:hAnsi="Arial" w:cs="Arial"/>
          <w:b/>
          <w:bCs/>
        </w:rPr>
      </w:pPr>
      <w:r>
        <w:rPr>
          <w:rFonts w:ascii="Arial" w:hAnsi="Arial" w:cs="Arial"/>
          <w:b/>
          <w:bCs/>
        </w:rPr>
        <w:t>O Laboratório de Microbiologia</w:t>
      </w:r>
    </w:p>
    <w:p w14:paraId="036D5B09" w14:textId="77777777" w:rsidR="00307F19" w:rsidRDefault="00307F19" w:rsidP="00307F19">
      <w:pPr>
        <w:spacing w:after="0" w:line="360" w:lineRule="auto"/>
        <w:ind w:firstLine="708"/>
        <w:jc w:val="both"/>
        <w:rPr>
          <w:rFonts w:ascii="Arial" w:hAnsi="Arial" w:cs="Arial"/>
        </w:rPr>
      </w:pPr>
    </w:p>
    <w:p w14:paraId="154A148E" w14:textId="6064A0C3" w:rsidR="00307F19" w:rsidRPr="00EE55D6" w:rsidRDefault="00307F19" w:rsidP="00307F19">
      <w:pPr>
        <w:spacing w:after="0" w:line="360" w:lineRule="auto"/>
        <w:ind w:firstLine="708"/>
        <w:jc w:val="both"/>
        <w:rPr>
          <w:rFonts w:ascii="Arial" w:hAnsi="Arial" w:cs="Arial"/>
        </w:rPr>
      </w:pPr>
      <w:r w:rsidRPr="00EE55D6">
        <w:rPr>
          <w:rFonts w:ascii="Arial" w:hAnsi="Arial" w:cs="Arial"/>
        </w:rPr>
        <w:t>O resultado microbiológico não corresponde a uma prescrição terapêutica. Ele representa a síntese de um processo técnico padronizado que envolve coleta adequada da amostra, processamento laboratorial, identificação do microrganismo e avaliação da suscetibilidade aos antibacterianos</w:t>
      </w:r>
      <w:r>
        <w:rPr>
          <w:rFonts w:ascii="Arial" w:hAnsi="Arial" w:cs="Arial"/>
        </w:rPr>
        <w:t xml:space="preserve"> </w:t>
      </w:r>
      <w:sdt>
        <w:sdtPr>
          <w:rPr>
            <w:rFonts w:ascii="Arial" w:hAnsi="Arial" w:cs="Arial"/>
            <w:color w:val="000000"/>
          </w:rPr>
          <w:tag w:val="MENDELEY_CITATION_v3_eyJjaXRhdGlvbklEIjoiTUVOREVMRVlfQ0lUQVRJT05fMGJhODc5MzgtYjM2Zi00YjNhLTkwMzMtNjI0YWZhMGEyN2Y0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
          <w:id w:val="-375238727"/>
          <w:placeholder>
            <w:docPart w:val="82205BD79BD447E18C2DB4CBDA176150"/>
          </w:placeholder>
        </w:sdtPr>
        <w:sdtEndPr/>
        <w:sdtContent>
          <w:r w:rsidR="006845EC" w:rsidRPr="006845EC">
            <w:rPr>
              <w:rFonts w:ascii="Arial" w:hAnsi="Arial" w:cs="Arial"/>
              <w:color w:val="000000"/>
            </w:rPr>
            <w:t>(1)</w:t>
          </w:r>
        </w:sdtContent>
      </w:sdt>
      <w:r>
        <w:rPr>
          <w:rFonts w:ascii="Arial" w:hAnsi="Arial" w:cs="Arial"/>
          <w:color w:val="000000"/>
        </w:rPr>
        <w:t>.</w:t>
      </w:r>
    </w:p>
    <w:p w14:paraId="56034C79" w14:textId="323CFFBC" w:rsidR="00307F19" w:rsidRPr="00EE55D6" w:rsidRDefault="00307F19" w:rsidP="00307F19">
      <w:pPr>
        <w:spacing w:after="0" w:line="360" w:lineRule="auto"/>
        <w:jc w:val="both"/>
        <w:rPr>
          <w:rFonts w:ascii="Arial" w:hAnsi="Arial" w:cs="Arial"/>
        </w:rPr>
      </w:pPr>
      <w:r>
        <w:rPr>
          <w:rFonts w:ascii="Arial" w:hAnsi="Arial" w:cs="Arial"/>
        </w:rPr>
        <w:tab/>
      </w:r>
      <w:r w:rsidRPr="00EE55D6">
        <w:rPr>
          <w:rFonts w:ascii="Arial" w:hAnsi="Arial" w:cs="Arial"/>
        </w:rPr>
        <w:t>Cada uma dessas etapas segue protocolos metodológicos definidos por normas técnicas que buscam garantir reprodutibilidade e comparabilidade dos resultados entre diferentes laboratórios. O dado liberado no laudo expressa, portanto, o comportamento do microrganismo frente a determinados antibacterianos em condições laboratoriais controladas</w:t>
      </w:r>
      <w:r>
        <w:rPr>
          <w:rFonts w:ascii="Arial" w:hAnsi="Arial" w:cs="Arial"/>
        </w:rPr>
        <w:t xml:space="preserve"> </w:t>
      </w:r>
      <w:sdt>
        <w:sdtPr>
          <w:rPr>
            <w:rFonts w:ascii="Arial" w:hAnsi="Arial" w:cs="Arial"/>
            <w:color w:val="000000"/>
          </w:rPr>
          <w:tag w:val="MENDELEY_CITATION_v3_eyJjaXRhdGlvbklEIjoiTUVOREVMRVlfQ0lUQVRJT05fZDJiYTE5Y2ItMWJhMi00MTMyLWI0NGMtODg5NzUxNzFmNDUz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
          <w:id w:val="1995366944"/>
          <w:placeholder>
            <w:docPart w:val="82205BD79BD447E18C2DB4CBDA176150"/>
          </w:placeholder>
        </w:sdtPr>
        <w:sdtEndPr/>
        <w:sdtContent>
          <w:r w:rsidR="006845EC" w:rsidRPr="006845EC">
            <w:rPr>
              <w:rFonts w:ascii="Arial" w:hAnsi="Arial" w:cs="Arial"/>
              <w:color w:val="000000"/>
            </w:rPr>
            <w:t>(1)</w:t>
          </w:r>
        </w:sdtContent>
      </w:sdt>
      <w:r>
        <w:rPr>
          <w:rFonts w:ascii="Arial" w:hAnsi="Arial" w:cs="Arial"/>
        </w:rPr>
        <w:t>.</w:t>
      </w:r>
    </w:p>
    <w:p w14:paraId="5799A355" w14:textId="7F9B4502" w:rsidR="00307F19" w:rsidRPr="00EE55D6" w:rsidRDefault="00307F19" w:rsidP="00307F19">
      <w:pPr>
        <w:spacing w:after="0" w:line="360" w:lineRule="auto"/>
        <w:jc w:val="both"/>
        <w:rPr>
          <w:rFonts w:ascii="Arial" w:hAnsi="Arial" w:cs="Arial"/>
        </w:rPr>
      </w:pPr>
      <w:r>
        <w:rPr>
          <w:rFonts w:ascii="Arial" w:hAnsi="Arial" w:cs="Arial"/>
        </w:rPr>
        <w:tab/>
      </w:r>
      <w:r w:rsidRPr="001A0E09">
        <w:rPr>
          <w:rFonts w:ascii="Arial" w:hAnsi="Arial" w:cs="Arial"/>
        </w:rPr>
        <w:t>Essas condições incluem padronização do inóculo bacteriano</w:t>
      </w:r>
      <w:r w:rsidRPr="00EE55D6">
        <w:rPr>
          <w:rFonts w:ascii="Arial" w:hAnsi="Arial" w:cs="Arial"/>
        </w:rPr>
        <w:t>, composição do meio de cultura, temperatura de incubação, tempo de crescimento e critérios interpretativos estabelecidos por comitês técnicos. O objetivo é reduzir variáveis experimentais e permitir que os resultados obtidos sejam interpretados de forma consistente</w:t>
      </w:r>
      <w:r>
        <w:rPr>
          <w:rFonts w:ascii="Arial" w:hAnsi="Arial" w:cs="Arial"/>
        </w:rPr>
        <w:t xml:space="preserve"> </w:t>
      </w:r>
      <w:sdt>
        <w:sdtPr>
          <w:rPr>
            <w:rFonts w:ascii="Arial" w:hAnsi="Arial" w:cs="Arial"/>
            <w:color w:val="000000"/>
          </w:rPr>
          <w:tag w:val="MENDELEY_CITATION_v3_eyJjaXRhdGlvbklEIjoiTUVOREVMRVlfQ0lUQVRJT05fM2RkMTUwYTctZDY3YS00YjgyLWI0ZGMtZjBhOTY0MmRhOGM2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
          <w:id w:val="-1475445535"/>
          <w:placeholder>
            <w:docPart w:val="82205BD79BD447E18C2DB4CBDA176150"/>
          </w:placeholder>
        </w:sdtPr>
        <w:sdtEndPr/>
        <w:sdtContent>
          <w:r w:rsidR="006845EC" w:rsidRPr="006845EC">
            <w:rPr>
              <w:rFonts w:ascii="Arial" w:hAnsi="Arial" w:cs="Arial"/>
              <w:color w:val="000000"/>
            </w:rPr>
            <w:t>(1)</w:t>
          </w:r>
        </w:sdtContent>
      </w:sdt>
      <w:r w:rsidRPr="00EE55D6">
        <w:rPr>
          <w:rFonts w:ascii="Arial" w:hAnsi="Arial" w:cs="Arial"/>
        </w:rPr>
        <w:t>.</w:t>
      </w:r>
    </w:p>
    <w:p w14:paraId="3C1BEADE" w14:textId="77777777" w:rsidR="00307F19" w:rsidRPr="00EE55D6" w:rsidRDefault="00307F19" w:rsidP="00307F19">
      <w:pPr>
        <w:spacing w:after="0" w:line="360" w:lineRule="auto"/>
        <w:jc w:val="both"/>
        <w:rPr>
          <w:rFonts w:ascii="Arial" w:hAnsi="Arial" w:cs="Arial"/>
        </w:rPr>
      </w:pPr>
      <w:r>
        <w:rPr>
          <w:rFonts w:ascii="Arial" w:hAnsi="Arial" w:cs="Arial"/>
        </w:rPr>
        <w:tab/>
      </w:r>
      <w:r w:rsidRPr="00EE55D6">
        <w:rPr>
          <w:rFonts w:ascii="Arial" w:hAnsi="Arial" w:cs="Arial"/>
        </w:rPr>
        <w:t>O laudo microbiológico normalmente integra três níveis principais de informação.</w:t>
      </w:r>
    </w:p>
    <w:p w14:paraId="160E0B36" w14:textId="77777777" w:rsidR="00307F19" w:rsidRPr="00EE55D6" w:rsidRDefault="00307F19" w:rsidP="00307F19">
      <w:pPr>
        <w:spacing w:after="0" w:line="360" w:lineRule="auto"/>
        <w:jc w:val="both"/>
        <w:rPr>
          <w:rFonts w:ascii="Arial" w:hAnsi="Arial" w:cs="Arial"/>
        </w:rPr>
      </w:pPr>
    </w:p>
    <w:p w14:paraId="33D0D1D0" w14:textId="77777777" w:rsidR="00307F19" w:rsidRPr="00EE55D6" w:rsidRDefault="00307F19" w:rsidP="00307F19">
      <w:pPr>
        <w:spacing w:after="0" w:line="360" w:lineRule="auto"/>
        <w:jc w:val="both"/>
        <w:rPr>
          <w:rFonts w:ascii="Arial" w:hAnsi="Arial" w:cs="Arial"/>
        </w:rPr>
      </w:pPr>
      <w:r w:rsidRPr="00EE55D6">
        <w:rPr>
          <w:rFonts w:ascii="Arial" w:hAnsi="Arial" w:cs="Arial"/>
        </w:rPr>
        <w:t>1. Informação morfológica inicial</w:t>
      </w:r>
    </w:p>
    <w:p w14:paraId="6D0DDF11" w14:textId="77777777" w:rsidR="00307F19" w:rsidRPr="00EE55D6" w:rsidRDefault="00307F19" w:rsidP="00307F19">
      <w:pPr>
        <w:spacing w:after="0" w:line="360" w:lineRule="auto"/>
        <w:jc w:val="both"/>
        <w:rPr>
          <w:rFonts w:ascii="Arial" w:hAnsi="Arial" w:cs="Arial"/>
        </w:rPr>
      </w:pPr>
      <w:r w:rsidRPr="00EE55D6">
        <w:rPr>
          <w:rFonts w:ascii="Arial" w:hAnsi="Arial" w:cs="Arial"/>
        </w:rPr>
        <w:t xml:space="preserve">Frequentemente obtida por </w:t>
      </w:r>
      <w:proofErr w:type="spellStart"/>
      <w:r w:rsidRPr="00EE55D6">
        <w:rPr>
          <w:rFonts w:ascii="Arial" w:hAnsi="Arial" w:cs="Arial"/>
        </w:rPr>
        <w:t>bacterioscopia</w:t>
      </w:r>
      <w:proofErr w:type="spellEnd"/>
      <w:r w:rsidRPr="00EE55D6">
        <w:rPr>
          <w:rFonts w:ascii="Arial" w:hAnsi="Arial" w:cs="Arial"/>
        </w:rPr>
        <w:t xml:space="preserve"> e coloração de Gram, fornece dados preliminares sobre a estrutura bacteriana, como morfologia e arranjo celular.</w:t>
      </w:r>
    </w:p>
    <w:p w14:paraId="48338C75" w14:textId="77777777" w:rsidR="00307F19" w:rsidRPr="00EE55D6" w:rsidRDefault="00307F19" w:rsidP="00307F19">
      <w:pPr>
        <w:spacing w:after="0" w:line="360" w:lineRule="auto"/>
        <w:jc w:val="both"/>
        <w:rPr>
          <w:rFonts w:ascii="Arial" w:hAnsi="Arial" w:cs="Arial"/>
        </w:rPr>
      </w:pPr>
      <w:r w:rsidRPr="00EE55D6">
        <w:rPr>
          <w:rFonts w:ascii="Arial" w:hAnsi="Arial" w:cs="Arial"/>
        </w:rPr>
        <w:t>2. Identificação do microrganismo</w:t>
      </w:r>
    </w:p>
    <w:p w14:paraId="7CA032F3" w14:textId="77777777" w:rsidR="00307F19" w:rsidRPr="00EE55D6" w:rsidRDefault="00307F19" w:rsidP="00307F19">
      <w:pPr>
        <w:spacing w:after="0" w:line="360" w:lineRule="auto"/>
        <w:jc w:val="both"/>
        <w:rPr>
          <w:rFonts w:ascii="Arial" w:hAnsi="Arial" w:cs="Arial"/>
        </w:rPr>
      </w:pPr>
      <w:r w:rsidRPr="00EE55D6">
        <w:rPr>
          <w:rFonts w:ascii="Arial" w:hAnsi="Arial" w:cs="Arial"/>
        </w:rPr>
        <w:t>Define a espécie ou grupo bacteriano isolado a partir de métodos fenotípicos, automatizados ou baseados em espectrometria de massa.</w:t>
      </w:r>
    </w:p>
    <w:p w14:paraId="28CF9B4D" w14:textId="77777777" w:rsidR="00307F19" w:rsidRPr="00EE55D6" w:rsidRDefault="00307F19" w:rsidP="00307F19">
      <w:pPr>
        <w:spacing w:after="0" w:line="360" w:lineRule="auto"/>
        <w:jc w:val="both"/>
        <w:rPr>
          <w:rFonts w:ascii="Arial" w:hAnsi="Arial" w:cs="Arial"/>
        </w:rPr>
      </w:pPr>
      <w:r w:rsidRPr="00EE55D6">
        <w:rPr>
          <w:rFonts w:ascii="Arial" w:hAnsi="Arial" w:cs="Arial"/>
        </w:rPr>
        <w:t>3. Perfil de suscetibilidade antimicrobiana</w:t>
      </w:r>
    </w:p>
    <w:p w14:paraId="3F8598BD" w14:textId="77777777" w:rsidR="00307F19" w:rsidRPr="00EE55D6" w:rsidRDefault="00307F19" w:rsidP="00307F19">
      <w:pPr>
        <w:spacing w:after="0" w:line="360" w:lineRule="auto"/>
        <w:jc w:val="both"/>
        <w:rPr>
          <w:rFonts w:ascii="Arial" w:hAnsi="Arial" w:cs="Arial"/>
        </w:rPr>
      </w:pPr>
      <w:r w:rsidRPr="00EE55D6">
        <w:rPr>
          <w:rFonts w:ascii="Arial" w:hAnsi="Arial" w:cs="Arial"/>
        </w:rPr>
        <w:t>Resulta dos testes de sensibilidade, nos quais a bactéria é exposta a concentrações conhecidas de antibacterianos em ambiente laboratorial padronizado. O resultado é expresso por categorias interpretativas ou, em alguns casos, por valores quantitativos de concentração inibitória mínima.</w:t>
      </w:r>
    </w:p>
    <w:p w14:paraId="0341543E" w14:textId="77777777" w:rsidR="00307F19" w:rsidRPr="00EE55D6" w:rsidRDefault="00307F19" w:rsidP="00307F19">
      <w:pPr>
        <w:spacing w:after="0" w:line="360" w:lineRule="auto"/>
        <w:jc w:val="both"/>
        <w:rPr>
          <w:rFonts w:ascii="Arial" w:hAnsi="Arial" w:cs="Arial"/>
        </w:rPr>
      </w:pPr>
    </w:p>
    <w:p w14:paraId="7C49903B" w14:textId="77777777" w:rsidR="00307F19" w:rsidRPr="00EE55D6" w:rsidRDefault="00307F19" w:rsidP="00307F19">
      <w:pPr>
        <w:spacing w:after="0" w:line="360" w:lineRule="auto"/>
        <w:ind w:firstLine="708"/>
        <w:jc w:val="both"/>
        <w:rPr>
          <w:rFonts w:ascii="Arial" w:hAnsi="Arial" w:cs="Arial"/>
        </w:rPr>
      </w:pPr>
      <w:r w:rsidRPr="00EE55D6">
        <w:rPr>
          <w:rFonts w:ascii="Arial" w:hAnsi="Arial" w:cs="Arial"/>
        </w:rPr>
        <w:t xml:space="preserve">Esses três componentes não possuem o mesmo significado interpretativo. A </w:t>
      </w:r>
      <w:proofErr w:type="spellStart"/>
      <w:r w:rsidRPr="00EE55D6">
        <w:rPr>
          <w:rFonts w:ascii="Arial" w:hAnsi="Arial" w:cs="Arial"/>
        </w:rPr>
        <w:t>bacterioscopia</w:t>
      </w:r>
      <w:proofErr w:type="spellEnd"/>
      <w:r w:rsidRPr="00EE55D6">
        <w:rPr>
          <w:rFonts w:ascii="Arial" w:hAnsi="Arial" w:cs="Arial"/>
        </w:rPr>
        <w:t xml:space="preserve"> oferece orientação inicial sobre o tipo de microrganismo presente. A identificação define o agente isolado. O teste de sensibilidade estima a probabilidade de inibição bacteriana nas condições experimentais do ensaio.</w:t>
      </w:r>
    </w:p>
    <w:p w14:paraId="2D2F331B" w14:textId="785B50D8" w:rsidR="00307F19" w:rsidRPr="00EE55D6" w:rsidRDefault="00307F19" w:rsidP="00307F19">
      <w:pPr>
        <w:spacing w:after="0" w:line="360" w:lineRule="auto"/>
        <w:jc w:val="both"/>
        <w:rPr>
          <w:rFonts w:ascii="Arial" w:hAnsi="Arial" w:cs="Arial"/>
        </w:rPr>
      </w:pPr>
      <w:r>
        <w:rPr>
          <w:rFonts w:ascii="Arial" w:hAnsi="Arial" w:cs="Arial"/>
        </w:rPr>
        <w:lastRenderedPageBreak/>
        <w:tab/>
      </w:r>
      <w:r w:rsidRPr="00EE55D6">
        <w:rPr>
          <w:rFonts w:ascii="Arial" w:hAnsi="Arial" w:cs="Arial"/>
        </w:rPr>
        <w:t>A confiabilidade do resultado depende do cumprimento rigoroso dos procedimentos técnicos e dos controles de qualidade aplicados ao processo laboratorial. Ainda assim, o resultado representa uma estimativa microbiológica obtida in vitro. Elementos clínicos relevantes, como perfusão tecidual, presença de biofilme, estado imunológico do paciente e características farmacocinéticas da droga, não fazem parte das condições do teste</w:t>
      </w:r>
      <w:r>
        <w:rPr>
          <w:rFonts w:ascii="Arial" w:hAnsi="Arial" w:cs="Arial"/>
        </w:rPr>
        <w:t xml:space="preserve"> </w:t>
      </w:r>
      <w:sdt>
        <w:sdtPr>
          <w:rPr>
            <w:rFonts w:ascii="Arial" w:hAnsi="Arial" w:cs="Arial"/>
            <w:color w:val="000000"/>
          </w:rPr>
          <w:tag w:val="MENDELEY_CITATION_v3_eyJjaXRhdGlvbklEIjoiTUVOREVMRVlfQ0lUQVRJT05fMjBmZjE5NmQtN2VhNS00MmU2LThjNTUtNGIzMmUyMmQ5MzE4IiwicHJvcGVydGllcyI6eyJub3RlSW5kZXgiOjB9LCJpc0VkaXRlZCI6ZmFsc2UsIm1hbnVhbE92ZXJyaWRlIjp7ImlzTWFudWFsbHlPdmVycmlkZGVuIjpmYWxzZSwiY2l0ZXByb2NUZXh0IjoiKDI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
          <w:id w:val="-1266915980"/>
          <w:placeholder>
            <w:docPart w:val="82205BD79BD447E18C2DB4CBDA176150"/>
          </w:placeholder>
        </w:sdtPr>
        <w:sdtEndPr/>
        <w:sdtContent>
          <w:r w:rsidR="006845EC" w:rsidRPr="006845EC">
            <w:rPr>
              <w:rFonts w:ascii="Arial" w:hAnsi="Arial" w:cs="Arial"/>
              <w:color w:val="000000"/>
            </w:rPr>
            <w:t>(2)</w:t>
          </w:r>
        </w:sdtContent>
      </w:sdt>
      <w:r w:rsidRPr="00EE55D6">
        <w:rPr>
          <w:rFonts w:ascii="Arial" w:hAnsi="Arial" w:cs="Arial"/>
        </w:rPr>
        <w:t>.</w:t>
      </w:r>
    </w:p>
    <w:p w14:paraId="06C84D2E" w14:textId="77777777" w:rsidR="00307F19" w:rsidRDefault="00307F19" w:rsidP="00307F19">
      <w:pPr>
        <w:spacing w:after="0" w:line="360" w:lineRule="auto"/>
        <w:jc w:val="both"/>
        <w:rPr>
          <w:rFonts w:ascii="Arial" w:hAnsi="Arial" w:cs="Arial"/>
        </w:rPr>
      </w:pPr>
      <w:r>
        <w:rPr>
          <w:rFonts w:ascii="Arial" w:hAnsi="Arial" w:cs="Arial"/>
        </w:rPr>
        <w:tab/>
      </w:r>
      <w:r w:rsidRPr="00EE55D6">
        <w:rPr>
          <w:rFonts w:ascii="Arial" w:hAnsi="Arial" w:cs="Arial"/>
        </w:rPr>
        <w:t>Por essa razão, o laudo microbiológico deve ser interpretado como uma ferramenta técnica que informa o comportamento do microrganismo no ambiente experimental. A decisão terapêutica depende da integração desse dado com o contexto clínico em que a infecção ocorre.</w:t>
      </w:r>
    </w:p>
    <w:p w14:paraId="4D45A44B" w14:textId="77777777" w:rsidR="00307F19" w:rsidRPr="00EE55D6" w:rsidRDefault="00307F19" w:rsidP="00307F19">
      <w:pPr>
        <w:spacing w:after="0" w:line="360" w:lineRule="auto"/>
        <w:jc w:val="both"/>
        <w:rPr>
          <w:rFonts w:ascii="Arial" w:hAnsi="Arial" w:cs="Arial"/>
        </w:rPr>
      </w:pPr>
    </w:p>
    <w:p w14:paraId="03BCAF23" w14:textId="669E8F68" w:rsidR="00307F19" w:rsidRPr="0003129B" w:rsidRDefault="00307F19" w:rsidP="00307F19">
      <w:pPr>
        <w:spacing w:after="0" w:line="360" w:lineRule="auto"/>
        <w:jc w:val="right"/>
        <w:rPr>
          <w:rFonts w:ascii="Arial" w:hAnsi="Arial" w:cs="Arial"/>
        </w:rPr>
      </w:pPr>
      <w:r>
        <w:rPr>
          <w:rFonts w:ascii="Arial" w:hAnsi="Arial" w:cs="Arial"/>
        </w:rPr>
        <w:tab/>
      </w:r>
      <w:r w:rsidRPr="0003129B">
        <w:rPr>
          <w:rFonts w:ascii="Arial" w:hAnsi="Arial" w:cs="Arial"/>
        </w:rPr>
        <w:t xml:space="preserve">Página </w:t>
      </w:r>
      <w:r w:rsidR="00772CDC">
        <w:rPr>
          <w:rFonts w:ascii="Arial" w:hAnsi="Arial" w:cs="Arial"/>
        </w:rPr>
        <w:t>40</w:t>
      </w:r>
      <w:r w:rsidR="00A53F43">
        <w:rPr>
          <w:rFonts w:ascii="Arial" w:hAnsi="Arial" w:cs="Arial"/>
        </w:rPr>
        <w:t>/41/42</w:t>
      </w:r>
    </w:p>
    <w:p w14:paraId="789775AD" w14:textId="77777777" w:rsidR="00307F19" w:rsidRPr="00EE55D6" w:rsidRDefault="00307F19" w:rsidP="00307F19">
      <w:pPr>
        <w:spacing w:after="0" w:line="360" w:lineRule="auto"/>
        <w:jc w:val="both"/>
        <w:rPr>
          <w:rFonts w:ascii="Arial" w:hAnsi="Arial" w:cs="Arial"/>
          <w:b/>
          <w:bCs/>
        </w:rPr>
      </w:pPr>
      <w:proofErr w:type="spellStart"/>
      <w:r w:rsidRPr="00EE55D6">
        <w:rPr>
          <w:rFonts w:ascii="Arial" w:hAnsi="Arial" w:cs="Arial"/>
          <w:b/>
          <w:bCs/>
        </w:rPr>
        <w:t>Bacterioscopia</w:t>
      </w:r>
      <w:proofErr w:type="spellEnd"/>
      <w:r w:rsidRPr="00EE55D6">
        <w:rPr>
          <w:rFonts w:ascii="Arial" w:hAnsi="Arial" w:cs="Arial"/>
          <w:b/>
          <w:bCs/>
        </w:rPr>
        <w:t xml:space="preserve"> e coloração de Gram</w:t>
      </w:r>
    </w:p>
    <w:p w14:paraId="658A753E" w14:textId="77777777" w:rsidR="00307F19" w:rsidRPr="00EE55D6" w:rsidRDefault="00307F19" w:rsidP="00307F19">
      <w:pPr>
        <w:spacing w:after="0" w:line="360" w:lineRule="auto"/>
        <w:jc w:val="both"/>
        <w:rPr>
          <w:rFonts w:ascii="Arial" w:hAnsi="Arial" w:cs="Arial"/>
        </w:rPr>
      </w:pPr>
    </w:p>
    <w:p w14:paraId="0BC0AE0F" w14:textId="4C93CDDD" w:rsidR="00307F19" w:rsidRPr="00EE55D6" w:rsidRDefault="00307F19" w:rsidP="00307F19">
      <w:pPr>
        <w:spacing w:after="0" w:line="360" w:lineRule="auto"/>
        <w:ind w:firstLine="708"/>
        <w:jc w:val="both"/>
        <w:rPr>
          <w:rFonts w:ascii="Arial" w:hAnsi="Arial" w:cs="Arial"/>
        </w:rPr>
      </w:pPr>
      <w:r w:rsidRPr="00EE55D6">
        <w:rPr>
          <w:rFonts w:ascii="Arial" w:hAnsi="Arial" w:cs="Arial"/>
        </w:rPr>
        <w:t xml:space="preserve">A </w:t>
      </w:r>
      <w:proofErr w:type="spellStart"/>
      <w:r w:rsidRPr="00EE55D6">
        <w:rPr>
          <w:rFonts w:ascii="Arial" w:hAnsi="Arial" w:cs="Arial"/>
        </w:rPr>
        <w:t>bacterioscopia</w:t>
      </w:r>
      <w:proofErr w:type="spellEnd"/>
      <w:r w:rsidRPr="00EE55D6">
        <w:rPr>
          <w:rFonts w:ascii="Arial" w:hAnsi="Arial" w:cs="Arial"/>
        </w:rPr>
        <w:t xml:space="preserve"> costuma ser o primeiro dado microbiológico disponível durante a investigação de uma infecção bacteriana. O exame consiste na observação direta do material clínico ao microscópio após coloração adequada, permitindo identificar características estruturais básicas das bactérias presentes na amostra</w:t>
      </w:r>
      <w:r>
        <w:rPr>
          <w:rFonts w:ascii="Arial" w:hAnsi="Arial" w:cs="Arial"/>
        </w:rPr>
        <w:t xml:space="preserve"> </w:t>
      </w:r>
      <w:sdt>
        <w:sdtPr>
          <w:rPr>
            <w:rFonts w:ascii="Arial" w:hAnsi="Arial" w:cs="Arial"/>
            <w:color w:val="000000"/>
          </w:rPr>
          <w:tag w:val="MENDELEY_CITATION_v3_eyJjaXRhdGlvbklEIjoiTUVOREVMRVlfQ0lUQVRJT05fYWNhNWIyZDItNmYyOC00OGZmLWFhNzQtN2E5ZTcwZDU4ZTk1IiwicHJvcGVydGllcyI6eyJub3RlSW5kZXgiOjB9LCJpc0VkaXRlZCI6ZmFsc2UsIm1hbnVhbE92ZXJyaWRlIjp7ImlzTWFudWFsbHlPdmVycmlkZGVuIjpmYWxzZSwiY2l0ZXByb2NUZXh0IjoiKDM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
          <w:id w:val="-1635863536"/>
          <w:placeholder>
            <w:docPart w:val="82205BD79BD447E18C2DB4CBDA176150"/>
          </w:placeholder>
        </w:sdtPr>
        <w:sdtEndPr/>
        <w:sdtContent>
          <w:r w:rsidR="006845EC" w:rsidRPr="006845EC">
            <w:rPr>
              <w:rFonts w:ascii="Arial" w:hAnsi="Arial" w:cs="Arial"/>
              <w:color w:val="000000"/>
            </w:rPr>
            <w:t>(3)</w:t>
          </w:r>
        </w:sdtContent>
      </w:sdt>
      <w:r w:rsidRPr="00EE55D6">
        <w:rPr>
          <w:rFonts w:ascii="Arial" w:hAnsi="Arial" w:cs="Arial"/>
        </w:rPr>
        <w:t>.</w:t>
      </w:r>
    </w:p>
    <w:p w14:paraId="79E22374" w14:textId="61D47CFD" w:rsidR="00307F19" w:rsidRPr="00EE55D6" w:rsidRDefault="00307F19" w:rsidP="00307F19">
      <w:pPr>
        <w:spacing w:after="0" w:line="360" w:lineRule="auto"/>
        <w:ind w:firstLine="708"/>
        <w:jc w:val="both"/>
        <w:rPr>
          <w:rFonts w:ascii="Arial" w:hAnsi="Arial" w:cs="Arial"/>
        </w:rPr>
      </w:pPr>
      <w:r w:rsidRPr="00EE55D6">
        <w:rPr>
          <w:rFonts w:ascii="Arial" w:hAnsi="Arial" w:cs="Arial"/>
        </w:rPr>
        <w:t xml:space="preserve">Entre os métodos de coloração utilizados na rotina laboratorial, a coloração de Gram é a técnica mais empregada. Seu princípio baseia-se na diferença estrutural da parede celular bacteriana, particularmente na espessura da camada de </w:t>
      </w:r>
      <w:proofErr w:type="spellStart"/>
      <w:r w:rsidRPr="00EE55D6">
        <w:rPr>
          <w:rFonts w:ascii="Arial" w:hAnsi="Arial" w:cs="Arial"/>
        </w:rPr>
        <w:t>peptidoglicano</w:t>
      </w:r>
      <w:proofErr w:type="spellEnd"/>
      <w:r w:rsidRPr="00EE55D6">
        <w:rPr>
          <w:rFonts w:ascii="Arial" w:hAnsi="Arial" w:cs="Arial"/>
        </w:rPr>
        <w:t xml:space="preserve"> e na presença ou ausência de membrana externa. Essas diferenças determinam a retenção ou perda do corante durante o processo de descoloração</w:t>
      </w:r>
      <w:r>
        <w:rPr>
          <w:rFonts w:ascii="Arial" w:hAnsi="Arial" w:cs="Arial"/>
        </w:rPr>
        <w:t xml:space="preserve"> </w:t>
      </w:r>
      <w:sdt>
        <w:sdtPr>
          <w:rPr>
            <w:rFonts w:ascii="Arial" w:hAnsi="Arial" w:cs="Arial"/>
            <w:color w:val="000000"/>
          </w:rPr>
          <w:tag w:val="MENDELEY_CITATION_v3_eyJjaXRhdGlvbklEIjoiTUVOREVMRVlfQ0lUQVRJT05fYTkyYmQ1ODQtMWQ4MC00ZWM3LWJjZmMtMmE5MzE0ZDE2MmQyIiwicHJvcGVydGllcyI6eyJub3RlSW5kZXgiOjB9LCJpc0VkaXRlZCI6ZmFsc2UsIm1hbnVhbE92ZXJyaWRlIjp7ImlzTWFudWFsbHlPdmVycmlkZGVuIjpmYWxzZSwiY2l0ZXByb2NUZXh0IjoiKDM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
          <w:id w:val="534621101"/>
          <w:placeholder>
            <w:docPart w:val="82205BD79BD447E18C2DB4CBDA176150"/>
          </w:placeholder>
        </w:sdtPr>
        <w:sdtEndPr/>
        <w:sdtContent>
          <w:r w:rsidR="006845EC" w:rsidRPr="006845EC">
            <w:rPr>
              <w:rFonts w:ascii="Arial" w:hAnsi="Arial" w:cs="Arial"/>
              <w:color w:val="000000"/>
            </w:rPr>
            <w:t>(3)</w:t>
          </w:r>
        </w:sdtContent>
      </w:sdt>
      <w:r w:rsidRPr="00EE55D6">
        <w:rPr>
          <w:rFonts w:ascii="Arial" w:hAnsi="Arial" w:cs="Arial"/>
        </w:rPr>
        <w:t>.</w:t>
      </w:r>
    </w:p>
    <w:p w14:paraId="73770735" w14:textId="77777777" w:rsidR="00307F19" w:rsidRPr="00EE55D6" w:rsidRDefault="00307F19" w:rsidP="00307F19">
      <w:pPr>
        <w:spacing w:after="0" w:line="360" w:lineRule="auto"/>
        <w:ind w:firstLine="708"/>
        <w:jc w:val="both"/>
        <w:rPr>
          <w:rFonts w:ascii="Arial" w:hAnsi="Arial" w:cs="Arial"/>
        </w:rPr>
      </w:pPr>
      <w:r w:rsidRPr="00EE55D6">
        <w:rPr>
          <w:rFonts w:ascii="Arial" w:hAnsi="Arial" w:cs="Arial"/>
        </w:rPr>
        <w:t xml:space="preserve">O procedimento técnico segue uma sequência padronizada. Inicialmente, o material é distribuído em uma lâmina de vidro e fixado, geralmente por calor, para preservar a morfologia bacteriana e promover aderência celular. Em seguida, aplica-se o corante primário (cristal violeta), que penetra nas células bacterianas. A adição do </w:t>
      </w:r>
      <w:proofErr w:type="spellStart"/>
      <w:r w:rsidRPr="00EE55D6">
        <w:rPr>
          <w:rFonts w:ascii="Arial" w:hAnsi="Arial" w:cs="Arial"/>
        </w:rPr>
        <w:t>lugol</w:t>
      </w:r>
      <w:proofErr w:type="spellEnd"/>
      <w:r w:rsidRPr="00EE55D6">
        <w:rPr>
          <w:rFonts w:ascii="Arial" w:hAnsi="Arial" w:cs="Arial"/>
        </w:rPr>
        <w:t xml:space="preserve"> atua como mordente, formando um complexo cristal violeta–iodo no interior da célula.</w:t>
      </w:r>
    </w:p>
    <w:p w14:paraId="385C7603" w14:textId="77777777" w:rsidR="00307F19" w:rsidRPr="00EE55D6" w:rsidRDefault="00307F19" w:rsidP="00307F19">
      <w:pPr>
        <w:spacing w:after="0" w:line="360" w:lineRule="auto"/>
        <w:jc w:val="both"/>
        <w:rPr>
          <w:rFonts w:ascii="Arial" w:hAnsi="Arial" w:cs="Arial"/>
        </w:rPr>
      </w:pPr>
      <w:r>
        <w:rPr>
          <w:rFonts w:ascii="Arial" w:hAnsi="Arial" w:cs="Arial"/>
        </w:rPr>
        <w:tab/>
      </w:r>
      <w:r w:rsidRPr="00EE55D6">
        <w:rPr>
          <w:rFonts w:ascii="Arial" w:hAnsi="Arial" w:cs="Arial"/>
        </w:rPr>
        <w:t xml:space="preserve">A etapa crítica do método é a descoloração com álcool ou álcool-acetona. Bactérias com parede celular espessa, rica em </w:t>
      </w:r>
      <w:proofErr w:type="spellStart"/>
      <w:r w:rsidRPr="00EE55D6">
        <w:rPr>
          <w:rFonts w:ascii="Arial" w:hAnsi="Arial" w:cs="Arial"/>
        </w:rPr>
        <w:t>peptidoglicano</w:t>
      </w:r>
      <w:proofErr w:type="spellEnd"/>
      <w:r w:rsidRPr="00EE55D6">
        <w:rPr>
          <w:rFonts w:ascii="Arial" w:hAnsi="Arial" w:cs="Arial"/>
        </w:rPr>
        <w:t xml:space="preserve">, mantêm o complexo cristal violeta–iodo e permanecem com coloração azul-violácea, sendo classificadas como Gram-positivas. Bactérias com parede mais delgada e membrana externa perdem esse complexo durante a descoloração e passam a ser coradas pelo </w:t>
      </w:r>
      <w:proofErr w:type="spellStart"/>
      <w:r w:rsidRPr="00EE55D6">
        <w:rPr>
          <w:rFonts w:ascii="Arial" w:hAnsi="Arial" w:cs="Arial"/>
        </w:rPr>
        <w:t>contra-corante</w:t>
      </w:r>
      <w:proofErr w:type="spellEnd"/>
      <w:r w:rsidRPr="00EE55D6">
        <w:rPr>
          <w:rFonts w:ascii="Arial" w:hAnsi="Arial" w:cs="Arial"/>
        </w:rPr>
        <w:t xml:space="preserve">, geralmente </w:t>
      </w:r>
      <w:proofErr w:type="spellStart"/>
      <w:r w:rsidRPr="00EE55D6">
        <w:rPr>
          <w:rFonts w:ascii="Arial" w:hAnsi="Arial" w:cs="Arial"/>
        </w:rPr>
        <w:t>safranina</w:t>
      </w:r>
      <w:proofErr w:type="spellEnd"/>
      <w:r w:rsidRPr="00EE55D6">
        <w:rPr>
          <w:rFonts w:ascii="Arial" w:hAnsi="Arial" w:cs="Arial"/>
        </w:rPr>
        <w:t>, adquirindo coloração rosada, característica das Gram-negativas.</w:t>
      </w:r>
    </w:p>
    <w:p w14:paraId="4E28315F" w14:textId="77777777" w:rsidR="00307F19" w:rsidRPr="00EE55D6" w:rsidRDefault="00307F19" w:rsidP="00307F19">
      <w:pPr>
        <w:spacing w:after="0" w:line="360" w:lineRule="auto"/>
        <w:jc w:val="both"/>
        <w:rPr>
          <w:rFonts w:ascii="Arial" w:hAnsi="Arial" w:cs="Arial"/>
        </w:rPr>
      </w:pPr>
      <w:r>
        <w:rPr>
          <w:rFonts w:ascii="Arial" w:hAnsi="Arial" w:cs="Arial"/>
        </w:rPr>
        <w:tab/>
      </w:r>
      <w:r w:rsidRPr="00EE55D6">
        <w:rPr>
          <w:rFonts w:ascii="Arial" w:hAnsi="Arial" w:cs="Arial"/>
        </w:rPr>
        <w:t xml:space="preserve">Além da diferenciação entre Gram-positivas e Gram-negativas, a </w:t>
      </w:r>
      <w:proofErr w:type="spellStart"/>
      <w:r w:rsidRPr="00EE55D6">
        <w:rPr>
          <w:rFonts w:ascii="Arial" w:hAnsi="Arial" w:cs="Arial"/>
        </w:rPr>
        <w:t>bacterioscopia</w:t>
      </w:r>
      <w:proofErr w:type="spellEnd"/>
      <w:r w:rsidRPr="00EE55D6">
        <w:rPr>
          <w:rFonts w:ascii="Arial" w:hAnsi="Arial" w:cs="Arial"/>
        </w:rPr>
        <w:t xml:space="preserve"> fornece outras informações relevantes para a interpretação inicial da amostra:</w:t>
      </w:r>
    </w:p>
    <w:p w14:paraId="76FAF302" w14:textId="77777777" w:rsidR="00307F19" w:rsidRPr="00EE55D6" w:rsidRDefault="00307F19" w:rsidP="00307F19">
      <w:pPr>
        <w:spacing w:after="0" w:line="360" w:lineRule="auto"/>
        <w:jc w:val="both"/>
        <w:rPr>
          <w:rFonts w:ascii="Arial" w:hAnsi="Arial" w:cs="Arial"/>
        </w:rPr>
      </w:pPr>
    </w:p>
    <w:p w14:paraId="14498A57" w14:textId="77777777" w:rsidR="00307F19" w:rsidRPr="00EE55D6" w:rsidRDefault="00307F19" w:rsidP="00307F19">
      <w:pPr>
        <w:spacing w:after="0" w:line="360" w:lineRule="auto"/>
        <w:jc w:val="both"/>
        <w:rPr>
          <w:rFonts w:ascii="Arial" w:hAnsi="Arial" w:cs="Arial"/>
        </w:rPr>
      </w:pPr>
      <w:r w:rsidRPr="00EE55D6">
        <w:rPr>
          <w:rFonts w:ascii="Arial" w:hAnsi="Arial" w:cs="Arial"/>
        </w:rPr>
        <w:t>• morfologia bacteriana (cocos, bacilos ou cocobacilos)</w:t>
      </w:r>
    </w:p>
    <w:p w14:paraId="644CF3C2" w14:textId="77777777" w:rsidR="00307F19" w:rsidRPr="00EE55D6" w:rsidRDefault="00307F19" w:rsidP="00307F19">
      <w:pPr>
        <w:spacing w:after="0" w:line="360" w:lineRule="auto"/>
        <w:jc w:val="both"/>
        <w:rPr>
          <w:rFonts w:ascii="Arial" w:hAnsi="Arial" w:cs="Arial"/>
        </w:rPr>
      </w:pPr>
      <w:r w:rsidRPr="00EE55D6">
        <w:rPr>
          <w:rFonts w:ascii="Arial" w:hAnsi="Arial" w:cs="Arial"/>
        </w:rPr>
        <w:t>• arranjo celular (cachos, cadeias, diplococos)</w:t>
      </w:r>
    </w:p>
    <w:p w14:paraId="7730569B" w14:textId="77777777" w:rsidR="00307F19" w:rsidRPr="00EE55D6" w:rsidRDefault="00307F19" w:rsidP="00307F19">
      <w:pPr>
        <w:spacing w:after="0" w:line="360" w:lineRule="auto"/>
        <w:jc w:val="both"/>
        <w:rPr>
          <w:rFonts w:ascii="Arial" w:hAnsi="Arial" w:cs="Arial"/>
        </w:rPr>
      </w:pPr>
      <w:r w:rsidRPr="00EE55D6">
        <w:rPr>
          <w:rFonts w:ascii="Arial" w:hAnsi="Arial" w:cs="Arial"/>
        </w:rPr>
        <w:t>• quantidade aproximada de bactérias observadas por campo microscópico</w:t>
      </w:r>
    </w:p>
    <w:p w14:paraId="14775F30" w14:textId="77777777" w:rsidR="00307F19" w:rsidRPr="00EE55D6" w:rsidRDefault="00307F19" w:rsidP="00307F19">
      <w:pPr>
        <w:spacing w:after="0" w:line="360" w:lineRule="auto"/>
        <w:jc w:val="both"/>
        <w:rPr>
          <w:rFonts w:ascii="Arial" w:hAnsi="Arial" w:cs="Arial"/>
        </w:rPr>
      </w:pPr>
      <w:r w:rsidRPr="00EE55D6">
        <w:rPr>
          <w:rFonts w:ascii="Arial" w:hAnsi="Arial" w:cs="Arial"/>
        </w:rPr>
        <w:t>• presença de leucócitos</w:t>
      </w:r>
    </w:p>
    <w:p w14:paraId="428B770D" w14:textId="77777777" w:rsidR="00307F19" w:rsidRPr="00EE55D6" w:rsidRDefault="00307F19" w:rsidP="00307F19">
      <w:pPr>
        <w:spacing w:after="0" w:line="360" w:lineRule="auto"/>
        <w:jc w:val="both"/>
        <w:rPr>
          <w:rFonts w:ascii="Arial" w:hAnsi="Arial" w:cs="Arial"/>
        </w:rPr>
      </w:pPr>
      <w:r w:rsidRPr="00EE55D6">
        <w:rPr>
          <w:rFonts w:ascii="Arial" w:hAnsi="Arial" w:cs="Arial"/>
        </w:rPr>
        <w:t>• presença de células epiteliais</w:t>
      </w:r>
    </w:p>
    <w:p w14:paraId="7B62F38D" w14:textId="77777777" w:rsidR="00307F19" w:rsidRPr="00EE55D6" w:rsidRDefault="00307F19" w:rsidP="00307F19">
      <w:pPr>
        <w:spacing w:after="0" w:line="360" w:lineRule="auto"/>
        <w:jc w:val="both"/>
        <w:rPr>
          <w:rFonts w:ascii="Arial" w:hAnsi="Arial" w:cs="Arial"/>
        </w:rPr>
      </w:pPr>
    </w:p>
    <w:p w14:paraId="1E267384" w14:textId="77777777" w:rsidR="00307F19" w:rsidRDefault="00307F19" w:rsidP="00307F19">
      <w:pPr>
        <w:spacing w:after="0" w:line="360" w:lineRule="auto"/>
        <w:ind w:firstLine="708"/>
        <w:jc w:val="both"/>
        <w:rPr>
          <w:rFonts w:ascii="Arial" w:hAnsi="Arial" w:cs="Arial"/>
        </w:rPr>
      </w:pPr>
      <w:r w:rsidRPr="00EE55D6">
        <w:rPr>
          <w:rFonts w:ascii="Arial" w:hAnsi="Arial" w:cs="Arial"/>
        </w:rPr>
        <w:t xml:space="preserve">Esses achados ajudam a contextualizar o isolamento microbiológico. Em amostras respiratórias, por exemplo, a proporção entre leucócitos e células epiteliais pode indicar a qualidade da amostra coletada. </w:t>
      </w:r>
      <w:r w:rsidRPr="002D7249">
        <w:rPr>
          <w:rFonts w:ascii="Arial" w:hAnsi="Arial" w:cs="Arial"/>
        </w:rPr>
        <w:t>Predomínio de células epiteliais pode sugerir contaminação por secreções da orofaringe, enquanto maior número de leucócitos pode ser compatível com processo inflamatório no local.</w:t>
      </w:r>
    </w:p>
    <w:p w14:paraId="442A5C34" w14:textId="72259E8B" w:rsidR="00307F19" w:rsidRPr="00EE55D6" w:rsidRDefault="00307F19" w:rsidP="00307F19">
      <w:pPr>
        <w:spacing w:after="0" w:line="360" w:lineRule="auto"/>
        <w:ind w:firstLine="708"/>
        <w:jc w:val="both"/>
        <w:rPr>
          <w:rFonts w:ascii="Arial" w:hAnsi="Arial" w:cs="Arial"/>
        </w:rPr>
      </w:pPr>
      <w:r w:rsidRPr="00EE55D6">
        <w:rPr>
          <w:rFonts w:ascii="Arial" w:hAnsi="Arial" w:cs="Arial"/>
        </w:rPr>
        <w:t>Em situações como hemoculturas positivas, o resultado do Gram costuma ser comunicado imediatamente à equipe clínica. A identificação de cocos Gram-positivos em cachos ou bacilos Gram-negativos já fornece uma orientação preliminar sobre o provável grupo bacteriano envolvido, mesmo antes da identificação definitiva da espécie</w:t>
      </w:r>
      <w:r>
        <w:rPr>
          <w:rFonts w:ascii="Arial" w:hAnsi="Arial" w:cs="Arial"/>
        </w:rPr>
        <w:t xml:space="preserve"> </w:t>
      </w:r>
      <w:sdt>
        <w:sdtPr>
          <w:rPr>
            <w:rFonts w:ascii="Arial" w:hAnsi="Arial" w:cs="Arial"/>
            <w:color w:val="000000"/>
          </w:rPr>
          <w:tag w:val="MENDELEY_CITATION_v3_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"/>
          <w:id w:val="671215190"/>
          <w:placeholder>
            <w:docPart w:val="82205BD79BD447E18C2DB4CBDA176150"/>
          </w:placeholder>
        </w:sdtPr>
        <w:sdtEndPr/>
        <w:sdtContent>
          <w:r w:rsidR="006845EC" w:rsidRPr="006845EC">
            <w:rPr>
              <w:rFonts w:ascii="Arial" w:hAnsi="Arial" w:cs="Arial"/>
              <w:color w:val="000000"/>
            </w:rPr>
            <w:t>(4)</w:t>
          </w:r>
        </w:sdtContent>
      </w:sdt>
      <w:r w:rsidRPr="00EE55D6">
        <w:rPr>
          <w:rFonts w:ascii="Arial" w:hAnsi="Arial" w:cs="Arial"/>
        </w:rPr>
        <w:t>.</w:t>
      </w:r>
    </w:p>
    <w:p w14:paraId="28201B25" w14:textId="77777777" w:rsidR="00307F19" w:rsidRDefault="00307F19" w:rsidP="00307F19">
      <w:pPr>
        <w:spacing w:after="0" w:line="360" w:lineRule="auto"/>
        <w:jc w:val="both"/>
        <w:rPr>
          <w:rFonts w:ascii="Arial" w:hAnsi="Arial" w:cs="Arial"/>
        </w:rPr>
      </w:pPr>
      <w:r>
        <w:rPr>
          <w:rFonts w:ascii="Arial" w:hAnsi="Arial" w:cs="Arial"/>
        </w:rPr>
        <w:tab/>
      </w:r>
      <w:r w:rsidRPr="00EE55D6">
        <w:rPr>
          <w:rFonts w:ascii="Arial" w:hAnsi="Arial" w:cs="Arial"/>
        </w:rPr>
        <w:t xml:space="preserve">Apesar de seu valor inicial, a </w:t>
      </w:r>
      <w:proofErr w:type="spellStart"/>
      <w:r w:rsidRPr="00EE55D6">
        <w:rPr>
          <w:rFonts w:ascii="Arial" w:hAnsi="Arial" w:cs="Arial"/>
        </w:rPr>
        <w:t>bacterioscopia</w:t>
      </w:r>
      <w:proofErr w:type="spellEnd"/>
      <w:r w:rsidRPr="00EE55D6">
        <w:rPr>
          <w:rFonts w:ascii="Arial" w:hAnsi="Arial" w:cs="Arial"/>
        </w:rPr>
        <w:t xml:space="preserve"> possui limitações importantes. O exame não permite identificar a espécie bacteriana nem determinar o perfil de suscetibilidade aos antibacterianos. Seu papel é fornecer uma caracterização estrutural precoce do microrganismo presente na amostra, contribuindo para a interpretação do processo diagnóstico microbiológico.</w:t>
      </w:r>
      <w:r>
        <w:rPr>
          <w:rFonts w:ascii="Arial" w:hAnsi="Arial" w:cs="Arial"/>
        </w:rPr>
        <w:tab/>
      </w:r>
    </w:p>
    <w:p w14:paraId="72BE35A0" w14:textId="1522FA0F" w:rsidR="00307F19" w:rsidRPr="0003129B" w:rsidRDefault="00307F19" w:rsidP="00307F19">
      <w:pPr>
        <w:spacing w:after="0" w:line="360" w:lineRule="auto"/>
        <w:jc w:val="right"/>
        <w:rPr>
          <w:rFonts w:ascii="Arial" w:hAnsi="Arial" w:cs="Arial"/>
        </w:rPr>
      </w:pPr>
      <w:r>
        <w:rPr>
          <w:rFonts w:ascii="Arial" w:hAnsi="Arial" w:cs="Arial"/>
        </w:rPr>
        <w:t>P</w:t>
      </w:r>
      <w:r w:rsidRPr="0003129B">
        <w:rPr>
          <w:rFonts w:ascii="Arial" w:hAnsi="Arial" w:cs="Arial"/>
        </w:rPr>
        <w:t xml:space="preserve">ágina </w:t>
      </w:r>
      <w:r w:rsidR="00772CDC">
        <w:rPr>
          <w:rFonts w:ascii="Arial" w:hAnsi="Arial" w:cs="Arial"/>
        </w:rPr>
        <w:t>4</w:t>
      </w:r>
      <w:r w:rsidR="00A53F43">
        <w:rPr>
          <w:rFonts w:ascii="Arial" w:hAnsi="Arial" w:cs="Arial"/>
        </w:rPr>
        <w:t>3/44</w:t>
      </w:r>
    </w:p>
    <w:p w14:paraId="061C3D81" w14:textId="77777777" w:rsidR="00307F19" w:rsidRPr="0003129B" w:rsidRDefault="00307F19" w:rsidP="00307F19">
      <w:pPr>
        <w:spacing w:after="0" w:line="360" w:lineRule="auto"/>
        <w:jc w:val="both"/>
        <w:rPr>
          <w:rFonts w:ascii="Arial" w:hAnsi="Arial" w:cs="Arial"/>
          <w:b/>
          <w:bCs/>
        </w:rPr>
      </w:pPr>
    </w:p>
    <w:p w14:paraId="04703371" w14:textId="77777777" w:rsidR="00307F19" w:rsidRPr="006337C6" w:rsidRDefault="00307F19" w:rsidP="00307F19">
      <w:pPr>
        <w:spacing w:after="0" w:line="360" w:lineRule="auto"/>
        <w:jc w:val="both"/>
        <w:rPr>
          <w:rFonts w:ascii="Arial" w:hAnsi="Arial" w:cs="Arial"/>
          <w:b/>
          <w:bCs/>
        </w:rPr>
      </w:pPr>
      <w:r w:rsidRPr="006337C6">
        <w:rPr>
          <w:rFonts w:ascii="Arial" w:hAnsi="Arial" w:cs="Arial"/>
          <w:b/>
          <w:bCs/>
        </w:rPr>
        <w:t>Identificação bacteriana</w:t>
      </w:r>
    </w:p>
    <w:p w14:paraId="5F7224A8" w14:textId="77777777" w:rsidR="00307F19" w:rsidRPr="00EE55D6" w:rsidRDefault="00307F19" w:rsidP="00307F19">
      <w:pPr>
        <w:spacing w:after="0" w:line="360" w:lineRule="auto"/>
        <w:jc w:val="both"/>
        <w:rPr>
          <w:rFonts w:ascii="Arial" w:hAnsi="Arial" w:cs="Arial"/>
        </w:rPr>
      </w:pPr>
    </w:p>
    <w:p w14:paraId="38F51A1F" w14:textId="77777777" w:rsidR="00307F19" w:rsidRPr="00EE55D6" w:rsidRDefault="00307F19" w:rsidP="00307F19">
      <w:pPr>
        <w:spacing w:after="0" w:line="360" w:lineRule="auto"/>
        <w:ind w:firstLine="708"/>
        <w:jc w:val="both"/>
        <w:rPr>
          <w:rFonts w:ascii="Arial" w:hAnsi="Arial" w:cs="Arial"/>
        </w:rPr>
      </w:pPr>
      <w:r w:rsidRPr="00EE55D6">
        <w:rPr>
          <w:rFonts w:ascii="Arial" w:hAnsi="Arial" w:cs="Arial"/>
        </w:rPr>
        <w:t>Após o crescimento do microrganismo em meio de cultura e a avaliação morfológica inicial, o laboratório realiza a identificação bacteriana. Essa etapa define o agente isolado e estabelece o contexto biológico necessário para interpretar corretamente o teste de suscetibilidade.</w:t>
      </w:r>
    </w:p>
    <w:p w14:paraId="2DF7EFFA" w14:textId="77777777" w:rsidR="00307F19" w:rsidRPr="00EE55D6" w:rsidRDefault="00307F19" w:rsidP="00307F19">
      <w:pPr>
        <w:spacing w:after="0" w:line="360" w:lineRule="auto"/>
        <w:ind w:firstLine="708"/>
        <w:jc w:val="both"/>
        <w:rPr>
          <w:rFonts w:ascii="Arial" w:hAnsi="Arial" w:cs="Arial"/>
        </w:rPr>
      </w:pPr>
      <w:r w:rsidRPr="00EE55D6">
        <w:rPr>
          <w:rFonts w:ascii="Arial" w:hAnsi="Arial" w:cs="Arial"/>
        </w:rPr>
        <w:t>A identificação pode começar por características observadas no próprio crescimento bacteriano. Aspectos como morfologia das colônias, padrão de hemólise em ágar sangue, pigmentação e odor característico podem fornecer indícios iniciais sobre o grupo bacteriano envolvido. Essas informações orientam a escolha dos testes adicionais necessários para confirmar a identificação.</w:t>
      </w:r>
    </w:p>
    <w:p w14:paraId="1BBE260F" w14:textId="7FBCA4BB" w:rsidR="00307F19" w:rsidRPr="00EE55D6" w:rsidRDefault="00307F19" w:rsidP="00307F19">
      <w:pPr>
        <w:spacing w:after="0" w:line="360" w:lineRule="auto"/>
        <w:jc w:val="both"/>
        <w:rPr>
          <w:rFonts w:ascii="Arial" w:hAnsi="Arial" w:cs="Arial"/>
        </w:rPr>
      </w:pPr>
      <w:r>
        <w:rPr>
          <w:rFonts w:ascii="Arial" w:hAnsi="Arial" w:cs="Arial"/>
        </w:rPr>
        <w:tab/>
      </w:r>
      <w:r w:rsidRPr="00EE55D6">
        <w:rPr>
          <w:rFonts w:ascii="Arial" w:hAnsi="Arial" w:cs="Arial"/>
        </w:rPr>
        <w:t xml:space="preserve">Tradicionalmente, a identificação baseia-se em testes fenotípicos bioquímicos, que avaliam propriedades metabólicas da bactéria. Esses testes investigam, por </w:t>
      </w:r>
      <w:r w:rsidRPr="00EE55D6">
        <w:rPr>
          <w:rFonts w:ascii="Arial" w:hAnsi="Arial" w:cs="Arial"/>
        </w:rPr>
        <w:lastRenderedPageBreak/>
        <w:t>exemplo, a capacidade de fermentar determinados açúcares, produzir enzimas específicas ou utilizar substratos particulares. A combinação desses resultados gera um perfil metabólico característico que permite classificar o microrganismo em determinada espécie ou grupo bacteriano</w:t>
      </w:r>
      <w:r>
        <w:rPr>
          <w:rFonts w:ascii="Arial" w:hAnsi="Arial" w:cs="Arial"/>
        </w:rPr>
        <w:t xml:space="preserve"> </w:t>
      </w:r>
      <w:sdt>
        <w:sdtPr>
          <w:rPr>
            <w:rFonts w:ascii="Arial" w:hAnsi="Arial" w:cs="Arial"/>
            <w:color w:val="000000"/>
          </w:rPr>
          <w:tag w:val="MENDELEY_CITATION_v3_eyJjaXRhdGlvbklEIjoiTUVOREVMRVlfQ0lUQVRJT05fNWRhOTk5NjUtNzNkYy00ZDJiLWJkYjUtMzAxMzVhZmVkOGY4IiwicHJvcGVydGllcyI6eyJub3RlSW5kZXgiOjB9LCJpc0VkaXRlZCI6ZmFsc2UsIm1hbnVhbE92ZXJyaWRlIjp7ImlzTWFudWFsbHlPdmVycmlkZGVuIjpmYWxzZSwiY2l0ZXByb2NUZXh0IjoiKDM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
          <w:id w:val="2027204313"/>
          <w:placeholder>
            <w:docPart w:val="82205BD79BD447E18C2DB4CBDA176150"/>
          </w:placeholder>
        </w:sdtPr>
        <w:sdtEndPr/>
        <w:sdtContent>
          <w:r w:rsidR="006845EC" w:rsidRPr="006845EC">
            <w:rPr>
              <w:rFonts w:ascii="Arial" w:hAnsi="Arial" w:cs="Arial"/>
              <w:color w:val="000000"/>
            </w:rPr>
            <w:t>(3)</w:t>
          </w:r>
        </w:sdtContent>
      </w:sdt>
      <w:r w:rsidRPr="00EE55D6">
        <w:rPr>
          <w:rFonts w:ascii="Arial" w:hAnsi="Arial" w:cs="Arial"/>
        </w:rPr>
        <w:t>.</w:t>
      </w:r>
    </w:p>
    <w:p w14:paraId="68C6D7ED" w14:textId="474C51E7" w:rsidR="00307F19" w:rsidRPr="00EE55D6" w:rsidRDefault="00307F19" w:rsidP="00307F19">
      <w:pPr>
        <w:spacing w:after="0" w:line="360" w:lineRule="auto"/>
        <w:jc w:val="both"/>
        <w:rPr>
          <w:rFonts w:ascii="Arial" w:hAnsi="Arial" w:cs="Arial"/>
        </w:rPr>
      </w:pPr>
      <w:r>
        <w:rPr>
          <w:rFonts w:ascii="Arial" w:hAnsi="Arial" w:cs="Arial"/>
        </w:rPr>
        <w:tab/>
      </w:r>
      <w:r w:rsidRPr="00EE55D6">
        <w:rPr>
          <w:rFonts w:ascii="Arial" w:hAnsi="Arial" w:cs="Arial"/>
        </w:rPr>
        <w:t>Atualmente, muitos laboratórios utilizam sistemas automatizados, que integram múltiplos testes bioquímicos em painéis padronizados e comparam os resultados obtidos com bancos de dados microbiológicos validados. O sistema calcula a probabilidade de correspondência entre o perfil observado e as espécies registradas na base de referência</w:t>
      </w:r>
      <w:r>
        <w:rPr>
          <w:rFonts w:ascii="Arial" w:hAnsi="Arial" w:cs="Arial"/>
        </w:rPr>
        <w:t xml:space="preserve"> </w:t>
      </w:r>
      <w:sdt>
        <w:sdtPr>
          <w:rPr>
            <w:rFonts w:ascii="Arial" w:hAnsi="Arial" w:cs="Arial"/>
            <w:color w:val="000000"/>
          </w:rPr>
          <w:tag w:val="MENDELEY_CITATION_v3_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"/>
          <w:id w:val="-1260445512"/>
          <w:placeholder>
            <w:docPart w:val="82205BD79BD447E18C2DB4CBDA176150"/>
          </w:placeholder>
        </w:sdtPr>
        <w:sdtEndPr/>
        <w:sdtContent>
          <w:r w:rsidR="006845EC" w:rsidRPr="006845EC">
            <w:rPr>
              <w:rFonts w:ascii="Arial" w:hAnsi="Arial" w:cs="Arial"/>
              <w:color w:val="000000"/>
            </w:rPr>
            <w:t>(5)</w:t>
          </w:r>
        </w:sdtContent>
      </w:sdt>
      <w:r w:rsidRPr="00EE55D6">
        <w:rPr>
          <w:rFonts w:ascii="Arial" w:hAnsi="Arial" w:cs="Arial"/>
        </w:rPr>
        <w:t>.</w:t>
      </w:r>
    </w:p>
    <w:p w14:paraId="2F568E11" w14:textId="77777777" w:rsidR="00307F19" w:rsidRPr="00EE55D6" w:rsidRDefault="00307F19" w:rsidP="00307F19">
      <w:pPr>
        <w:spacing w:after="0" w:line="360" w:lineRule="auto"/>
        <w:jc w:val="both"/>
        <w:rPr>
          <w:rFonts w:ascii="Arial" w:hAnsi="Arial" w:cs="Arial"/>
        </w:rPr>
      </w:pPr>
      <w:r>
        <w:rPr>
          <w:rFonts w:ascii="Arial" w:hAnsi="Arial" w:cs="Arial"/>
        </w:rPr>
        <w:tab/>
      </w:r>
      <w:r w:rsidRPr="00EE55D6">
        <w:rPr>
          <w:rFonts w:ascii="Arial" w:hAnsi="Arial" w:cs="Arial"/>
        </w:rPr>
        <w:t>Outro método amplamente incorporado à rotina microbiológica é a espectrometria de massa por MALDI-TOF. Nesse método, proteínas bacterianas são ionizadas e analisadas de acordo com seu padrão espectral. O perfil obtido é comparado a bibliotecas de referência, permitindo identificação rápida e precisa de grande parte das bactérias de relevância clínica.</w:t>
      </w:r>
    </w:p>
    <w:p w14:paraId="2694FC64" w14:textId="77777777" w:rsidR="00307F19" w:rsidRPr="00EE55D6" w:rsidRDefault="00307F19" w:rsidP="00307F19">
      <w:pPr>
        <w:spacing w:after="0" w:line="360" w:lineRule="auto"/>
        <w:jc w:val="both"/>
        <w:rPr>
          <w:rFonts w:ascii="Arial" w:hAnsi="Arial" w:cs="Arial"/>
        </w:rPr>
      </w:pPr>
      <w:r>
        <w:rPr>
          <w:rFonts w:ascii="Arial" w:hAnsi="Arial" w:cs="Arial"/>
        </w:rPr>
        <w:tab/>
      </w:r>
      <w:r w:rsidRPr="00EE55D6">
        <w:rPr>
          <w:rFonts w:ascii="Arial" w:hAnsi="Arial" w:cs="Arial"/>
        </w:rPr>
        <w:t xml:space="preserve">Em algumas situações, a identificação pode ser limitada ao nível de grupo ou complexo bacteriano, em vez de uma única espécie. Isso ocorre quando espécies próximas apresentam características fenotípicas muito semelhantes ou quando a diferenciação não possui relevância clínica significativa. Exemplos incluem complexos bacterianos como </w:t>
      </w:r>
      <w:proofErr w:type="spellStart"/>
      <w:r w:rsidRPr="00EE55D6">
        <w:rPr>
          <w:rFonts w:ascii="Arial" w:hAnsi="Arial" w:cs="Arial"/>
        </w:rPr>
        <w:t>Enterobacter</w:t>
      </w:r>
      <w:proofErr w:type="spellEnd"/>
      <w:r w:rsidRPr="00EE55D6">
        <w:rPr>
          <w:rFonts w:ascii="Arial" w:hAnsi="Arial" w:cs="Arial"/>
        </w:rPr>
        <w:t xml:space="preserve"> </w:t>
      </w:r>
      <w:proofErr w:type="spellStart"/>
      <w:r w:rsidRPr="00EE55D6">
        <w:rPr>
          <w:rFonts w:ascii="Arial" w:hAnsi="Arial" w:cs="Arial"/>
        </w:rPr>
        <w:t>cloacae</w:t>
      </w:r>
      <w:proofErr w:type="spellEnd"/>
      <w:r w:rsidRPr="00EE55D6">
        <w:rPr>
          <w:rFonts w:ascii="Arial" w:hAnsi="Arial" w:cs="Arial"/>
        </w:rPr>
        <w:t xml:space="preserve"> </w:t>
      </w:r>
      <w:proofErr w:type="spellStart"/>
      <w:r w:rsidRPr="00EE55D6">
        <w:rPr>
          <w:rFonts w:ascii="Arial" w:hAnsi="Arial" w:cs="Arial"/>
        </w:rPr>
        <w:t>complex</w:t>
      </w:r>
      <w:proofErr w:type="spellEnd"/>
      <w:r w:rsidRPr="00EE55D6">
        <w:rPr>
          <w:rFonts w:ascii="Arial" w:hAnsi="Arial" w:cs="Arial"/>
        </w:rPr>
        <w:t xml:space="preserve"> ou grupos como os estreptococos do grupo </w:t>
      </w:r>
      <w:proofErr w:type="spellStart"/>
      <w:r w:rsidRPr="00EE55D6">
        <w:rPr>
          <w:rFonts w:ascii="Arial" w:hAnsi="Arial" w:cs="Arial"/>
        </w:rPr>
        <w:t>viridans</w:t>
      </w:r>
      <w:proofErr w:type="spellEnd"/>
      <w:r w:rsidRPr="00EE55D6">
        <w:rPr>
          <w:rFonts w:ascii="Arial" w:hAnsi="Arial" w:cs="Arial"/>
        </w:rPr>
        <w:t>.</w:t>
      </w:r>
    </w:p>
    <w:p w14:paraId="3CA3567B" w14:textId="4B17FDA3" w:rsidR="00307F19" w:rsidRPr="00EE55D6" w:rsidRDefault="00307F19" w:rsidP="00307F19">
      <w:pPr>
        <w:spacing w:after="0" w:line="360" w:lineRule="auto"/>
        <w:jc w:val="both"/>
        <w:rPr>
          <w:rFonts w:ascii="Arial" w:hAnsi="Arial" w:cs="Arial"/>
        </w:rPr>
      </w:pPr>
      <w:r>
        <w:rPr>
          <w:rFonts w:ascii="Arial" w:hAnsi="Arial" w:cs="Arial"/>
        </w:rPr>
        <w:tab/>
      </w:r>
      <w:r w:rsidRPr="00EE55D6">
        <w:rPr>
          <w:rFonts w:ascii="Arial" w:hAnsi="Arial" w:cs="Arial"/>
        </w:rPr>
        <w:t xml:space="preserve">A definição correta da espécie é um elemento central para a interpretação do antibiograma. Diferentes bactérias apresentam perfis característicos de suscetibilidade e resistência. Algumas possuem </w:t>
      </w:r>
      <w:r w:rsidRPr="00463013">
        <w:rPr>
          <w:rFonts w:ascii="Arial" w:hAnsi="Arial" w:cs="Arial"/>
        </w:rPr>
        <w:t>fenótipo esperado resistente</w:t>
      </w:r>
      <w:r w:rsidRPr="00EE55D6">
        <w:rPr>
          <w:rFonts w:ascii="Arial" w:hAnsi="Arial" w:cs="Arial"/>
        </w:rPr>
        <w:t xml:space="preserve">, ou seja, uma propriedade natural da espécie que impede a atividade de determinadas classes de antibacterianos. Nesses casos, o teste de sensibilidade pode nem ser realizado para certas combinações microrganismo–fármaco, pois o resultado já é </w:t>
      </w:r>
      <w:r>
        <w:rPr>
          <w:rFonts w:ascii="Arial" w:hAnsi="Arial" w:cs="Arial"/>
        </w:rPr>
        <w:t xml:space="preserve">previsível </w:t>
      </w:r>
      <w:sdt>
        <w:sdtPr>
          <w:rPr>
            <w:rFonts w:ascii="Arial" w:hAnsi="Arial" w:cs="Arial"/>
            <w:color w:val="000000"/>
          </w:rPr>
          <w:tag w:val="MENDELEY_CITATION_v3_eyJjaXRhdGlvbklEIjoiTUVOREVMRVlfQ0lUQVRJT05fYmYxYWFmOGUtNjc3Ni00ZWQzLWE4NTUtMDdkZTkyNGIzYjc3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
          <w:id w:val="-739644159"/>
          <w:placeholder>
            <w:docPart w:val="82205BD79BD447E18C2DB4CBDA176150"/>
          </w:placeholder>
        </w:sdtPr>
        <w:sdtEndPr/>
        <w:sdtContent>
          <w:r w:rsidR="006845EC" w:rsidRPr="006845EC">
            <w:rPr>
              <w:rFonts w:ascii="Arial" w:hAnsi="Arial" w:cs="Arial"/>
              <w:color w:val="000000"/>
            </w:rPr>
            <w:t>(1)</w:t>
          </w:r>
        </w:sdtContent>
      </w:sdt>
      <w:r w:rsidRPr="00EE55D6">
        <w:rPr>
          <w:rFonts w:ascii="Arial" w:hAnsi="Arial" w:cs="Arial"/>
        </w:rPr>
        <w:t>.</w:t>
      </w:r>
    </w:p>
    <w:p w14:paraId="61397177" w14:textId="77777777" w:rsidR="00307F19" w:rsidRPr="00EE55D6" w:rsidRDefault="00307F19" w:rsidP="00307F19">
      <w:pPr>
        <w:spacing w:after="0" w:line="360" w:lineRule="auto"/>
        <w:jc w:val="both"/>
        <w:rPr>
          <w:rFonts w:ascii="Arial" w:hAnsi="Arial" w:cs="Arial"/>
        </w:rPr>
      </w:pPr>
      <w:r>
        <w:rPr>
          <w:rFonts w:ascii="Arial" w:hAnsi="Arial" w:cs="Arial"/>
        </w:rPr>
        <w:tab/>
      </w:r>
      <w:r w:rsidRPr="00EE55D6">
        <w:rPr>
          <w:rFonts w:ascii="Arial" w:hAnsi="Arial" w:cs="Arial"/>
        </w:rPr>
        <w:t xml:space="preserve">Por exemplo, espécies do gênero </w:t>
      </w:r>
      <w:proofErr w:type="spellStart"/>
      <w:r w:rsidRPr="00EE55D6">
        <w:rPr>
          <w:rFonts w:ascii="Arial" w:hAnsi="Arial" w:cs="Arial"/>
        </w:rPr>
        <w:t>Enterococcus</w:t>
      </w:r>
      <w:proofErr w:type="spellEnd"/>
      <w:r w:rsidRPr="00EE55D6">
        <w:rPr>
          <w:rFonts w:ascii="Arial" w:hAnsi="Arial" w:cs="Arial"/>
        </w:rPr>
        <w:t xml:space="preserve"> apresentam </w:t>
      </w:r>
      <w:r w:rsidRPr="00463013">
        <w:rPr>
          <w:rFonts w:ascii="Arial" w:hAnsi="Arial" w:cs="Arial"/>
        </w:rPr>
        <w:t>fenótipo esperado resistente</w:t>
      </w:r>
      <w:r w:rsidRPr="00EE55D6">
        <w:rPr>
          <w:rFonts w:ascii="Arial" w:hAnsi="Arial" w:cs="Arial"/>
        </w:rPr>
        <w:t xml:space="preserve"> às cefalosporinas, enquanto Pseudomonas aeruginosa possui baixa suscetibilidade natural a diversos antibacterianos frequentemente utilizados contra outras bactérias Gram-negativas. O reconhecimento da espécie permite antecipar essas limitações e interpretar o painel de suscetibilidade de forma mais adequada.</w:t>
      </w:r>
    </w:p>
    <w:p w14:paraId="73C2D8B0" w14:textId="77777777" w:rsidR="00307F19" w:rsidRDefault="00307F19" w:rsidP="00307F19">
      <w:pPr>
        <w:spacing w:after="0" w:line="360" w:lineRule="auto"/>
        <w:jc w:val="both"/>
        <w:rPr>
          <w:rFonts w:ascii="Arial" w:hAnsi="Arial" w:cs="Arial"/>
        </w:rPr>
      </w:pPr>
      <w:r>
        <w:rPr>
          <w:rFonts w:ascii="Arial" w:hAnsi="Arial" w:cs="Arial"/>
        </w:rPr>
        <w:tab/>
      </w:r>
      <w:r w:rsidRPr="00EE55D6">
        <w:rPr>
          <w:rFonts w:ascii="Arial" w:hAnsi="Arial" w:cs="Arial"/>
        </w:rPr>
        <w:t>Assim, a identificação bacteriana não representa apenas a atribuição de um nome ao microrganismo isolado. Ela define o contexto microbiológico no qual os resultados do teste de sensibilidade serão interpretados e orienta a leitura crítica do antibiograma.</w:t>
      </w:r>
    </w:p>
    <w:p w14:paraId="14FFDED0" w14:textId="4C055785" w:rsidR="00307F19" w:rsidRPr="0003129B" w:rsidRDefault="00307F19" w:rsidP="00307F19">
      <w:pPr>
        <w:spacing w:after="0" w:line="360" w:lineRule="auto"/>
        <w:jc w:val="right"/>
        <w:rPr>
          <w:rFonts w:ascii="Arial" w:hAnsi="Arial" w:cs="Arial"/>
        </w:rPr>
      </w:pPr>
      <w:r w:rsidRPr="0003129B">
        <w:rPr>
          <w:rFonts w:ascii="Arial" w:hAnsi="Arial" w:cs="Arial"/>
        </w:rPr>
        <w:t xml:space="preserve">Página </w:t>
      </w:r>
      <w:r>
        <w:rPr>
          <w:rFonts w:ascii="Arial" w:hAnsi="Arial" w:cs="Arial"/>
        </w:rPr>
        <w:t>4</w:t>
      </w:r>
      <w:r w:rsidR="00A53F43">
        <w:rPr>
          <w:rFonts w:ascii="Arial" w:hAnsi="Arial" w:cs="Arial"/>
        </w:rPr>
        <w:t>5/46</w:t>
      </w:r>
    </w:p>
    <w:p w14:paraId="3713833E" w14:textId="77777777" w:rsidR="00307F19" w:rsidRPr="0003129B" w:rsidRDefault="00307F19" w:rsidP="00307F19">
      <w:pPr>
        <w:spacing w:after="0" w:line="360" w:lineRule="auto"/>
        <w:jc w:val="both"/>
        <w:rPr>
          <w:rFonts w:ascii="Arial" w:hAnsi="Arial" w:cs="Arial"/>
          <w:b/>
          <w:bCs/>
        </w:rPr>
      </w:pPr>
    </w:p>
    <w:p w14:paraId="029EA56A" w14:textId="77777777" w:rsidR="00307F19" w:rsidRDefault="00307F19" w:rsidP="00307F19">
      <w:pPr>
        <w:spacing w:after="0" w:line="360" w:lineRule="auto"/>
        <w:jc w:val="both"/>
        <w:rPr>
          <w:rFonts w:ascii="Arial" w:hAnsi="Arial" w:cs="Arial"/>
          <w:b/>
          <w:bCs/>
        </w:rPr>
      </w:pPr>
      <w:r w:rsidRPr="006337C6">
        <w:rPr>
          <w:rFonts w:ascii="Arial" w:hAnsi="Arial" w:cs="Arial"/>
          <w:b/>
          <w:bCs/>
        </w:rPr>
        <w:lastRenderedPageBreak/>
        <w:t>Teste de sensibilidade</w:t>
      </w:r>
    </w:p>
    <w:p w14:paraId="1B3C765A" w14:textId="77777777" w:rsidR="00307F19" w:rsidRDefault="00307F19" w:rsidP="00307F19">
      <w:pPr>
        <w:spacing w:after="0" w:line="360" w:lineRule="auto"/>
        <w:jc w:val="both"/>
        <w:rPr>
          <w:rFonts w:ascii="Arial" w:hAnsi="Arial" w:cs="Arial"/>
          <w:b/>
          <w:bCs/>
        </w:rPr>
      </w:pPr>
    </w:p>
    <w:p w14:paraId="79951FEE" w14:textId="5D4F08D3" w:rsidR="00307F19" w:rsidRPr="00D96F7E" w:rsidRDefault="00307F19" w:rsidP="00307F19">
      <w:pPr>
        <w:spacing w:after="0" w:line="360" w:lineRule="auto"/>
        <w:ind w:firstLine="708"/>
        <w:jc w:val="both"/>
        <w:rPr>
          <w:rFonts w:ascii="Arial" w:hAnsi="Arial" w:cs="Arial"/>
        </w:rPr>
      </w:pPr>
      <w:r w:rsidRPr="00D96F7E">
        <w:rPr>
          <w:rFonts w:ascii="Arial" w:hAnsi="Arial" w:cs="Arial"/>
        </w:rPr>
        <w:t>Após a identificação do microrganismo, o laboratório realiza o teste de sensibilidade antimicrobiana, cujo objetivo é avaliar o comportamento da bactéria frente a concentrações conhecidas de diferentes antibacterianos em condições laboratoriais padronizadas</w:t>
      </w:r>
      <w:r>
        <w:rPr>
          <w:rFonts w:ascii="Arial" w:hAnsi="Arial" w:cs="Arial"/>
        </w:rPr>
        <w:t xml:space="preserve"> </w:t>
      </w:r>
      <w:sdt>
        <w:sdtPr>
          <w:rPr>
            <w:rFonts w:ascii="Arial" w:hAnsi="Arial" w:cs="Arial"/>
            <w:color w:val="000000"/>
          </w:rPr>
          <w:tag w:val="MENDELEY_CITATION_v3_eyJjaXRhdGlvbklEIjoiTUVOREVMRVlfQ0lUQVRJT05fNGFiNTQxMGQtZTc2OS00NjYxLWEyYjktMmJjYTBlZDRjNTdh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
          <w:id w:val="-1417701297"/>
          <w:placeholder>
            <w:docPart w:val="82205BD79BD447E18C2DB4CBDA176150"/>
          </w:placeholder>
        </w:sdtPr>
        <w:sdtEndPr/>
        <w:sdtContent>
          <w:r w:rsidR="006845EC" w:rsidRPr="006845EC">
            <w:rPr>
              <w:rFonts w:ascii="Arial" w:hAnsi="Arial" w:cs="Arial"/>
              <w:color w:val="000000"/>
            </w:rPr>
            <w:t>(1)</w:t>
          </w:r>
        </w:sdtContent>
      </w:sdt>
      <w:r w:rsidRPr="00D96F7E">
        <w:rPr>
          <w:rFonts w:ascii="Arial" w:hAnsi="Arial" w:cs="Arial"/>
        </w:rPr>
        <w:t>.</w:t>
      </w:r>
    </w:p>
    <w:p w14:paraId="68F6D802" w14:textId="0E78A4C3" w:rsidR="00307F19" w:rsidRDefault="00307F19" w:rsidP="00307F19">
      <w:pPr>
        <w:spacing w:after="0" w:line="360" w:lineRule="auto"/>
        <w:jc w:val="both"/>
        <w:rPr>
          <w:rFonts w:ascii="Arial" w:hAnsi="Arial" w:cs="Arial"/>
        </w:rPr>
      </w:pPr>
      <w:r>
        <w:rPr>
          <w:rFonts w:ascii="Arial" w:hAnsi="Arial" w:cs="Arial"/>
        </w:rPr>
        <w:tab/>
      </w:r>
      <w:r w:rsidRPr="002D7249">
        <w:rPr>
          <w:rFonts w:ascii="Arial" w:hAnsi="Arial" w:cs="Arial"/>
        </w:rPr>
        <w:t>Esses testes avaliam, em condições laboratoriais padronizadas, se o crescimento bacteriano é inibido na presença de concentrações definidas de determinado antibacteriano.</w:t>
      </w:r>
      <w:r w:rsidRPr="00D96F7E">
        <w:rPr>
          <w:rFonts w:ascii="Arial" w:hAnsi="Arial" w:cs="Arial"/>
        </w:rPr>
        <w:t xml:space="preserve"> </w:t>
      </w:r>
      <w:r w:rsidRPr="002D7249">
        <w:rPr>
          <w:rFonts w:ascii="Arial" w:hAnsi="Arial" w:cs="Arial"/>
        </w:rPr>
        <w:t>O resultado obtido corresponde ao comportamento observado in vitro, sob condições metodológicas previamente definidas e controladas</w:t>
      </w:r>
      <w:r>
        <w:rPr>
          <w:rFonts w:ascii="Arial" w:hAnsi="Arial" w:cs="Arial"/>
        </w:rPr>
        <w:t xml:space="preserve"> </w:t>
      </w:r>
      <w:sdt>
        <w:sdtPr>
          <w:rPr>
            <w:rFonts w:ascii="Arial" w:hAnsi="Arial" w:cs="Arial"/>
            <w:color w:val="000000"/>
          </w:rPr>
          <w:tag w:val="MENDELEY_CITATION_v3_eyJjaXRhdGlvbklEIjoiTUVOREVMRVlfQ0lUQVRJT05fYjRlMjE1OTYtYzdhZC00ZjJlLWI3NGEtMGQ1MDkwNTQ4NGE2IiwicHJvcGVydGllcyI6eyJub3RlSW5kZXgiOjB9LCJpc0VkaXRlZCI6ZmFsc2UsIm1hbnVhbE92ZXJyaWRlIjp7ImlzTWFudWFsbHlPdmVycmlkZGVuIjpmYWxzZSwiY2l0ZXByb2NUZXh0IjoiKDI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
          <w:id w:val="-283883423"/>
          <w:placeholder>
            <w:docPart w:val="82205BD79BD447E18C2DB4CBDA176150"/>
          </w:placeholder>
        </w:sdtPr>
        <w:sdtEndPr/>
        <w:sdtContent>
          <w:r w:rsidR="006845EC" w:rsidRPr="006845EC">
            <w:rPr>
              <w:rFonts w:ascii="Arial" w:hAnsi="Arial" w:cs="Arial"/>
              <w:color w:val="000000"/>
            </w:rPr>
            <w:t>(2)</w:t>
          </w:r>
        </w:sdtContent>
      </w:sdt>
      <w:r w:rsidRPr="002D7249">
        <w:rPr>
          <w:rFonts w:ascii="Arial" w:hAnsi="Arial" w:cs="Arial"/>
        </w:rPr>
        <w:t>.</w:t>
      </w:r>
    </w:p>
    <w:p w14:paraId="60C9A9F4" w14:textId="60542643"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 xml:space="preserve">Na rotina microbiológica clínica, dois princípios metodológicos são utilizados com maior frequência: difusão em disco e </w:t>
      </w:r>
      <w:proofErr w:type="spellStart"/>
      <w:r w:rsidRPr="00D96F7E">
        <w:rPr>
          <w:rFonts w:ascii="Arial" w:hAnsi="Arial" w:cs="Arial"/>
        </w:rPr>
        <w:t>microdiluição</w:t>
      </w:r>
      <w:proofErr w:type="spellEnd"/>
      <w:r w:rsidRPr="00D96F7E">
        <w:rPr>
          <w:rFonts w:ascii="Arial" w:hAnsi="Arial" w:cs="Arial"/>
        </w:rPr>
        <w:t xml:space="preserve"> em caldo</w:t>
      </w:r>
      <w:r>
        <w:rPr>
          <w:rFonts w:ascii="Arial" w:hAnsi="Arial" w:cs="Arial"/>
        </w:rPr>
        <w:t xml:space="preserve"> </w:t>
      </w:r>
      <w:sdt>
        <w:sdtPr>
          <w:rPr>
            <w:rFonts w:ascii="Arial" w:hAnsi="Arial" w:cs="Arial"/>
            <w:color w:val="000000"/>
          </w:rPr>
          <w:tag w:val="MENDELEY_CITATION_v3_eyJjaXRhdGlvbklEIjoiTUVOREVMRVlfQ0lUQVRJT05fNTI2NDU5MTMtNjcyZS00YWYwLTkyNDEtMDlmN2IzZTk2Y2Fi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
          <w:id w:val="525521967"/>
          <w:placeholder>
            <w:docPart w:val="82205BD79BD447E18C2DB4CBDA176150"/>
          </w:placeholder>
        </w:sdtPr>
        <w:sdtEndPr/>
        <w:sdtContent>
          <w:r w:rsidR="006845EC" w:rsidRPr="006845EC">
            <w:rPr>
              <w:rFonts w:ascii="Arial" w:hAnsi="Arial" w:cs="Arial"/>
              <w:color w:val="000000"/>
            </w:rPr>
            <w:t>(1)</w:t>
          </w:r>
        </w:sdtContent>
      </w:sdt>
      <w:r w:rsidRPr="00D96F7E">
        <w:rPr>
          <w:rFonts w:ascii="Arial" w:hAnsi="Arial" w:cs="Arial"/>
        </w:rPr>
        <w:t>.</w:t>
      </w:r>
    </w:p>
    <w:p w14:paraId="3389DEB1" w14:textId="77777777" w:rsidR="00307F19" w:rsidRDefault="00307F19" w:rsidP="00307F19">
      <w:pPr>
        <w:spacing w:after="0" w:line="360" w:lineRule="auto"/>
        <w:jc w:val="both"/>
        <w:rPr>
          <w:rFonts w:ascii="Arial" w:hAnsi="Arial" w:cs="Arial"/>
        </w:rPr>
      </w:pPr>
    </w:p>
    <w:p w14:paraId="4B30F91A" w14:textId="77777777" w:rsidR="00307F19" w:rsidRPr="00D96F7E" w:rsidRDefault="00307F19" w:rsidP="00307F19">
      <w:pPr>
        <w:spacing w:after="0" w:line="360" w:lineRule="auto"/>
        <w:jc w:val="both"/>
        <w:rPr>
          <w:rFonts w:ascii="Arial" w:hAnsi="Arial" w:cs="Arial"/>
        </w:rPr>
      </w:pPr>
    </w:p>
    <w:p w14:paraId="30D13B41" w14:textId="77777777" w:rsidR="00307F19" w:rsidRPr="00D96F7E" w:rsidRDefault="00307F19" w:rsidP="00307F19">
      <w:pPr>
        <w:spacing w:after="0" w:line="360" w:lineRule="auto"/>
        <w:jc w:val="both"/>
        <w:rPr>
          <w:rFonts w:ascii="Arial" w:hAnsi="Arial" w:cs="Arial"/>
        </w:rPr>
      </w:pPr>
      <w:r w:rsidRPr="00D96F7E">
        <w:rPr>
          <w:rFonts w:ascii="Arial" w:hAnsi="Arial" w:cs="Arial"/>
        </w:rPr>
        <w:t>Difusão em disco</w:t>
      </w:r>
    </w:p>
    <w:p w14:paraId="65DAFA29" w14:textId="77777777" w:rsidR="00307F19" w:rsidRPr="00D96F7E" w:rsidRDefault="00307F19" w:rsidP="00307F19">
      <w:pPr>
        <w:spacing w:after="0" w:line="360" w:lineRule="auto"/>
        <w:jc w:val="both"/>
        <w:rPr>
          <w:rFonts w:ascii="Arial" w:hAnsi="Arial" w:cs="Arial"/>
        </w:rPr>
      </w:pPr>
    </w:p>
    <w:p w14:paraId="1CBBF706" w14:textId="77777777" w:rsidR="00307F19" w:rsidRPr="00D96F7E" w:rsidRDefault="00307F19" w:rsidP="00307F19">
      <w:pPr>
        <w:spacing w:after="0" w:line="360" w:lineRule="auto"/>
        <w:ind w:firstLine="708"/>
        <w:jc w:val="both"/>
        <w:rPr>
          <w:rFonts w:ascii="Arial" w:hAnsi="Arial" w:cs="Arial"/>
        </w:rPr>
      </w:pPr>
      <w:r w:rsidRPr="00D96F7E">
        <w:rPr>
          <w:rFonts w:ascii="Arial" w:hAnsi="Arial" w:cs="Arial"/>
        </w:rPr>
        <w:t>No método de difusão em disco, discos de papel impregnados com quantidades padronizadas de antibacteriano são posicionados sobre a superfície de um meio de cultura previamente inoculado com a bactéria isolada.</w:t>
      </w:r>
    </w:p>
    <w:p w14:paraId="72006BE1"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Durante a incubação, o antibacteriano difunde-se radialmente no ágar, formando um gradiente de concentração. Próximo ao disco, a concentração é mais elevada; à medida que se afasta, a concentração diminui progressivamente.</w:t>
      </w:r>
    </w:p>
    <w:p w14:paraId="15379A9D"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 xml:space="preserve">Se a bactéria for suscetível ao antibacteriano testado, ocorre inibição do crescimento bacteriano ao redor do disco, formando uma zona clara </w:t>
      </w:r>
      <w:proofErr w:type="gramStart"/>
      <w:r w:rsidRPr="00D96F7E">
        <w:rPr>
          <w:rFonts w:ascii="Arial" w:hAnsi="Arial" w:cs="Arial"/>
        </w:rPr>
        <w:t>denominada halo</w:t>
      </w:r>
      <w:proofErr w:type="gramEnd"/>
      <w:r w:rsidRPr="00D96F7E">
        <w:rPr>
          <w:rFonts w:ascii="Arial" w:hAnsi="Arial" w:cs="Arial"/>
        </w:rPr>
        <w:t xml:space="preserve"> de inibição.</w:t>
      </w:r>
    </w:p>
    <w:p w14:paraId="113346E4"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Após o período de incubação, o diâmetro desse halo é medido em milímetros. Esse valor será posteriormente comparado a tabelas interpretativas que relacionam o tamanho do halo à probabilidade de atividade do antibacteriano contra aquele microrganismo.</w:t>
      </w:r>
    </w:p>
    <w:p w14:paraId="773341BC"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Esse método fornece, portanto, uma medida indireta da suscetibilidade bacteriana, baseada no diâmetro da zona de inibição observada no meio sólido.</w:t>
      </w:r>
    </w:p>
    <w:p w14:paraId="046DD03F" w14:textId="77777777" w:rsidR="00307F19" w:rsidRPr="00D96F7E" w:rsidRDefault="00307F19" w:rsidP="00307F19">
      <w:pPr>
        <w:spacing w:after="0" w:line="360" w:lineRule="auto"/>
        <w:jc w:val="both"/>
        <w:rPr>
          <w:rFonts w:ascii="Arial" w:hAnsi="Arial" w:cs="Arial"/>
        </w:rPr>
      </w:pPr>
    </w:p>
    <w:p w14:paraId="03DAB99D" w14:textId="77777777" w:rsidR="00307F19" w:rsidRPr="00D96F7E" w:rsidRDefault="00307F19" w:rsidP="00307F19">
      <w:pPr>
        <w:spacing w:after="0" w:line="360" w:lineRule="auto"/>
        <w:jc w:val="both"/>
        <w:rPr>
          <w:rFonts w:ascii="Arial" w:hAnsi="Arial" w:cs="Arial"/>
        </w:rPr>
      </w:pPr>
      <w:proofErr w:type="spellStart"/>
      <w:r w:rsidRPr="00D96F7E">
        <w:rPr>
          <w:rFonts w:ascii="Arial" w:hAnsi="Arial" w:cs="Arial"/>
        </w:rPr>
        <w:t>Microdiluição</w:t>
      </w:r>
      <w:proofErr w:type="spellEnd"/>
      <w:r w:rsidRPr="00D96F7E">
        <w:rPr>
          <w:rFonts w:ascii="Arial" w:hAnsi="Arial" w:cs="Arial"/>
        </w:rPr>
        <w:t xml:space="preserve"> em caldo e determinação da CIM</w:t>
      </w:r>
    </w:p>
    <w:p w14:paraId="790F5C67" w14:textId="77777777" w:rsidR="00307F19" w:rsidRPr="00D96F7E" w:rsidRDefault="00307F19" w:rsidP="00307F19">
      <w:pPr>
        <w:spacing w:after="0" w:line="360" w:lineRule="auto"/>
        <w:jc w:val="both"/>
        <w:rPr>
          <w:rFonts w:ascii="Arial" w:hAnsi="Arial" w:cs="Arial"/>
        </w:rPr>
      </w:pPr>
    </w:p>
    <w:p w14:paraId="5D58C73D" w14:textId="77777777" w:rsidR="00307F19" w:rsidRPr="00D96F7E" w:rsidRDefault="00307F19" w:rsidP="00307F19">
      <w:pPr>
        <w:spacing w:after="0" w:line="360" w:lineRule="auto"/>
        <w:ind w:firstLine="708"/>
        <w:jc w:val="both"/>
        <w:rPr>
          <w:rFonts w:ascii="Arial" w:hAnsi="Arial" w:cs="Arial"/>
        </w:rPr>
      </w:pPr>
      <w:r w:rsidRPr="00D96F7E">
        <w:rPr>
          <w:rFonts w:ascii="Arial" w:hAnsi="Arial" w:cs="Arial"/>
        </w:rPr>
        <w:t xml:space="preserve">Outro método amplamente utilizado é a </w:t>
      </w:r>
      <w:proofErr w:type="spellStart"/>
      <w:r w:rsidRPr="00D96F7E">
        <w:rPr>
          <w:rFonts w:ascii="Arial" w:hAnsi="Arial" w:cs="Arial"/>
        </w:rPr>
        <w:t>microdiluição</w:t>
      </w:r>
      <w:proofErr w:type="spellEnd"/>
      <w:r w:rsidRPr="00D96F7E">
        <w:rPr>
          <w:rFonts w:ascii="Arial" w:hAnsi="Arial" w:cs="Arial"/>
        </w:rPr>
        <w:t xml:space="preserve"> em caldo, que permite determinar a concentração inibitória mínima (CIM).</w:t>
      </w:r>
    </w:p>
    <w:p w14:paraId="31E057B0" w14:textId="77777777" w:rsidR="00307F19" w:rsidRPr="00D96F7E" w:rsidRDefault="00307F19" w:rsidP="00307F19">
      <w:pPr>
        <w:spacing w:after="0" w:line="360" w:lineRule="auto"/>
        <w:jc w:val="both"/>
        <w:rPr>
          <w:rFonts w:ascii="Arial" w:hAnsi="Arial" w:cs="Arial"/>
        </w:rPr>
      </w:pPr>
      <w:r>
        <w:rPr>
          <w:rFonts w:ascii="Arial" w:hAnsi="Arial" w:cs="Arial"/>
        </w:rPr>
        <w:lastRenderedPageBreak/>
        <w:tab/>
      </w:r>
      <w:r w:rsidRPr="00D96F7E">
        <w:rPr>
          <w:rFonts w:ascii="Arial" w:hAnsi="Arial" w:cs="Arial"/>
        </w:rPr>
        <w:t>Nesse procedimento, a bactéria é exposta a concentrações progressivamente crescentes do antibacteriano em meio líquido. Essas concentrações são organizadas em diluições seriadas, geralmente em progressão de base dois.</w:t>
      </w:r>
    </w:p>
    <w:p w14:paraId="0690BD54" w14:textId="3E7653BE"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Após incubação, avalia-se a presença de crescimento bacteriano em cada concentração testada. A CIM corresponde à menor concentração do antibacteriano capaz de impedir o crescimento visível da bactéria nas condições do ensaio</w:t>
      </w:r>
      <w:r>
        <w:rPr>
          <w:rFonts w:ascii="Arial" w:hAnsi="Arial" w:cs="Arial"/>
        </w:rPr>
        <w:t xml:space="preserve"> </w:t>
      </w:r>
      <w:sdt>
        <w:sdtPr>
          <w:rPr>
            <w:rFonts w:ascii="Arial" w:hAnsi="Arial" w:cs="Arial"/>
            <w:color w:val="000000"/>
          </w:rPr>
          <w:tag w:val="MENDELEY_CITATION_v3_eyJjaXRhdGlvbklEIjoiTUVOREVMRVlfQ0lUQVRJT05fMDUwN2IzZDQtM2QwNy00NTE3LWE1M2QtYjI5MjE4YjlhZGZiIiwicHJvcGVydGllcyI6eyJub3RlSW5kZXgiOjB9LCJpc0VkaXRlZCI6ZmFsc2UsIm1hbnVhbE92ZXJyaWRlIjp7ImlzTWFudWFsbHlPdmVycmlkZGVuIjpmYWxzZSwiY2l0ZXByb2NUZXh0IjoiKDI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
          <w:id w:val="179014445"/>
          <w:placeholder>
            <w:docPart w:val="82205BD79BD447E18C2DB4CBDA176150"/>
          </w:placeholder>
        </w:sdtPr>
        <w:sdtEndPr/>
        <w:sdtContent>
          <w:r w:rsidR="006845EC" w:rsidRPr="006845EC">
            <w:rPr>
              <w:rFonts w:ascii="Arial" w:hAnsi="Arial" w:cs="Arial"/>
              <w:color w:val="000000"/>
            </w:rPr>
            <w:t>(2)</w:t>
          </w:r>
        </w:sdtContent>
      </w:sdt>
      <w:r w:rsidRPr="00D96F7E">
        <w:rPr>
          <w:rFonts w:ascii="Arial" w:hAnsi="Arial" w:cs="Arial"/>
        </w:rPr>
        <w:t>.</w:t>
      </w:r>
    </w:p>
    <w:p w14:paraId="79BBF071"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 xml:space="preserve">Diferentemente da difusão em disco, a </w:t>
      </w:r>
      <w:proofErr w:type="spellStart"/>
      <w:r w:rsidRPr="00D96F7E">
        <w:rPr>
          <w:rFonts w:ascii="Arial" w:hAnsi="Arial" w:cs="Arial"/>
        </w:rPr>
        <w:t>microdiluição</w:t>
      </w:r>
      <w:proofErr w:type="spellEnd"/>
      <w:r w:rsidRPr="00D96F7E">
        <w:rPr>
          <w:rFonts w:ascii="Arial" w:hAnsi="Arial" w:cs="Arial"/>
        </w:rPr>
        <w:t xml:space="preserve"> fornece um valor quantitativo direto, expresso como concentração do antibacteriano.</w:t>
      </w:r>
    </w:p>
    <w:p w14:paraId="3A041058" w14:textId="3941FC8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É importante reconhecer que a ausência de crescimento visível não significa necessariamente morte bacteriana completa. O teste mede a inibição do crescimento detectável nas condições laboratoriais estabelecidas</w:t>
      </w:r>
      <w:r>
        <w:rPr>
          <w:rFonts w:ascii="Arial" w:hAnsi="Arial" w:cs="Arial"/>
        </w:rPr>
        <w:t xml:space="preserve"> </w:t>
      </w:r>
      <w:sdt>
        <w:sdtPr>
          <w:rPr>
            <w:rFonts w:ascii="Arial" w:hAnsi="Arial" w:cs="Arial"/>
            <w:color w:val="000000"/>
          </w:rPr>
          <w:tag w:val="MENDELEY_CITATION_v3_eyJjaXRhdGlvbklEIjoiTUVOREVMRVlfQ0lUQVRJT05fOGQ4NzgyMjItZWExYS00YmM3LTliNGYtNmQ2Y2Y3Y2VjZDdiIiwicHJvcGVydGllcyI6eyJub3RlSW5kZXgiOjB9LCJpc0VkaXRlZCI6ZmFsc2UsIm1hbnVhbE92ZXJyaWRlIjp7ImlzTWFudWFsbHlPdmVycmlkZGVuIjpmYWxzZSwiY2l0ZXByb2NUZXh0IjoiKDI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
          <w:id w:val="1787225807"/>
          <w:placeholder>
            <w:docPart w:val="82205BD79BD447E18C2DB4CBDA176150"/>
          </w:placeholder>
        </w:sdtPr>
        <w:sdtEndPr/>
        <w:sdtContent>
          <w:r w:rsidR="006845EC" w:rsidRPr="006845EC">
            <w:rPr>
              <w:rFonts w:ascii="Arial" w:hAnsi="Arial" w:cs="Arial"/>
              <w:color w:val="000000"/>
            </w:rPr>
            <w:t>(2)</w:t>
          </w:r>
        </w:sdtContent>
      </w:sdt>
      <w:r w:rsidRPr="00D96F7E">
        <w:rPr>
          <w:rFonts w:ascii="Arial" w:hAnsi="Arial" w:cs="Arial"/>
        </w:rPr>
        <w:t>.</w:t>
      </w:r>
    </w:p>
    <w:p w14:paraId="48F3CC05" w14:textId="77777777" w:rsidR="00307F19" w:rsidRPr="00D96F7E" w:rsidRDefault="00307F19" w:rsidP="00307F19">
      <w:pPr>
        <w:spacing w:after="0" w:line="360" w:lineRule="auto"/>
        <w:jc w:val="both"/>
        <w:rPr>
          <w:rFonts w:ascii="Arial" w:hAnsi="Arial" w:cs="Arial"/>
        </w:rPr>
      </w:pPr>
    </w:p>
    <w:p w14:paraId="4BE6C3AB" w14:textId="77777777" w:rsidR="00307F19" w:rsidRPr="00D96F7E" w:rsidRDefault="00307F19" w:rsidP="00307F19">
      <w:pPr>
        <w:spacing w:after="0" w:line="360" w:lineRule="auto"/>
        <w:jc w:val="both"/>
        <w:rPr>
          <w:rFonts w:ascii="Arial" w:hAnsi="Arial" w:cs="Arial"/>
        </w:rPr>
      </w:pPr>
      <w:r w:rsidRPr="00D96F7E">
        <w:rPr>
          <w:rFonts w:ascii="Arial" w:hAnsi="Arial" w:cs="Arial"/>
        </w:rPr>
        <w:t>Padronização do teste</w:t>
      </w:r>
    </w:p>
    <w:p w14:paraId="6EED4784"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Para que os resultados sejam comparáveis e interpretáveis, diversos parâmetros são rigorosamente padronizados:</w:t>
      </w:r>
    </w:p>
    <w:p w14:paraId="1FDD8F56" w14:textId="77777777" w:rsidR="00307F19" w:rsidRPr="00D96F7E" w:rsidRDefault="00307F19" w:rsidP="00307F19">
      <w:pPr>
        <w:spacing w:after="0" w:line="360" w:lineRule="auto"/>
        <w:jc w:val="both"/>
        <w:rPr>
          <w:rFonts w:ascii="Arial" w:hAnsi="Arial" w:cs="Arial"/>
        </w:rPr>
      </w:pPr>
    </w:p>
    <w:p w14:paraId="11D09DCD" w14:textId="77777777" w:rsidR="00307F19" w:rsidRPr="00D96F7E" w:rsidRDefault="00307F19" w:rsidP="00307F19">
      <w:pPr>
        <w:spacing w:after="0" w:line="360" w:lineRule="auto"/>
        <w:jc w:val="both"/>
        <w:rPr>
          <w:rFonts w:ascii="Arial" w:hAnsi="Arial" w:cs="Arial"/>
        </w:rPr>
      </w:pPr>
      <w:r w:rsidRPr="00D96F7E">
        <w:rPr>
          <w:rFonts w:ascii="Arial" w:hAnsi="Arial" w:cs="Arial"/>
        </w:rPr>
        <w:t>• concentração do inóculo bacteriano</w:t>
      </w:r>
    </w:p>
    <w:p w14:paraId="0B4286DC" w14:textId="77777777" w:rsidR="00307F19" w:rsidRPr="00D96F7E" w:rsidRDefault="00307F19" w:rsidP="00307F19">
      <w:pPr>
        <w:spacing w:after="0" w:line="360" w:lineRule="auto"/>
        <w:jc w:val="both"/>
        <w:rPr>
          <w:rFonts w:ascii="Arial" w:hAnsi="Arial" w:cs="Arial"/>
        </w:rPr>
      </w:pPr>
      <w:r w:rsidRPr="00D96F7E">
        <w:rPr>
          <w:rFonts w:ascii="Arial" w:hAnsi="Arial" w:cs="Arial"/>
        </w:rPr>
        <w:t>• composição do meio de cultura</w:t>
      </w:r>
    </w:p>
    <w:p w14:paraId="123C610B" w14:textId="77777777" w:rsidR="00307F19" w:rsidRPr="00D96F7E" w:rsidRDefault="00307F19" w:rsidP="00307F19">
      <w:pPr>
        <w:spacing w:after="0" w:line="360" w:lineRule="auto"/>
        <w:jc w:val="both"/>
        <w:rPr>
          <w:rFonts w:ascii="Arial" w:hAnsi="Arial" w:cs="Arial"/>
        </w:rPr>
      </w:pPr>
      <w:r w:rsidRPr="00D96F7E">
        <w:rPr>
          <w:rFonts w:ascii="Arial" w:hAnsi="Arial" w:cs="Arial"/>
        </w:rPr>
        <w:t>• pH e concentração de cátions</w:t>
      </w:r>
    </w:p>
    <w:p w14:paraId="3163A289" w14:textId="77777777" w:rsidR="00307F19" w:rsidRPr="00D96F7E" w:rsidRDefault="00307F19" w:rsidP="00307F19">
      <w:pPr>
        <w:spacing w:after="0" w:line="360" w:lineRule="auto"/>
        <w:jc w:val="both"/>
        <w:rPr>
          <w:rFonts w:ascii="Arial" w:hAnsi="Arial" w:cs="Arial"/>
        </w:rPr>
      </w:pPr>
      <w:r w:rsidRPr="00D96F7E">
        <w:rPr>
          <w:rFonts w:ascii="Arial" w:hAnsi="Arial" w:cs="Arial"/>
        </w:rPr>
        <w:t>• temperatura e tempo de incubação</w:t>
      </w:r>
    </w:p>
    <w:p w14:paraId="565F3CCE" w14:textId="77777777" w:rsidR="00307F19" w:rsidRPr="00D96F7E" w:rsidRDefault="00307F19" w:rsidP="00307F19">
      <w:pPr>
        <w:spacing w:after="0" w:line="360" w:lineRule="auto"/>
        <w:jc w:val="both"/>
        <w:rPr>
          <w:rFonts w:ascii="Arial" w:hAnsi="Arial" w:cs="Arial"/>
        </w:rPr>
      </w:pPr>
      <w:r w:rsidRPr="00D96F7E">
        <w:rPr>
          <w:rFonts w:ascii="Arial" w:hAnsi="Arial" w:cs="Arial"/>
        </w:rPr>
        <w:t>• critérios de leitura do resultado</w:t>
      </w:r>
    </w:p>
    <w:p w14:paraId="1EAC9F47" w14:textId="77777777" w:rsidR="00307F19" w:rsidRPr="00D96F7E" w:rsidRDefault="00307F19" w:rsidP="00307F19">
      <w:pPr>
        <w:spacing w:after="0" w:line="360" w:lineRule="auto"/>
        <w:jc w:val="both"/>
        <w:rPr>
          <w:rFonts w:ascii="Arial" w:hAnsi="Arial" w:cs="Arial"/>
        </w:rPr>
      </w:pPr>
    </w:p>
    <w:p w14:paraId="5F67249B" w14:textId="77777777" w:rsidR="00307F19" w:rsidRPr="00D96F7E" w:rsidRDefault="00307F19" w:rsidP="00307F19">
      <w:pPr>
        <w:spacing w:after="0" w:line="360" w:lineRule="auto"/>
        <w:ind w:firstLine="708"/>
        <w:jc w:val="both"/>
        <w:rPr>
          <w:rFonts w:ascii="Arial" w:hAnsi="Arial" w:cs="Arial"/>
        </w:rPr>
      </w:pPr>
      <w:r w:rsidRPr="00D96F7E">
        <w:rPr>
          <w:rFonts w:ascii="Arial" w:hAnsi="Arial" w:cs="Arial"/>
        </w:rPr>
        <w:t>Pequenas variações nesses fatores podem modificar o diâmetro do halo ou o valor da CIM. Por isso, os testes seguem protocolos técnicos estabelecidos por comitês especializados em testes de suscetibilidade.</w:t>
      </w:r>
    </w:p>
    <w:p w14:paraId="12F448E5" w14:textId="77777777" w:rsidR="00307F19"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Independentemente do método utilizado, o teste de sensibilidade gera um dado microbiológico mensurável. Esse valor isolado, entretanto, ainda não define se a bactéria será classificada como sensível ou resistente. Para que isso ocorra, o resultado precisa ser comparado a critérios interpretativos específicos.</w:t>
      </w:r>
    </w:p>
    <w:p w14:paraId="409D32F6" w14:textId="77777777" w:rsidR="00307F19" w:rsidRDefault="00307F19" w:rsidP="00307F19">
      <w:pPr>
        <w:spacing w:after="0" w:line="360" w:lineRule="auto"/>
        <w:jc w:val="right"/>
        <w:rPr>
          <w:rFonts w:ascii="Arial" w:hAnsi="Arial" w:cs="Arial"/>
        </w:rPr>
      </w:pPr>
    </w:p>
    <w:p w14:paraId="69B8E2ED" w14:textId="5CE4350A" w:rsidR="00307F19" w:rsidRPr="0003129B" w:rsidRDefault="00307F19" w:rsidP="00307F19">
      <w:pPr>
        <w:spacing w:after="0" w:line="360" w:lineRule="auto"/>
        <w:jc w:val="right"/>
        <w:rPr>
          <w:rFonts w:ascii="Arial" w:hAnsi="Arial" w:cs="Arial"/>
        </w:rPr>
      </w:pPr>
      <w:r w:rsidRPr="0003129B">
        <w:rPr>
          <w:rFonts w:ascii="Arial" w:hAnsi="Arial" w:cs="Arial"/>
        </w:rPr>
        <w:t xml:space="preserve">Página </w:t>
      </w:r>
      <w:r>
        <w:rPr>
          <w:rFonts w:ascii="Arial" w:hAnsi="Arial" w:cs="Arial"/>
        </w:rPr>
        <w:t>4</w:t>
      </w:r>
      <w:r w:rsidR="00A53F43">
        <w:rPr>
          <w:rFonts w:ascii="Arial" w:hAnsi="Arial" w:cs="Arial"/>
        </w:rPr>
        <w:t>7</w:t>
      </w:r>
    </w:p>
    <w:p w14:paraId="74E69CF3" w14:textId="77777777" w:rsidR="00307F19" w:rsidRPr="0003129B" w:rsidRDefault="00307F19" w:rsidP="00307F19">
      <w:pPr>
        <w:spacing w:after="0" w:line="360" w:lineRule="auto"/>
        <w:jc w:val="both"/>
        <w:rPr>
          <w:rFonts w:ascii="Arial" w:hAnsi="Arial" w:cs="Arial"/>
          <w:b/>
          <w:bCs/>
        </w:rPr>
      </w:pPr>
    </w:p>
    <w:p w14:paraId="4E2003F9" w14:textId="77777777" w:rsidR="00307F19" w:rsidRPr="00D96F7E" w:rsidRDefault="00307F19" w:rsidP="00307F19">
      <w:pPr>
        <w:spacing w:after="0" w:line="360" w:lineRule="auto"/>
        <w:jc w:val="both"/>
        <w:rPr>
          <w:rFonts w:ascii="Arial" w:hAnsi="Arial" w:cs="Arial"/>
          <w:b/>
          <w:bCs/>
        </w:rPr>
      </w:pPr>
      <w:r w:rsidRPr="00D96F7E">
        <w:rPr>
          <w:rFonts w:ascii="Arial" w:hAnsi="Arial" w:cs="Arial"/>
          <w:b/>
          <w:bCs/>
        </w:rPr>
        <w:t>Breakpoints e categorias interpretativas</w:t>
      </w:r>
    </w:p>
    <w:p w14:paraId="3D453E4D" w14:textId="77777777" w:rsidR="00307F19" w:rsidRPr="00D96F7E" w:rsidRDefault="00307F19" w:rsidP="00307F19">
      <w:pPr>
        <w:spacing w:after="0" w:line="360" w:lineRule="auto"/>
        <w:jc w:val="both"/>
        <w:rPr>
          <w:rFonts w:ascii="Arial" w:hAnsi="Arial" w:cs="Arial"/>
        </w:rPr>
      </w:pPr>
    </w:p>
    <w:p w14:paraId="2473D775" w14:textId="77777777" w:rsidR="00307F19" w:rsidRPr="00D96F7E" w:rsidRDefault="00307F19" w:rsidP="00307F19">
      <w:pPr>
        <w:spacing w:after="0" w:line="360" w:lineRule="auto"/>
        <w:ind w:firstLine="708"/>
        <w:jc w:val="both"/>
        <w:rPr>
          <w:rFonts w:ascii="Arial" w:hAnsi="Arial" w:cs="Arial"/>
        </w:rPr>
      </w:pPr>
      <w:r w:rsidRPr="00D96F7E">
        <w:rPr>
          <w:rFonts w:ascii="Arial" w:hAnsi="Arial" w:cs="Arial"/>
        </w:rPr>
        <w:t xml:space="preserve">O diâmetro do halo observado na difusão em disco ou o valor da concentração inibitória mínima obtido na </w:t>
      </w:r>
      <w:proofErr w:type="spellStart"/>
      <w:r w:rsidRPr="00D96F7E">
        <w:rPr>
          <w:rFonts w:ascii="Arial" w:hAnsi="Arial" w:cs="Arial"/>
        </w:rPr>
        <w:t>microdiluição</w:t>
      </w:r>
      <w:proofErr w:type="spellEnd"/>
      <w:r w:rsidRPr="00D96F7E">
        <w:rPr>
          <w:rFonts w:ascii="Arial" w:hAnsi="Arial" w:cs="Arial"/>
        </w:rPr>
        <w:t xml:space="preserve"> representam medidas laboratoriais da atividade </w:t>
      </w:r>
      <w:r w:rsidRPr="00D96F7E">
        <w:rPr>
          <w:rFonts w:ascii="Arial" w:hAnsi="Arial" w:cs="Arial"/>
        </w:rPr>
        <w:lastRenderedPageBreak/>
        <w:t>do antibacteriano contra a bactéria testada. Esses valores, isoladamente, não indicam se o microrganismo deve ser considerado sensível ou resistente.</w:t>
      </w:r>
    </w:p>
    <w:p w14:paraId="0B1D61EC" w14:textId="02DD7C9D"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Para que o resultado possa ser interpretado, ele precisa ser comparado a pontos de corte previamente estabelecidos, denominados breakpoints</w:t>
      </w:r>
      <w:r>
        <w:rPr>
          <w:rFonts w:ascii="Arial" w:hAnsi="Arial" w:cs="Arial"/>
        </w:rPr>
        <w:t xml:space="preserve"> </w:t>
      </w:r>
      <w:sdt>
        <w:sdtPr>
          <w:rPr>
            <w:rFonts w:ascii="Arial" w:hAnsi="Arial" w:cs="Arial"/>
            <w:color w:val="000000"/>
          </w:rPr>
          <w:tag w:val="MENDELEY_CITATION_v3_eyJjaXRhdGlvbklEIjoiTUVOREVMRVlfQ0lUQVRJT05fNWRiOWIxMWUtODgyZS00MjY0LWI1MWMtY2UyYWM4NDVlMTli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
          <w:id w:val="-151371958"/>
          <w:placeholder>
            <w:docPart w:val="82205BD79BD447E18C2DB4CBDA176150"/>
          </w:placeholder>
        </w:sdtPr>
        <w:sdtEndPr/>
        <w:sdtContent>
          <w:r w:rsidR="006845EC" w:rsidRPr="006845EC">
            <w:rPr>
              <w:rFonts w:ascii="Arial" w:hAnsi="Arial" w:cs="Arial"/>
              <w:color w:val="000000"/>
            </w:rPr>
            <w:t>(1)</w:t>
          </w:r>
        </w:sdtContent>
      </w:sdt>
      <w:r w:rsidRPr="00D96F7E">
        <w:rPr>
          <w:rFonts w:ascii="Arial" w:hAnsi="Arial" w:cs="Arial"/>
        </w:rPr>
        <w:t>.</w:t>
      </w:r>
    </w:p>
    <w:p w14:paraId="014259FA" w14:textId="77777777" w:rsidR="00307F19" w:rsidRPr="00D96F7E" w:rsidRDefault="00307F19" w:rsidP="00307F19">
      <w:pPr>
        <w:spacing w:after="0" w:line="360" w:lineRule="auto"/>
        <w:jc w:val="both"/>
        <w:rPr>
          <w:rFonts w:ascii="Arial" w:hAnsi="Arial" w:cs="Arial"/>
        </w:rPr>
      </w:pPr>
      <w:r>
        <w:rPr>
          <w:rFonts w:ascii="Arial" w:hAnsi="Arial" w:cs="Arial"/>
        </w:rPr>
        <w:tab/>
      </w:r>
      <w:r w:rsidRPr="00463013">
        <w:rPr>
          <w:rFonts w:ascii="Arial" w:hAnsi="Arial" w:cs="Arial"/>
        </w:rPr>
        <w:t>O breakpoint é um limite interpretativo definido para combinações específicas entre microrganismo, antibacteriano e método de teste, utilizado para transformar um valor microbiológico mensurável</w:t>
      </w:r>
      <w:r>
        <w:rPr>
          <w:rFonts w:ascii="Arial" w:hAnsi="Arial" w:cs="Arial"/>
        </w:rPr>
        <w:t xml:space="preserve">, </w:t>
      </w:r>
      <w:r w:rsidRPr="00463013">
        <w:rPr>
          <w:rFonts w:ascii="Arial" w:hAnsi="Arial" w:cs="Arial"/>
        </w:rPr>
        <w:t>como halo de inibição ou CIM</w:t>
      </w:r>
      <w:r>
        <w:rPr>
          <w:rFonts w:ascii="Arial" w:hAnsi="Arial" w:cs="Arial"/>
        </w:rPr>
        <w:t xml:space="preserve">, </w:t>
      </w:r>
      <w:r w:rsidRPr="00463013">
        <w:rPr>
          <w:rFonts w:ascii="Arial" w:hAnsi="Arial" w:cs="Arial"/>
        </w:rPr>
        <w:t>em uma categoria interpretativa padronizada.</w:t>
      </w:r>
      <w:r w:rsidRPr="00D96F7E">
        <w:rPr>
          <w:rFonts w:ascii="Arial" w:hAnsi="Arial" w:cs="Arial"/>
        </w:rPr>
        <w:t xml:space="preserve"> A partir dessa comparação, o laboratório classifica o resultado como Sensível (S), </w:t>
      </w:r>
      <w:r w:rsidRPr="00463013">
        <w:rPr>
          <w:rFonts w:ascii="Arial" w:hAnsi="Arial" w:cs="Arial"/>
        </w:rPr>
        <w:t>Sensível, aumentando exposição (I)</w:t>
      </w:r>
      <w:r w:rsidRPr="00D96F7E">
        <w:rPr>
          <w:rFonts w:ascii="Arial" w:hAnsi="Arial" w:cs="Arial"/>
        </w:rPr>
        <w:t xml:space="preserve"> </w:t>
      </w:r>
      <w:proofErr w:type="gramStart"/>
      <w:r w:rsidRPr="00D96F7E">
        <w:rPr>
          <w:rFonts w:ascii="Arial" w:hAnsi="Arial" w:cs="Arial"/>
        </w:rPr>
        <w:t>ou Resistente</w:t>
      </w:r>
      <w:proofErr w:type="gramEnd"/>
      <w:r w:rsidRPr="00D96F7E">
        <w:rPr>
          <w:rFonts w:ascii="Arial" w:hAnsi="Arial" w:cs="Arial"/>
        </w:rPr>
        <w:t xml:space="preserve"> (R).</w:t>
      </w:r>
    </w:p>
    <w:p w14:paraId="69828AFC"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Esses pontos de corte são definidos por comitês técnicos especializados em testes de suscetibilidade antimicrobiana. A definição dos breakpoints considera a integração de diferentes tipos de evidência:</w:t>
      </w:r>
    </w:p>
    <w:p w14:paraId="501AC41B" w14:textId="77777777" w:rsidR="00307F19" w:rsidRPr="00D96F7E" w:rsidRDefault="00307F19" w:rsidP="00307F19">
      <w:pPr>
        <w:spacing w:after="0" w:line="360" w:lineRule="auto"/>
        <w:jc w:val="both"/>
        <w:rPr>
          <w:rFonts w:ascii="Arial" w:hAnsi="Arial" w:cs="Arial"/>
        </w:rPr>
      </w:pPr>
    </w:p>
    <w:p w14:paraId="2DE22DF4" w14:textId="77777777" w:rsidR="00307F19" w:rsidRPr="00D96F7E" w:rsidRDefault="00307F19" w:rsidP="00307F19">
      <w:pPr>
        <w:spacing w:after="0" w:line="360" w:lineRule="auto"/>
        <w:jc w:val="both"/>
        <w:rPr>
          <w:rFonts w:ascii="Arial" w:hAnsi="Arial" w:cs="Arial"/>
        </w:rPr>
      </w:pPr>
      <w:r w:rsidRPr="00D96F7E">
        <w:rPr>
          <w:rFonts w:ascii="Arial" w:hAnsi="Arial" w:cs="Arial"/>
        </w:rPr>
        <w:t>• distribuição das CIM observadas na população bacteriana</w:t>
      </w:r>
    </w:p>
    <w:p w14:paraId="5909C3EE" w14:textId="77777777" w:rsidR="00307F19" w:rsidRPr="00D96F7E" w:rsidRDefault="00307F19" w:rsidP="00307F19">
      <w:pPr>
        <w:spacing w:after="0" w:line="360" w:lineRule="auto"/>
        <w:jc w:val="both"/>
        <w:rPr>
          <w:rFonts w:ascii="Arial" w:hAnsi="Arial" w:cs="Arial"/>
        </w:rPr>
      </w:pPr>
      <w:r w:rsidRPr="00D96F7E">
        <w:rPr>
          <w:rFonts w:ascii="Arial" w:hAnsi="Arial" w:cs="Arial"/>
        </w:rPr>
        <w:t>• características farmacocinéticas e farmacodinâmicas do antibacteriano</w:t>
      </w:r>
    </w:p>
    <w:p w14:paraId="66AE5694" w14:textId="77777777" w:rsidR="00307F19" w:rsidRPr="00D96F7E" w:rsidRDefault="00307F19" w:rsidP="00307F19">
      <w:pPr>
        <w:spacing w:after="0" w:line="360" w:lineRule="auto"/>
        <w:jc w:val="both"/>
        <w:rPr>
          <w:rFonts w:ascii="Arial" w:hAnsi="Arial" w:cs="Arial"/>
        </w:rPr>
      </w:pPr>
      <w:r w:rsidRPr="00D96F7E">
        <w:rPr>
          <w:rFonts w:ascii="Arial" w:hAnsi="Arial" w:cs="Arial"/>
        </w:rPr>
        <w:t>• dados clínicos disponíveis sobre eficácia terapêutica</w:t>
      </w:r>
    </w:p>
    <w:p w14:paraId="493C52CB" w14:textId="77777777" w:rsidR="00307F19" w:rsidRPr="00D96F7E" w:rsidRDefault="00307F19" w:rsidP="00307F19">
      <w:pPr>
        <w:spacing w:after="0" w:line="360" w:lineRule="auto"/>
        <w:jc w:val="both"/>
        <w:rPr>
          <w:rFonts w:ascii="Arial" w:hAnsi="Arial" w:cs="Arial"/>
        </w:rPr>
      </w:pPr>
    </w:p>
    <w:p w14:paraId="2A410639" w14:textId="670F22E0" w:rsidR="00307F19" w:rsidRPr="00D96F7E" w:rsidRDefault="00307F19" w:rsidP="00307F19">
      <w:pPr>
        <w:spacing w:after="0" w:line="360" w:lineRule="auto"/>
        <w:ind w:firstLine="708"/>
        <w:jc w:val="both"/>
        <w:rPr>
          <w:rFonts w:ascii="Arial" w:hAnsi="Arial" w:cs="Arial"/>
        </w:rPr>
      </w:pPr>
      <w:r w:rsidRPr="00D96F7E">
        <w:rPr>
          <w:rFonts w:ascii="Arial" w:hAnsi="Arial" w:cs="Arial"/>
        </w:rPr>
        <w:t>Os breakpoints são específicos para cada combinação entre microrganismo e antibacteriano. Um mesmo valor de CIM pode receber interpretações diferentes dependendo da espécie bacteriana analisada. Da mesma forma, os critérios aplicados ao método de difusão em disco não são os mesmos utilizados para valores de CIM</w:t>
      </w:r>
      <w:r>
        <w:rPr>
          <w:rFonts w:ascii="Arial" w:hAnsi="Arial" w:cs="Arial"/>
        </w:rPr>
        <w:t xml:space="preserve"> </w:t>
      </w:r>
      <w:sdt>
        <w:sdtPr>
          <w:rPr>
            <w:rFonts w:ascii="Arial" w:hAnsi="Arial" w:cs="Arial"/>
            <w:color w:val="000000"/>
          </w:rPr>
          <w:tag w:val="MENDELEY_CITATION_v3_eyJjaXRhdGlvbklEIjoiTUVOREVMRVlfQ0lUQVRJT05fMzFmZjVhODUtNGRjNi00MzNiLWE0NDItOTk3ZmFlZjdkODhj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
          <w:id w:val="696516938"/>
          <w:placeholder>
            <w:docPart w:val="82205BD79BD447E18C2DB4CBDA176150"/>
          </w:placeholder>
        </w:sdtPr>
        <w:sdtEndPr/>
        <w:sdtContent>
          <w:r w:rsidR="006845EC" w:rsidRPr="006845EC">
            <w:rPr>
              <w:rFonts w:ascii="Arial" w:hAnsi="Arial" w:cs="Arial"/>
              <w:color w:val="000000"/>
            </w:rPr>
            <w:t>(1)</w:t>
          </w:r>
        </w:sdtContent>
      </w:sdt>
      <w:r w:rsidRPr="00D96F7E">
        <w:rPr>
          <w:rFonts w:ascii="Arial" w:hAnsi="Arial" w:cs="Arial"/>
        </w:rPr>
        <w:t>.</w:t>
      </w:r>
    </w:p>
    <w:p w14:paraId="1B986F55" w14:textId="77777777" w:rsidR="00307F19" w:rsidRPr="00D96F7E" w:rsidRDefault="00307F19" w:rsidP="00307F19">
      <w:pPr>
        <w:spacing w:after="0" w:line="360" w:lineRule="auto"/>
        <w:ind w:firstLine="708"/>
        <w:jc w:val="both"/>
        <w:rPr>
          <w:rFonts w:ascii="Arial" w:hAnsi="Arial" w:cs="Arial"/>
        </w:rPr>
      </w:pPr>
      <w:r w:rsidRPr="00D96F7E">
        <w:rPr>
          <w:rFonts w:ascii="Arial" w:hAnsi="Arial" w:cs="Arial"/>
        </w:rPr>
        <w:t>Após a aplicação desses critérios interpretativos, o resultado passa a ser expresso nas categorias padronizadas do antibiograma.</w:t>
      </w:r>
    </w:p>
    <w:p w14:paraId="41F3D351" w14:textId="77777777" w:rsidR="00307F19" w:rsidRPr="00D96F7E" w:rsidRDefault="00307F19" w:rsidP="00307F19">
      <w:pPr>
        <w:spacing w:after="0" w:line="360" w:lineRule="auto"/>
        <w:jc w:val="both"/>
        <w:rPr>
          <w:rFonts w:ascii="Arial" w:hAnsi="Arial" w:cs="Arial"/>
        </w:rPr>
      </w:pPr>
    </w:p>
    <w:p w14:paraId="41FE902F" w14:textId="77777777" w:rsidR="00307F19" w:rsidRPr="00D96F7E" w:rsidRDefault="00307F19" w:rsidP="00307F19">
      <w:pPr>
        <w:spacing w:after="0" w:line="360" w:lineRule="auto"/>
        <w:jc w:val="both"/>
        <w:rPr>
          <w:rFonts w:ascii="Arial" w:hAnsi="Arial" w:cs="Arial"/>
        </w:rPr>
      </w:pPr>
      <w:r w:rsidRPr="00D96F7E">
        <w:rPr>
          <w:rFonts w:ascii="Arial" w:hAnsi="Arial" w:cs="Arial"/>
        </w:rPr>
        <w:t>Sensível (S)</w:t>
      </w:r>
    </w:p>
    <w:p w14:paraId="5DEE3908" w14:textId="77777777" w:rsidR="00307F19" w:rsidRDefault="00307F19" w:rsidP="00307F19">
      <w:pPr>
        <w:spacing w:after="0" w:line="360" w:lineRule="auto"/>
        <w:jc w:val="both"/>
        <w:rPr>
          <w:rFonts w:ascii="Arial" w:hAnsi="Arial" w:cs="Arial"/>
        </w:rPr>
      </w:pPr>
      <w:r w:rsidRPr="002D7249">
        <w:rPr>
          <w:rFonts w:ascii="Arial" w:hAnsi="Arial" w:cs="Arial"/>
        </w:rPr>
        <w:t>Indica que o valor obtido no teste está dentro da faixa associada a alta probabilidade de sucesso terapêutico quando a exposição ao antibacteriano é apropriada para o sítio de infecção e o regime posológico recomendado.</w:t>
      </w:r>
    </w:p>
    <w:p w14:paraId="170EDF92" w14:textId="77777777" w:rsidR="00307F19" w:rsidRPr="00D96F7E" w:rsidRDefault="00307F19" w:rsidP="00307F19">
      <w:pPr>
        <w:spacing w:after="0" w:line="360" w:lineRule="auto"/>
        <w:jc w:val="both"/>
        <w:rPr>
          <w:rFonts w:ascii="Arial" w:hAnsi="Arial" w:cs="Arial"/>
        </w:rPr>
      </w:pPr>
    </w:p>
    <w:p w14:paraId="30A39A97" w14:textId="77777777" w:rsidR="00307F19" w:rsidRPr="00D96F7E" w:rsidRDefault="00307F19" w:rsidP="00307F19">
      <w:pPr>
        <w:spacing w:after="0" w:line="360" w:lineRule="auto"/>
        <w:jc w:val="both"/>
        <w:rPr>
          <w:rFonts w:ascii="Arial" w:hAnsi="Arial" w:cs="Arial"/>
        </w:rPr>
      </w:pPr>
      <w:r>
        <w:rPr>
          <w:rFonts w:ascii="Arial" w:hAnsi="Arial" w:cs="Arial"/>
        </w:rPr>
        <w:t>Sensível, aumentando exposição</w:t>
      </w:r>
      <w:r w:rsidRPr="00D96F7E">
        <w:rPr>
          <w:rFonts w:ascii="Arial" w:hAnsi="Arial" w:cs="Arial"/>
        </w:rPr>
        <w:t xml:space="preserve"> (I)</w:t>
      </w:r>
    </w:p>
    <w:p w14:paraId="0F6E4F53" w14:textId="77777777" w:rsidR="00307F19" w:rsidRPr="00D96F7E" w:rsidRDefault="00307F19" w:rsidP="00307F19">
      <w:pPr>
        <w:spacing w:after="0" w:line="360" w:lineRule="auto"/>
        <w:jc w:val="both"/>
        <w:rPr>
          <w:rFonts w:ascii="Arial" w:hAnsi="Arial" w:cs="Arial"/>
        </w:rPr>
      </w:pPr>
      <w:r w:rsidRPr="00D96F7E">
        <w:rPr>
          <w:rFonts w:ascii="Arial" w:hAnsi="Arial" w:cs="Arial"/>
        </w:rPr>
        <w:t>Corresponde a uma faixa limítrofe de suscetibilidade. Nessa situação, a probabilidade de sucesso terapêutico depende de maior exposição ao antibacteriano, o que pode ocorrer, por exemplo, em regimes posológicos otimizados ou em locais do organismo onde a concentração do fármaco é naturalmente mais elevada.</w:t>
      </w:r>
    </w:p>
    <w:p w14:paraId="15E5ED09" w14:textId="77777777" w:rsidR="00307F19" w:rsidRPr="00D96F7E" w:rsidRDefault="00307F19" w:rsidP="00307F19">
      <w:pPr>
        <w:spacing w:after="0" w:line="360" w:lineRule="auto"/>
        <w:jc w:val="both"/>
        <w:rPr>
          <w:rFonts w:ascii="Arial" w:hAnsi="Arial" w:cs="Arial"/>
        </w:rPr>
      </w:pPr>
    </w:p>
    <w:p w14:paraId="30C3297E" w14:textId="77777777" w:rsidR="00307F19" w:rsidRPr="00D96F7E" w:rsidRDefault="00307F19" w:rsidP="00307F19">
      <w:pPr>
        <w:spacing w:after="0" w:line="360" w:lineRule="auto"/>
        <w:jc w:val="both"/>
        <w:rPr>
          <w:rFonts w:ascii="Arial" w:hAnsi="Arial" w:cs="Arial"/>
        </w:rPr>
      </w:pPr>
      <w:r w:rsidRPr="00D96F7E">
        <w:rPr>
          <w:rFonts w:ascii="Arial" w:hAnsi="Arial" w:cs="Arial"/>
        </w:rPr>
        <w:t>Resistente (R)</w:t>
      </w:r>
    </w:p>
    <w:p w14:paraId="4A1B9B98" w14:textId="77777777" w:rsidR="00307F19" w:rsidRPr="00D96F7E" w:rsidRDefault="00307F19" w:rsidP="00307F19">
      <w:pPr>
        <w:spacing w:after="0" w:line="360" w:lineRule="auto"/>
        <w:jc w:val="both"/>
        <w:rPr>
          <w:rFonts w:ascii="Arial" w:hAnsi="Arial" w:cs="Arial"/>
        </w:rPr>
      </w:pPr>
      <w:r w:rsidRPr="00D96F7E">
        <w:rPr>
          <w:rFonts w:ascii="Arial" w:hAnsi="Arial" w:cs="Arial"/>
        </w:rPr>
        <w:lastRenderedPageBreak/>
        <w:t>Indica que o valor obtido no teste ultrapassa o limite associado à probabilidade aceitável de inibição bacteriana, mesmo quando se considera aumento de exposição ao antibacteriano.</w:t>
      </w:r>
    </w:p>
    <w:p w14:paraId="202CE160" w14:textId="77777777" w:rsidR="00307F19" w:rsidRPr="00D96F7E" w:rsidRDefault="00307F19" w:rsidP="00307F19">
      <w:pPr>
        <w:spacing w:after="0" w:line="360" w:lineRule="auto"/>
        <w:jc w:val="both"/>
        <w:rPr>
          <w:rFonts w:ascii="Arial" w:hAnsi="Arial" w:cs="Arial"/>
        </w:rPr>
      </w:pPr>
    </w:p>
    <w:p w14:paraId="74CEDA77" w14:textId="77777777" w:rsidR="00307F19" w:rsidRPr="00D96F7E" w:rsidRDefault="00307F19" w:rsidP="00307F19">
      <w:pPr>
        <w:spacing w:after="0" w:line="360" w:lineRule="auto"/>
        <w:ind w:firstLine="708"/>
        <w:jc w:val="both"/>
        <w:rPr>
          <w:rFonts w:ascii="Arial" w:hAnsi="Arial" w:cs="Arial"/>
        </w:rPr>
      </w:pPr>
      <w:r w:rsidRPr="00D96F7E">
        <w:rPr>
          <w:rFonts w:ascii="Arial" w:hAnsi="Arial" w:cs="Arial"/>
        </w:rPr>
        <w:t>É importante reconhecer que essas categorias não representam propriedades absolutas da bactéria. Elas correspondem à aplicação de critérios interpretativos padronizados sobre um valor obtido no teste laboratorial.</w:t>
      </w:r>
    </w:p>
    <w:p w14:paraId="3EA00915"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Quando o resultado do teste se encontra muito próximo ao breakpoint, pequenas variações metodológicas podem alterar a categoria final atribuída. Essa mudança não significa necessariamente modificação biológica relevante do microrganismo, mas apenas a aplicação da regra interpretativa ao valor observado.</w:t>
      </w:r>
    </w:p>
    <w:p w14:paraId="1C893C3A" w14:textId="77777777" w:rsidR="00307F19" w:rsidRPr="00D96F7E" w:rsidRDefault="00307F19" w:rsidP="00307F19">
      <w:pPr>
        <w:spacing w:after="0" w:line="360" w:lineRule="auto"/>
        <w:jc w:val="both"/>
        <w:rPr>
          <w:rFonts w:ascii="Arial" w:hAnsi="Arial" w:cs="Arial"/>
        </w:rPr>
      </w:pPr>
    </w:p>
    <w:p w14:paraId="57D84F7E" w14:textId="2ADA413C" w:rsidR="00307F19" w:rsidRPr="0003129B" w:rsidRDefault="00307F19" w:rsidP="00307F19">
      <w:pPr>
        <w:spacing w:after="0" w:line="360" w:lineRule="auto"/>
        <w:jc w:val="right"/>
        <w:rPr>
          <w:rFonts w:ascii="Arial" w:hAnsi="Arial" w:cs="Arial"/>
        </w:rPr>
      </w:pPr>
      <w:r w:rsidRPr="0003129B">
        <w:rPr>
          <w:rFonts w:ascii="Arial" w:hAnsi="Arial" w:cs="Arial"/>
        </w:rPr>
        <w:t xml:space="preserve">Página </w:t>
      </w:r>
      <w:r>
        <w:rPr>
          <w:rFonts w:ascii="Arial" w:hAnsi="Arial" w:cs="Arial"/>
        </w:rPr>
        <w:t>4</w:t>
      </w:r>
      <w:r w:rsidR="00A53F43">
        <w:rPr>
          <w:rFonts w:ascii="Arial" w:hAnsi="Arial" w:cs="Arial"/>
        </w:rPr>
        <w:t>8</w:t>
      </w:r>
      <w:r w:rsidR="00D00A5C">
        <w:rPr>
          <w:rFonts w:ascii="Arial" w:hAnsi="Arial" w:cs="Arial"/>
        </w:rPr>
        <w:t>, 49 , 50</w:t>
      </w:r>
    </w:p>
    <w:p w14:paraId="206E671F" w14:textId="77777777" w:rsidR="00307F19" w:rsidRPr="0003129B" w:rsidRDefault="00307F19" w:rsidP="00307F19">
      <w:pPr>
        <w:spacing w:after="0" w:line="360" w:lineRule="auto"/>
        <w:jc w:val="both"/>
        <w:rPr>
          <w:rFonts w:ascii="Arial" w:hAnsi="Arial" w:cs="Arial"/>
          <w:b/>
          <w:bCs/>
        </w:rPr>
      </w:pPr>
    </w:p>
    <w:p w14:paraId="4676DBA4" w14:textId="77777777" w:rsidR="00307F19" w:rsidRPr="00D96F7E" w:rsidRDefault="00307F19" w:rsidP="00307F19">
      <w:pPr>
        <w:spacing w:after="0" w:line="360" w:lineRule="auto"/>
        <w:jc w:val="both"/>
        <w:rPr>
          <w:rFonts w:ascii="Arial" w:hAnsi="Arial" w:cs="Arial"/>
          <w:b/>
          <w:bCs/>
        </w:rPr>
      </w:pPr>
      <w:r w:rsidRPr="00D96F7E">
        <w:rPr>
          <w:rFonts w:ascii="Arial" w:hAnsi="Arial" w:cs="Arial"/>
          <w:b/>
          <w:bCs/>
        </w:rPr>
        <w:t>Observações do laudo que modificam a interpretação</w:t>
      </w:r>
    </w:p>
    <w:p w14:paraId="58D4F213" w14:textId="77777777" w:rsidR="00307F19" w:rsidRPr="00D96F7E" w:rsidRDefault="00307F19" w:rsidP="00307F19">
      <w:pPr>
        <w:spacing w:after="0" w:line="360" w:lineRule="auto"/>
        <w:jc w:val="both"/>
        <w:rPr>
          <w:rFonts w:ascii="Arial" w:hAnsi="Arial" w:cs="Arial"/>
        </w:rPr>
      </w:pPr>
    </w:p>
    <w:p w14:paraId="7C57B863" w14:textId="77777777" w:rsidR="00307F19" w:rsidRPr="00D96F7E" w:rsidRDefault="00307F19" w:rsidP="00307F19">
      <w:pPr>
        <w:spacing w:after="0" w:line="360" w:lineRule="auto"/>
        <w:ind w:firstLine="708"/>
        <w:jc w:val="both"/>
        <w:rPr>
          <w:rFonts w:ascii="Arial" w:hAnsi="Arial" w:cs="Arial"/>
        </w:rPr>
      </w:pPr>
      <w:r w:rsidRPr="00D96F7E">
        <w:rPr>
          <w:rFonts w:ascii="Arial" w:hAnsi="Arial" w:cs="Arial"/>
        </w:rPr>
        <w:t>Além das categorias interpretativas do antibiograma, o laudo microbiológico pode incluir observações adicionais relacionadas a mecanismos específicos de resistência bacteriana. Essas informações não substituem o resultado do teste de sensibilidade, mas podem modificar a forma como o painel de antibacterianos deve ser interpretado.</w:t>
      </w:r>
    </w:p>
    <w:p w14:paraId="4C49A6F9"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Alguns mecanismos de resistência produzem alterações previsíveis no perfil de suscetibilidade e, por essa razão, são frequentemente destacados no laudo microbiológico. A presença dessas observações indica que o laboratório identificou um mecanismo biológico capaz de interferir na atividade de determinadas classes de antibacterianos.</w:t>
      </w:r>
    </w:p>
    <w:p w14:paraId="409785C9" w14:textId="550BD26D"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Entre os mecanismos mais frequentemente relatados na prática clínica estão as β-</w:t>
      </w:r>
      <w:proofErr w:type="spellStart"/>
      <w:r w:rsidRPr="00D96F7E">
        <w:rPr>
          <w:rFonts w:ascii="Arial" w:hAnsi="Arial" w:cs="Arial"/>
        </w:rPr>
        <w:t>lactamases</w:t>
      </w:r>
      <w:proofErr w:type="spellEnd"/>
      <w:r w:rsidRPr="00D96F7E">
        <w:rPr>
          <w:rFonts w:ascii="Arial" w:hAnsi="Arial" w:cs="Arial"/>
        </w:rPr>
        <w:t xml:space="preserve"> de espectro estendido (ESBL). Essas enzimas são produzidas por algumas bactérias da ordem </w:t>
      </w:r>
      <w:proofErr w:type="spellStart"/>
      <w:r w:rsidRPr="00D96F7E">
        <w:rPr>
          <w:rFonts w:ascii="Arial" w:hAnsi="Arial" w:cs="Arial"/>
        </w:rPr>
        <w:t>Enterobacterales</w:t>
      </w:r>
      <w:proofErr w:type="spellEnd"/>
      <w:r w:rsidRPr="00D96F7E">
        <w:rPr>
          <w:rFonts w:ascii="Arial" w:hAnsi="Arial" w:cs="Arial"/>
        </w:rPr>
        <w:t xml:space="preserve"> e possuem capacidade de hidrolisar diversas penicilinas e cefalosporinas de amplo espectro. </w:t>
      </w:r>
      <w:r w:rsidRPr="002D7249">
        <w:rPr>
          <w:rFonts w:ascii="Arial" w:hAnsi="Arial" w:cs="Arial"/>
        </w:rPr>
        <w:t>A detecção desse mecanismo modifica a interpretação de parte do painel de β-lactâmicos de acordo com as regras interpretativas adotadas pelo sistema normativo do laboratório</w:t>
      </w:r>
      <w:r>
        <w:rPr>
          <w:rFonts w:ascii="Arial" w:hAnsi="Arial" w:cs="Arial"/>
        </w:rPr>
        <w:t xml:space="preserve"> </w:t>
      </w:r>
      <w:sdt>
        <w:sdtPr>
          <w:rPr>
            <w:rFonts w:ascii="Arial" w:hAnsi="Arial" w:cs="Arial"/>
            <w:color w:val="000000"/>
          </w:rPr>
          <w:tag w:val="MENDELEY_CITATION_v3_eyJjaXRhdGlvbklEIjoiTUVOREVMRVlfQ0lUQVRJT05fYjhiNDJlOTctZWFmZi00MjE1LTllZTgtNjkwNGUzYzEyNWQ2IiwicHJvcGVydGllcyI6eyJub3RlSW5kZXgiOjB9LCJpc0VkaXRlZCI6ZmFsc2UsIm1hbnVhbE92ZXJyaWRlIjp7ImlzTWFudWFsbHlPdmVycmlkZGVuIjpmYWxzZSwiY2l0ZXByb2NUZXh0IjoiKDY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
          <w:id w:val="-1520463189"/>
          <w:placeholder>
            <w:docPart w:val="82205BD79BD447E18C2DB4CBDA176150"/>
          </w:placeholder>
        </w:sdtPr>
        <w:sdtEndPr/>
        <w:sdtContent>
          <w:r w:rsidR="006845EC" w:rsidRPr="006845EC">
            <w:rPr>
              <w:rFonts w:ascii="Arial" w:hAnsi="Arial" w:cs="Arial"/>
              <w:color w:val="000000"/>
            </w:rPr>
            <w:t>(6)</w:t>
          </w:r>
        </w:sdtContent>
      </w:sdt>
      <w:r w:rsidRPr="002D7249">
        <w:rPr>
          <w:rFonts w:ascii="Arial" w:hAnsi="Arial" w:cs="Arial"/>
        </w:rPr>
        <w:t>.</w:t>
      </w:r>
    </w:p>
    <w:p w14:paraId="0FF43601" w14:textId="75C8F87C"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Outro mecanismo relevante envolve a produção de β-</w:t>
      </w:r>
      <w:proofErr w:type="spellStart"/>
      <w:r w:rsidRPr="00D96F7E">
        <w:rPr>
          <w:rFonts w:ascii="Arial" w:hAnsi="Arial" w:cs="Arial"/>
        </w:rPr>
        <w:t>lactamases</w:t>
      </w:r>
      <w:proofErr w:type="spellEnd"/>
      <w:r w:rsidRPr="00D96F7E">
        <w:rPr>
          <w:rFonts w:ascii="Arial" w:hAnsi="Arial" w:cs="Arial"/>
        </w:rPr>
        <w:t xml:space="preserve"> do tipo </w:t>
      </w:r>
      <w:proofErr w:type="spellStart"/>
      <w:r w:rsidRPr="00D96F7E">
        <w:rPr>
          <w:rFonts w:ascii="Arial" w:hAnsi="Arial" w:cs="Arial"/>
        </w:rPr>
        <w:t>AmpC</w:t>
      </w:r>
      <w:proofErr w:type="spellEnd"/>
      <w:r w:rsidRPr="00D96F7E">
        <w:rPr>
          <w:rFonts w:ascii="Arial" w:hAnsi="Arial" w:cs="Arial"/>
        </w:rPr>
        <w:t xml:space="preserve">. Essas enzimas podem estar presentes de forma cromossômica em determinadas espécies bacterianas e apresentar expressão induzível durante a exposição a alguns antibacterianos. </w:t>
      </w:r>
      <w:r w:rsidRPr="002D7249">
        <w:rPr>
          <w:rFonts w:ascii="Arial" w:hAnsi="Arial" w:cs="Arial"/>
        </w:rPr>
        <w:t xml:space="preserve">Algumas espécies dos gêneros </w:t>
      </w:r>
      <w:proofErr w:type="spellStart"/>
      <w:r w:rsidRPr="002D7249">
        <w:rPr>
          <w:rFonts w:ascii="Arial" w:hAnsi="Arial" w:cs="Arial"/>
        </w:rPr>
        <w:t>Enterobacter</w:t>
      </w:r>
      <w:proofErr w:type="spellEnd"/>
      <w:r w:rsidRPr="002D7249">
        <w:rPr>
          <w:rFonts w:ascii="Arial" w:hAnsi="Arial" w:cs="Arial"/>
        </w:rPr>
        <w:t xml:space="preserve">, </w:t>
      </w:r>
      <w:proofErr w:type="spellStart"/>
      <w:r w:rsidRPr="002D7249">
        <w:rPr>
          <w:rFonts w:ascii="Arial" w:hAnsi="Arial" w:cs="Arial"/>
        </w:rPr>
        <w:t>Citrobacter</w:t>
      </w:r>
      <w:proofErr w:type="spellEnd"/>
      <w:r w:rsidRPr="002D7249">
        <w:rPr>
          <w:rFonts w:ascii="Arial" w:hAnsi="Arial" w:cs="Arial"/>
        </w:rPr>
        <w:t xml:space="preserve">, </w:t>
      </w:r>
      <w:proofErr w:type="spellStart"/>
      <w:r w:rsidRPr="002D7249">
        <w:rPr>
          <w:rFonts w:ascii="Arial" w:hAnsi="Arial" w:cs="Arial"/>
        </w:rPr>
        <w:t>Serratia</w:t>
      </w:r>
      <w:proofErr w:type="spellEnd"/>
      <w:r w:rsidRPr="002D7249">
        <w:rPr>
          <w:rFonts w:ascii="Arial" w:hAnsi="Arial" w:cs="Arial"/>
        </w:rPr>
        <w:t xml:space="preserve">, Providencia e </w:t>
      </w:r>
      <w:proofErr w:type="spellStart"/>
      <w:r w:rsidRPr="002D7249">
        <w:rPr>
          <w:rFonts w:ascii="Arial" w:hAnsi="Arial" w:cs="Arial"/>
        </w:rPr>
        <w:t>Morganella</w:t>
      </w:r>
      <w:proofErr w:type="spellEnd"/>
      <w:r w:rsidRPr="002D7249">
        <w:rPr>
          <w:rFonts w:ascii="Arial" w:hAnsi="Arial" w:cs="Arial"/>
        </w:rPr>
        <w:t xml:space="preserve"> são classicamente associadas à possibilidade de produção </w:t>
      </w:r>
      <w:r w:rsidRPr="002D7249">
        <w:rPr>
          <w:rFonts w:ascii="Arial" w:hAnsi="Arial" w:cs="Arial"/>
        </w:rPr>
        <w:lastRenderedPageBreak/>
        <w:t xml:space="preserve">de </w:t>
      </w:r>
      <w:proofErr w:type="spellStart"/>
      <w:r w:rsidRPr="002D7249">
        <w:rPr>
          <w:rFonts w:ascii="Arial" w:hAnsi="Arial" w:cs="Arial"/>
        </w:rPr>
        <w:t>AmpC</w:t>
      </w:r>
      <w:proofErr w:type="spellEnd"/>
      <w:r w:rsidRPr="002D7249">
        <w:rPr>
          <w:rFonts w:ascii="Arial" w:hAnsi="Arial" w:cs="Arial"/>
        </w:rPr>
        <w:t xml:space="preserve"> cromossômica e podem apresentar expressão induzível durante a exposição a determinados β-lactâmicos.</w:t>
      </w:r>
      <w:r w:rsidRPr="00D96F7E">
        <w:rPr>
          <w:rFonts w:ascii="Arial" w:hAnsi="Arial" w:cs="Arial"/>
        </w:rPr>
        <w:t xml:space="preserve"> A identificação dessas bactérias já indica a possibilidade de produção de </w:t>
      </w:r>
      <w:proofErr w:type="spellStart"/>
      <w:r w:rsidRPr="00D96F7E">
        <w:rPr>
          <w:rFonts w:ascii="Arial" w:hAnsi="Arial" w:cs="Arial"/>
        </w:rPr>
        <w:t>AmpC</w:t>
      </w:r>
      <w:proofErr w:type="spellEnd"/>
      <w:r w:rsidRPr="00D96F7E">
        <w:rPr>
          <w:rFonts w:ascii="Arial" w:hAnsi="Arial" w:cs="Arial"/>
        </w:rPr>
        <w:t xml:space="preserve"> e influencia a leitura do painel de suscetibilidade</w:t>
      </w:r>
      <w:r>
        <w:rPr>
          <w:rFonts w:ascii="Arial" w:hAnsi="Arial" w:cs="Arial"/>
        </w:rPr>
        <w:t xml:space="preserve"> </w:t>
      </w:r>
      <w:sdt>
        <w:sdtPr>
          <w:rPr>
            <w:rFonts w:ascii="Arial" w:hAnsi="Arial" w:cs="Arial"/>
            <w:color w:val="000000"/>
          </w:rPr>
          <w:tag w:val="MENDELEY_CITATION_v3_eyJjaXRhdGlvbklEIjoiTUVOREVMRVlfQ0lUQVRJT05fYzFhOGJhNWMtYjAwNC00NTRjLTk3ZTQtMzQ1ZTgzYTEzMTY3IiwicHJvcGVydGllcyI6eyJub3RlSW5kZXgiOjB9LCJpc0VkaXRlZCI6ZmFsc2UsIm1hbnVhbE92ZXJyaWRlIjp7ImlzTWFudWFsbHlPdmVycmlkZGVuIjpmYWxzZSwiY2l0ZXByb2NUZXh0IjoiKDY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
          <w:id w:val="247402857"/>
          <w:placeholder>
            <w:docPart w:val="82205BD79BD447E18C2DB4CBDA176150"/>
          </w:placeholder>
        </w:sdtPr>
        <w:sdtEndPr/>
        <w:sdtContent>
          <w:r w:rsidR="006845EC" w:rsidRPr="006845EC">
            <w:rPr>
              <w:rFonts w:ascii="Arial" w:hAnsi="Arial" w:cs="Arial"/>
              <w:color w:val="000000"/>
            </w:rPr>
            <w:t>(6)</w:t>
          </w:r>
        </w:sdtContent>
      </w:sdt>
      <w:r w:rsidRPr="00D96F7E">
        <w:rPr>
          <w:rFonts w:ascii="Arial" w:hAnsi="Arial" w:cs="Arial"/>
        </w:rPr>
        <w:t>.</w:t>
      </w:r>
    </w:p>
    <w:p w14:paraId="26C890DE" w14:textId="7C8BF65B"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 xml:space="preserve">Entre os mecanismos que comprometem a atividade de </w:t>
      </w:r>
      <w:proofErr w:type="spellStart"/>
      <w:r w:rsidRPr="00D96F7E">
        <w:rPr>
          <w:rFonts w:ascii="Arial" w:hAnsi="Arial" w:cs="Arial"/>
        </w:rPr>
        <w:t>carbapenêmicos</w:t>
      </w:r>
      <w:proofErr w:type="spellEnd"/>
      <w:r w:rsidRPr="00D96F7E">
        <w:rPr>
          <w:rFonts w:ascii="Arial" w:hAnsi="Arial" w:cs="Arial"/>
        </w:rPr>
        <w:t xml:space="preserve"> estão as </w:t>
      </w:r>
      <w:proofErr w:type="spellStart"/>
      <w:r w:rsidRPr="00D96F7E">
        <w:rPr>
          <w:rFonts w:ascii="Arial" w:hAnsi="Arial" w:cs="Arial"/>
        </w:rPr>
        <w:t>carbapenemases</w:t>
      </w:r>
      <w:proofErr w:type="spellEnd"/>
      <w:r w:rsidRPr="00D96F7E">
        <w:rPr>
          <w:rFonts w:ascii="Arial" w:hAnsi="Arial" w:cs="Arial"/>
        </w:rPr>
        <w:t xml:space="preserve">, enzimas capazes de hidrolisar antibacterianos dessa classe. Essas enzimas podem ser classificadas em diferentes grupos, como KPC, </w:t>
      </w:r>
      <w:proofErr w:type="spellStart"/>
      <w:r w:rsidRPr="00D96F7E">
        <w:rPr>
          <w:rFonts w:ascii="Arial" w:hAnsi="Arial" w:cs="Arial"/>
        </w:rPr>
        <w:t>metalo</w:t>
      </w:r>
      <w:proofErr w:type="spellEnd"/>
      <w:r w:rsidRPr="00D96F7E">
        <w:rPr>
          <w:rFonts w:ascii="Arial" w:hAnsi="Arial" w:cs="Arial"/>
        </w:rPr>
        <w:t>-β-</w:t>
      </w:r>
      <w:proofErr w:type="spellStart"/>
      <w:r w:rsidRPr="00D96F7E">
        <w:rPr>
          <w:rFonts w:ascii="Arial" w:hAnsi="Arial" w:cs="Arial"/>
        </w:rPr>
        <w:t>lactamases</w:t>
      </w:r>
      <w:proofErr w:type="spellEnd"/>
      <w:r w:rsidRPr="00D96F7E">
        <w:rPr>
          <w:rFonts w:ascii="Arial" w:hAnsi="Arial" w:cs="Arial"/>
        </w:rPr>
        <w:t xml:space="preserve"> (por exemplo, NDM, VIM ou IMP) e variantes do tipo OXA. A presença dessas enzimas costuma estar associada a perfis de resistência mais amplos e possui relevância epidemiológica importante</w:t>
      </w:r>
      <w:r>
        <w:rPr>
          <w:rFonts w:ascii="Arial" w:hAnsi="Arial" w:cs="Arial"/>
        </w:rPr>
        <w:t xml:space="preserve"> </w:t>
      </w:r>
      <w:sdt>
        <w:sdtPr>
          <w:rPr>
            <w:rFonts w:ascii="Arial" w:hAnsi="Arial" w:cs="Arial"/>
            <w:color w:val="000000"/>
          </w:rPr>
          <w:tag w:val="MENDELEY_CITATION_v3_eyJjaXRhdGlvbklEIjoiTUVOREVMRVlfQ0lUQVRJT05fYTU0ODU2MjAtMmYwMy00YzE2LWI5NjctMGU0YmFkMDJkYjYzIiwicHJvcGVydGllcyI6eyJub3RlSW5kZXgiOjB9LCJpc0VkaXRlZCI6ZmFsc2UsIm1hbnVhbE92ZXJyaWRlIjp7ImlzTWFudWFsbHlPdmVycmlkZGVuIjpmYWxzZSwiY2l0ZXByb2NUZXh0IjoiKDY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
          <w:id w:val="-888181770"/>
          <w:placeholder>
            <w:docPart w:val="82205BD79BD447E18C2DB4CBDA176150"/>
          </w:placeholder>
        </w:sdtPr>
        <w:sdtEndPr/>
        <w:sdtContent>
          <w:r w:rsidR="006845EC" w:rsidRPr="006845EC">
            <w:rPr>
              <w:rFonts w:ascii="Arial" w:hAnsi="Arial" w:cs="Arial"/>
              <w:color w:val="000000"/>
            </w:rPr>
            <w:t>(6)</w:t>
          </w:r>
        </w:sdtContent>
      </w:sdt>
      <w:r w:rsidRPr="00D96F7E">
        <w:rPr>
          <w:rFonts w:ascii="Arial" w:hAnsi="Arial" w:cs="Arial"/>
        </w:rPr>
        <w:t>.</w:t>
      </w:r>
    </w:p>
    <w:p w14:paraId="776A5994" w14:textId="3ECDEC5C" w:rsidR="00307F19"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Alguns mecanismos de resistência não envolvem produção de β-</w:t>
      </w:r>
      <w:proofErr w:type="spellStart"/>
      <w:r w:rsidRPr="00D96F7E">
        <w:rPr>
          <w:rFonts w:ascii="Arial" w:hAnsi="Arial" w:cs="Arial"/>
        </w:rPr>
        <w:t>lactamases</w:t>
      </w:r>
      <w:proofErr w:type="spellEnd"/>
      <w:r w:rsidRPr="00D96F7E">
        <w:rPr>
          <w:rFonts w:ascii="Arial" w:hAnsi="Arial" w:cs="Arial"/>
        </w:rPr>
        <w:t xml:space="preserve">, mas sim alterações estruturais no alvo do antibacteriano. Um exemplo é o </w:t>
      </w:r>
      <w:proofErr w:type="spellStart"/>
      <w:r w:rsidRPr="00D96F7E">
        <w:rPr>
          <w:rFonts w:ascii="Arial" w:hAnsi="Arial" w:cs="Arial"/>
        </w:rPr>
        <w:t>Staphylococcus</w:t>
      </w:r>
      <w:proofErr w:type="spellEnd"/>
      <w:r w:rsidRPr="00D96F7E">
        <w:rPr>
          <w:rFonts w:ascii="Arial" w:hAnsi="Arial" w:cs="Arial"/>
        </w:rPr>
        <w:t xml:space="preserve"> aureus resistente à </w:t>
      </w:r>
      <w:proofErr w:type="spellStart"/>
      <w:r w:rsidRPr="00D96F7E">
        <w:rPr>
          <w:rFonts w:ascii="Arial" w:hAnsi="Arial" w:cs="Arial"/>
        </w:rPr>
        <w:t>meticilina</w:t>
      </w:r>
      <w:proofErr w:type="spellEnd"/>
      <w:r w:rsidRPr="00D96F7E">
        <w:rPr>
          <w:rFonts w:ascii="Arial" w:hAnsi="Arial" w:cs="Arial"/>
        </w:rPr>
        <w:t xml:space="preserve"> (MRSA), no qual ocorre modificação das proteínas </w:t>
      </w:r>
      <w:proofErr w:type="spellStart"/>
      <w:r w:rsidRPr="00D96F7E">
        <w:rPr>
          <w:rFonts w:ascii="Arial" w:hAnsi="Arial" w:cs="Arial"/>
        </w:rPr>
        <w:t>ligadoras</w:t>
      </w:r>
      <w:proofErr w:type="spellEnd"/>
      <w:r w:rsidRPr="00D96F7E">
        <w:rPr>
          <w:rFonts w:ascii="Arial" w:hAnsi="Arial" w:cs="Arial"/>
        </w:rPr>
        <w:t xml:space="preserve"> de penicilina. </w:t>
      </w:r>
      <w:r w:rsidRPr="002D7249">
        <w:rPr>
          <w:rFonts w:ascii="Arial" w:hAnsi="Arial" w:cs="Arial"/>
        </w:rPr>
        <w:t>Essa alteração reduz a afinidade por β-lactâmicos relevantes e modifica a interpretação laboratorial dessa classe conforme as regras aplicáveis ao sistema adotado</w:t>
      </w:r>
      <w:r>
        <w:rPr>
          <w:rFonts w:ascii="Arial" w:hAnsi="Arial" w:cs="Arial"/>
        </w:rPr>
        <w:t xml:space="preserve"> </w:t>
      </w:r>
      <w:sdt>
        <w:sdtPr>
          <w:rPr>
            <w:rFonts w:ascii="Arial" w:hAnsi="Arial" w:cs="Arial"/>
            <w:color w:val="000000"/>
          </w:rPr>
          <w:tag w:val="MENDELEY_CITATION_v3_eyJjaXRhdGlvbklEIjoiTUVOREVMRVlfQ0lUQVRJT05fMThiODU3YmItODY4MS00ZjkzLTg0MTktOTI2NDQxNzFjYTcyIiwicHJvcGVydGllcyI6eyJub3RlSW5kZXgiOjB9LCJpc0VkaXRlZCI6ZmFsc2UsIm1hbnVhbE92ZXJyaWRlIjp7ImlzTWFudWFsbHlPdmVycmlkZGVuIjpmYWxzZSwiY2l0ZXByb2NUZXh0IjoiKDM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
          <w:id w:val="-964342779"/>
          <w:placeholder>
            <w:docPart w:val="82205BD79BD447E18C2DB4CBDA176150"/>
          </w:placeholder>
        </w:sdtPr>
        <w:sdtEndPr/>
        <w:sdtContent>
          <w:r w:rsidR="006845EC" w:rsidRPr="006845EC">
            <w:rPr>
              <w:rFonts w:ascii="Arial" w:hAnsi="Arial" w:cs="Arial"/>
              <w:color w:val="000000"/>
            </w:rPr>
            <w:t>(3)</w:t>
          </w:r>
        </w:sdtContent>
      </w:sdt>
      <w:r w:rsidRPr="002D7249">
        <w:rPr>
          <w:rFonts w:ascii="Arial" w:hAnsi="Arial" w:cs="Arial"/>
        </w:rPr>
        <w:t>.</w:t>
      </w:r>
    </w:p>
    <w:p w14:paraId="45FB872A" w14:textId="22DEB0F1"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 xml:space="preserve">Outro exemplo envolve os enterococos resistentes à vancomicina (VRE), nos quais ocorre modificação do alvo molecular do </w:t>
      </w:r>
      <w:proofErr w:type="spellStart"/>
      <w:r w:rsidRPr="00D96F7E">
        <w:rPr>
          <w:rFonts w:ascii="Arial" w:hAnsi="Arial" w:cs="Arial"/>
        </w:rPr>
        <w:t>glicopeptídeo</w:t>
      </w:r>
      <w:proofErr w:type="spellEnd"/>
      <w:r w:rsidRPr="00D96F7E">
        <w:rPr>
          <w:rFonts w:ascii="Arial" w:hAnsi="Arial" w:cs="Arial"/>
        </w:rPr>
        <w:t>. A presença desse mecanismo altera a atividade da vancomicina e possui implicações relevantes no ambiente hospitalar</w:t>
      </w:r>
      <w:r>
        <w:rPr>
          <w:rFonts w:ascii="Arial" w:hAnsi="Arial" w:cs="Arial"/>
        </w:rPr>
        <w:t xml:space="preserve"> </w:t>
      </w:r>
      <w:sdt>
        <w:sdtPr>
          <w:rPr>
            <w:rFonts w:ascii="Arial" w:hAnsi="Arial" w:cs="Arial"/>
            <w:color w:val="000000"/>
          </w:rPr>
          <w:tag w:val="MENDELEY_CITATION_v3_eyJjaXRhdGlvbklEIjoiTUVOREVMRVlfQ0lUQVRJT05fNzVlNGQzMzUtMmZhMC00NDBmLTlhY2QtNGU1NmFlYjRhMTA3IiwicHJvcGVydGllcyI6eyJub3RlSW5kZXgiOjB9LCJpc0VkaXRlZCI6ZmFsc2UsIm1hbnVhbE92ZXJyaWRlIjp7ImlzTWFudWFsbHlPdmVycmlkZGVuIjpmYWxzZSwiY2l0ZXByb2NUZXh0IjoiKDM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
          <w:id w:val="-956640853"/>
          <w:placeholder>
            <w:docPart w:val="82205BD79BD447E18C2DB4CBDA176150"/>
          </w:placeholder>
        </w:sdtPr>
        <w:sdtEndPr/>
        <w:sdtContent>
          <w:r w:rsidR="006845EC" w:rsidRPr="006845EC">
            <w:rPr>
              <w:rFonts w:ascii="Arial" w:hAnsi="Arial" w:cs="Arial"/>
              <w:color w:val="000000"/>
            </w:rPr>
            <w:t>(3)</w:t>
          </w:r>
        </w:sdtContent>
      </w:sdt>
      <w:r w:rsidRPr="00D96F7E">
        <w:rPr>
          <w:rFonts w:ascii="Arial" w:hAnsi="Arial" w:cs="Arial"/>
        </w:rPr>
        <w:t>.</w:t>
      </w:r>
    </w:p>
    <w:p w14:paraId="5D7D2E99"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 xml:space="preserve">Também podem aparecer observações relacionadas a fenótipos específicos de resistência, como o fenótipo MLSB induzível, que pode resultar em falha terapêutica com clindamicina apesar de resultado inicial de sensibilidade. Outro exemplo é a resistência de alto nível a aminoglicosídeos em </w:t>
      </w:r>
      <w:proofErr w:type="spellStart"/>
      <w:r w:rsidRPr="00D96F7E">
        <w:rPr>
          <w:rFonts w:ascii="Arial" w:hAnsi="Arial" w:cs="Arial"/>
        </w:rPr>
        <w:t>Enterococcus</w:t>
      </w:r>
      <w:proofErr w:type="spellEnd"/>
      <w:r w:rsidRPr="00D96F7E">
        <w:rPr>
          <w:rFonts w:ascii="Arial" w:hAnsi="Arial" w:cs="Arial"/>
        </w:rPr>
        <w:t>, que interfere no potencial de sinergismo entre classes antimicrobianas.</w:t>
      </w:r>
    </w:p>
    <w:p w14:paraId="26718358"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Essas observações representam informações adicionais sobre o comportamento biológico da bactéria isolada. Elas devem ser interpretadas em conjunto com a espécie identificada e com as categorias de suscetibilidade apresentadas no antibiograma.</w:t>
      </w:r>
    </w:p>
    <w:p w14:paraId="6BC87FB0" w14:textId="77777777" w:rsidR="00307F19" w:rsidRDefault="00307F19" w:rsidP="00307F19">
      <w:pPr>
        <w:spacing w:after="0" w:line="360" w:lineRule="auto"/>
        <w:jc w:val="right"/>
        <w:rPr>
          <w:rFonts w:ascii="Arial" w:hAnsi="Arial" w:cs="Arial"/>
          <w:b/>
          <w:bCs/>
        </w:rPr>
      </w:pPr>
    </w:p>
    <w:p w14:paraId="05D77009" w14:textId="7F59E084" w:rsidR="00307F19" w:rsidRPr="0003129B" w:rsidRDefault="00307F19" w:rsidP="00307F19">
      <w:pPr>
        <w:spacing w:after="0" w:line="360" w:lineRule="auto"/>
        <w:jc w:val="right"/>
        <w:rPr>
          <w:rFonts w:ascii="Arial" w:hAnsi="Arial" w:cs="Arial"/>
        </w:rPr>
      </w:pPr>
      <w:r w:rsidRPr="0003129B">
        <w:rPr>
          <w:rFonts w:ascii="Arial" w:hAnsi="Arial" w:cs="Arial"/>
        </w:rPr>
        <w:t xml:space="preserve">Página </w:t>
      </w:r>
      <w:r w:rsidR="00D00A5C">
        <w:rPr>
          <w:rFonts w:ascii="Arial" w:hAnsi="Arial" w:cs="Arial"/>
        </w:rPr>
        <w:t>51</w:t>
      </w:r>
    </w:p>
    <w:p w14:paraId="34F1CEBB" w14:textId="77777777" w:rsidR="00307F19" w:rsidRPr="00D96F7E" w:rsidRDefault="00307F19" w:rsidP="00307F19">
      <w:pPr>
        <w:spacing w:after="0" w:line="360" w:lineRule="auto"/>
        <w:jc w:val="both"/>
        <w:rPr>
          <w:rFonts w:ascii="Arial" w:hAnsi="Arial" w:cs="Arial"/>
          <w:b/>
          <w:bCs/>
        </w:rPr>
      </w:pPr>
    </w:p>
    <w:p w14:paraId="3B949E05" w14:textId="77777777" w:rsidR="00307F19" w:rsidRPr="00D96F7E" w:rsidRDefault="00307F19" w:rsidP="00307F19">
      <w:pPr>
        <w:spacing w:after="0" w:line="360" w:lineRule="auto"/>
        <w:jc w:val="both"/>
        <w:rPr>
          <w:rFonts w:ascii="Arial" w:hAnsi="Arial" w:cs="Arial"/>
          <w:b/>
          <w:bCs/>
        </w:rPr>
      </w:pPr>
      <w:r w:rsidRPr="00D96F7E">
        <w:rPr>
          <w:rFonts w:ascii="Arial" w:hAnsi="Arial" w:cs="Arial"/>
          <w:b/>
          <w:bCs/>
        </w:rPr>
        <w:t>Como ler o antibiograma de forma estruturada</w:t>
      </w:r>
    </w:p>
    <w:p w14:paraId="4F7F0799" w14:textId="77777777" w:rsidR="00307F19" w:rsidRPr="00D96F7E" w:rsidRDefault="00307F19" w:rsidP="00307F19">
      <w:pPr>
        <w:spacing w:after="0" w:line="360" w:lineRule="auto"/>
        <w:jc w:val="both"/>
        <w:rPr>
          <w:rFonts w:ascii="Arial" w:hAnsi="Arial" w:cs="Arial"/>
        </w:rPr>
      </w:pPr>
    </w:p>
    <w:p w14:paraId="575353FE" w14:textId="77777777" w:rsidR="00307F19" w:rsidRPr="00D96F7E" w:rsidRDefault="00307F19" w:rsidP="00307F19">
      <w:pPr>
        <w:spacing w:after="0" w:line="360" w:lineRule="auto"/>
        <w:ind w:firstLine="708"/>
        <w:jc w:val="both"/>
        <w:rPr>
          <w:rFonts w:ascii="Arial" w:hAnsi="Arial" w:cs="Arial"/>
        </w:rPr>
      </w:pPr>
      <w:r w:rsidRPr="00D96F7E">
        <w:rPr>
          <w:rFonts w:ascii="Arial" w:hAnsi="Arial" w:cs="Arial"/>
        </w:rPr>
        <w:t>O antibiograma deve ser interpretado como parte de um laudo microbiológico completo, e não como uma lista independente de antibacterianos. A leitura adequada exige considerar a sequência de informações que compõem o resultado do laboratório.</w:t>
      </w:r>
    </w:p>
    <w:p w14:paraId="32CA2831"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Uma abordagem estruturada pode ser organizada em etapas sucessivas.</w:t>
      </w:r>
    </w:p>
    <w:p w14:paraId="1074AF61" w14:textId="77777777" w:rsidR="00307F19" w:rsidRPr="00D96F7E" w:rsidRDefault="00307F19" w:rsidP="00307F19">
      <w:pPr>
        <w:spacing w:after="0" w:line="360" w:lineRule="auto"/>
        <w:jc w:val="both"/>
        <w:rPr>
          <w:rFonts w:ascii="Arial" w:hAnsi="Arial" w:cs="Arial"/>
        </w:rPr>
      </w:pPr>
    </w:p>
    <w:p w14:paraId="6778CBF7" w14:textId="77777777" w:rsidR="00307F19" w:rsidRPr="00D96F7E" w:rsidRDefault="00307F19" w:rsidP="00307F19">
      <w:pPr>
        <w:spacing w:after="0" w:line="360" w:lineRule="auto"/>
        <w:jc w:val="both"/>
        <w:rPr>
          <w:rFonts w:ascii="Arial" w:hAnsi="Arial" w:cs="Arial"/>
        </w:rPr>
      </w:pPr>
      <w:r w:rsidRPr="00D96F7E">
        <w:rPr>
          <w:rFonts w:ascii="Arial" w:hAnsi="Arial" w:cs="Arial"/>
        </w:rPr>
        <w:lastRenderedPageBreak/>
        <w:t>1. Identificar o microrganismo isolado</w:t>
      </w:r>
    </w:p>
    <w:p w14:paraId="2035B79F" w14:textId="3DC7D063"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 xml:space="preserve">A espécie bacteriana fornece o primeiro contexto interpretativo do resultado. Diferentes bactérias apresentam perfis característicos de suscetibilidade e resistência, incluindo mecanismos de </w:t>
      </w:r>
      <w:r w:rsidRPr="00463013">
        <w:rPr>
          <w:rFonts w:ascii="Arial" w:hAnsi="Arial" w:cs="Arial"/>
        </w:rPr>
        <w:t>fenótipo esperado resistente</w:t>
      </w:r>
      <w:r>
        <w:rPr>
          <w:rFonts w:ascii="Arial" w:hAnsi="Arial" w:cs="Arial"/>
        </w:rPr>
        <w:t xml:space="preserve"> </w:t>
      </w:r>
      <w:sdt>
        <w:sdtPr>
          <w:rPr>
            <w:rFonts w:ascii="Arial" w:hAnsi="Arial" w:cs="Arial"/>
            <w:color w:val="000000"/>
          </w:rPr>
          <w:tag w:val="MENDELEY_CITATION_v3_eyJjaXRhdGlvbklEIjoiTUVOREVMRVlfQ0lUQVRJT05fNjAwNzE1MGQtYmY4Yi00ZjNjLThkY2EtYmI0MzVmZDRkMDYx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
          <w:id w:val="-1339456515"/>
          <w:placeholder>
            <w:docPart w:val="82205BD79BD447E18C2DB4CBDA176150"/>
          </w:placeholder>
        </w:sdtPr>
        <w:sdtEndPr/>
        <w:sdtContent>
          <w:r w:rsidR="006845EC" w:rsidRPr="006845EC">
            <w:rPr>
              <w:rFonts w:ascii="Arial" w:hAnsi="Arial" w:cs="Arial"/>
              <w:color w:val="000000"/>
            </w:rPr>
            <w:t>(1)</w:t>
          </w:r>
        </w:sdtContent>
      </w:sdt>
      <w:r w:rsidRPr="00D96F7E">
        <w:rPr>
          <w:rFonts w:ascii="Arial" w:hAnsi="Arial" w:cs="Arial"/>
        </w:rPr>
        <w:t>.</w:t>
      </w:r>
    </w:p>
    <w:p w14:paraId="47D21006"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A identificação do microrganismo também ajuda a avaliar a plausibilidade clínica do isolamento. Nem todo microrganismo detectado em cultura representa necessariamente o agente responsável pela infecção.</w:t>
      </w:r>
    </w:p>
    <w:p w14:paraId="60BD9809" w14:textId="77777777" w:rsidR="00307F19" w:rsidRDefault="00307F19" w:rsidP="00307F19">
      <w:pPr>
        <w:spacing w:after="0" w:line="360" w:lineRule="auto"/>
        <w:jc w:val="both"/>
        <w:rPr>
          <w:rFonts w:ascii="Arial" w:hAnsi="Arial" w:cs="Arial"/>
        </w:rPr>
      </w:pPr>
    </w:p>
    <w:p w14:paraId="647E73A6" w14:textId="77777777" w:rsidR="00307F19" w:rsidRPr="00D96F7E" w:rsidRDefault="00307F19" w:rsidP="00307F19">
      <w:pPr>
        <w:spacing w:after="0" w:line="360" w:lineRule="auto"/>
        <w:jc w:val="both"/>
        <w:rPr>
          <w:rFonts w:ascii="Arial" w:hAnsi="Arial" w:cs="Arial"/>
        </w:rPr>
      </w:pPr>
      <w:r w:rsidRPr="00D96F7E">
        <w:rPr>
          <w:rFonts w:ascii="Arial" w:hAnsi="Arial" w:cs="Arial"/>
        </w:rPr>
        <w:t>2. Considerar a origem da amostra</w:t>
      </w:r>
    </w:p>
    <w:p w14:paraId="62279419"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O significado clínico do isolamento depende do sítio de onde a amostra foi obtida. A presença de uma bactéria em hemocultura possui implicações diferentes da detecção do mesmo microrganismo em secreções respiratórias ou em material de superfície.</w:t>
      </w:r>
    </w:p>
    <w:p w14:paraId="23697965" w14:textId="77777777" w:rsidR="00307F19" w:rsidRPr="00D96F7E" w:rsidRDefault="00307F19" w:rsidP="00307F19">
      <w:pPr>
        <w:spacing w:after="0" w:line="360" w:lineRule="auto"/>
        <w:ind w:firstLine="708"/>
        <w:jc w:val="both"/>
        <w:rPr>
          <w:rFonts w:ascii="Arial" w:hAnsi="Arial" w:cs="Arial"/>
        </w:rPr>
      </w:pPr>
      <w:r w:rsidRPr="00D96F7E">
        <w:rPr>
          <w:rFonts w:ascii="Arial" w:hAnsi="Arial" w:cs="Arial"/>
        </w:rPr>
        <w:t>A interpretação do antibiograma precisa ser contextualizada com a possibilidade de colonização, contaminação da amostra ou infecção verdadeira.</w:t>
      </w:r>
    </w:p>
    <w:p w14:paraId="2062EA44" w14:textId="77777777" w:rsidR="00307F19" w:rsidRPr="00D96F7E" w:rsidRDefault="00307F19" w:rsidP="00307F19">
      <w:pPr>
        <w:spacing w:after="0" w:line="360" w:lineRule="auto"/>
        <w:jc w:val="both"/>
        <w:rPr>
          <w:rFonts w:ascii="Arial" w:hAnsi="Arial" w:cs="Arial"/>
        </w:rPr>
      </w:pPr>
    </w:p>
    <w:p w14:paraId="0DC1ECA0" w14:textId="77777777" w:rsidR="00307F19" w:rsidRPr="00D96F7E" w:rsidRDefault="00307F19" w:rsidP="00307F19">
      <w:pPr>
        <w:spacing w:after="0" w:line="360" w:lineRule="auto"/>
        <w:jc w:val="both"/>
        <w:rPr>
          <w:rFonts w:ascii="Arial" w:hAnsi="Arial" w:cs="Arial"/>
        </w:rPr>
      </w:pPr>
      <w:r w:rsidRPr="00D96F7E">
        <w:rPr>
          <w:rFonts w:ascii="Arial" w:hAnsi="Arial" w:cs="Arial"/>
        </w:rPr>
        <w:t>3. Verificar observações laboratoriais</w:t>
      </w:r>
    </w:p>
    <w:p w14:paraId="639F7942"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 xml:space="preserve">O laudo pode incluir informações adicionais relacionadas a mecanismos de resistência específicos. Observações como produção de ESBL, presença de </w:t>
      </w:r>
      <w:proofErr w:type="spellStart"/>
      <w:r w:rsidRPr="00D96F7E">
        <w:rPr>
          <w:rFonts w:ascii="Arial" w:hAnsi="Arial" w:cs="Arial"/>
        </w:rPr>
        <w:t>carbapenemase</w:t>
      </w:r>
      <w:proofErr w:type="spellEnd"/>
      <w:r w:rsidRPr="00D96F7E">
        <w:rPr>
          <w:rFonts w:ascii="Arial" w:hAnsi="Arial" w:cs="Arial"/>
        </w:rPr>
        <w:t>, identificação de MRSA, VRE ou outros fenótipos de resistência modificam a leitura do painel de antibacterianos.</w:t>
      </w:r>
    </w:p>
    <w:p w14:paraId="77FBCF96"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Esses dados representam características biológicas do microrganismo e devem ser considerados antes da análise das categorias interpretativas.</w:t>
      </w:r>
    </w:p>
    <w:p w14:paraId="12579BF1" w14:textId="77777777" w:rsidR="00307F19" w:rsidRPr="00D96F7E" w:rsidRDefault="00307F19" w:rsidP="00307F19">
      <w:pPr>
        <w:spacing w:after="0" w:line="360" w:lineRule="auto"/>
        <w:jc w:val="both"/>
        <w:rPr>
          <w:rFonts w:ascii="Arial" w:hAnsi="Arial" w:cs="Arial"/>
        </w:rPr>
      </w:pPr>
    </w:p>
    <w:p w14:paraId="46061623" w14:textId="77777777" w:rsidR="00307F19" w:rsidRPr="00D96F7E" w:rsidRDefault="00307F19" w:rsidP="00307F19">
      <w:pPr>
        <w:spacing w:after="0" w:line="360" w:lineRule="auto"/>
        <w:jc w:val="both"/>
        <w:rPr>
          <w:rFonts w:ascii="Arial" w:hAnsi="Arial" w:cs="Arial"/>
        </w:rPr>
      </w:pPr>
      <w:r w:rsidRPr="00D96F7E">
        <w:rPr>
          <w:rFonts w:ascii="Arial" w:hAnsi="Arial" w:cs="Arial"/>
        </w:rPr>
        <w:t>4. Analisar as categorias de suscetibilidade</w:t>
      </w:r>
    </w:p>
    <w:p w14:paraId="728C0F48"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Somente após compreender o contexto microbiológico do laudo faz sentido avaliar as categorias interpretativas apresentadas no antibiograma.</w:t>
      </w:r>
    </w:p>
    <w:p w14:paraId="023343CE" w14:textId="7D8E42F9"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 xml:space="preserve">A classificação como </w:t>
      </w:r>
      <w:r w:rsidRPr="00463013">
        <w:rPr>
          <w:rFonts w:ascii="Arial" w:hAnsi="Arial" w:cs="Arial"/>
        </w:rPr>
        <w:t>as categorias S, I e R</w:t>
      </w:r>
      <w:r w:rsidRPr="00D96F7E">
        <w:rPr>
          <w:rFonts w:ascii="Arial" w:hAnsi="Arial" w:cs="Arial"/>
        </w:rPr>
        <w:t xml:space="preserve"> resulta da aplicação de critérios técnicos sobre o valor obtido no teste de suscetibilidade. Essas categorias indicam a probabilidade microbiológica de inibição bacteriana nas condições consideradas pelos parâmetros farmacológicos utilizados para definir os breakpoints</w:t>
      </w:r>
      <w:r>
        <w:rPr>
          <w:rFonts w:ascii="Arial" w:hAnsi="Arial" w:cs="Arial"/>
        </w:rPr>
        <w:t xml:space="preserve"> </w:t>
      </w:r>
      <w:sdt>
        <w:sdtPr>
          <w:rPr>
            <w:rFonts w:ascii="Arial" w:hAnsi="Arial" w:cs="Arial"/>
            <w:color w:val="000000"/>
          </w:rPr>
          <w:tag w:val="MENDELEY_CITATION_v3_eyJjaXRhdGlvbklEIjoiTUVOREVMRVlfQ0lUQVRJT05fN2Y0MjgxNDgtMjIyYy00NTA1LTg4NDMtNWIzM2YxOGM5M2Zk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
          <w:id w:val="-329607596"/>
          <w:placeholder>
            <w:docPart w:val="82205BD79BD447E18C2DB4CBDA176150"/>
          </w:placeholder>
        </w:sdtPr>
        <w:sdtEndPr/>
        <w:sdtContent>
          <w:r w:rsidR="006845EC" w:rsidRPr="006845EC">
            <w:rPr>
              <w:rFonts w:ascii="Arial" w:hAnsi="Arial" w:cs="Arial"/>
              <w:color w:val="000000"/>
            </w:rPr>
            <w:t>(1)</w:t>
          </w:r>
        </w:sdtContent>
      </w:sdt>
      <w:r w:rsidRPr="00D96F7E">
        <w:rPr>
          <w:rFonts w:ascii="Arial" w:hAnsi="Arial" w:cs="Arial"/>
        </w:rPr>
        <w:t>.</w:t>
      </w:r>
    </w:p>
    <w:p w14:paraId="03BCF90D"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Quando disponível, o valor da concentração inibitória mínima pode fornecer informação adicional, especialmente quando se encontra próximo aos pontos de corte estabelecidos.</w:t>
      </w:r>
    </w:p>
    <w:p w14:paraId="03AB1895" w14:textId="77777777" w:rsidR="00307F19" w:rsidRPr="00D96F7E" w:rsidRDefault="00307F19" w:rsidP="00307F19">
      <w:pPr>
        <w:spacing w:after="0" w:line="360" w:lineRule="auto"/>
        <w:jc w:val="both"/>
        <w:rPr>
          <w:rFonts w:ascii="Arial" w:hAnsi="Arial" w:cs="Arial"/>
        </w:rPr>
      </w:pPr>
    </w:p>
    <w:p w14:paraId="55DAC0B8" w14:textId="77777777" w:rsidR="00307F19" w:rsidRPr="00D96F7E" w:rsidRDefault="00307F19" w:rsidP="00307F19">
      <w:pPr>
        <w:spacing w:after="0" w:line="360" w:lineRule="auto"/>
        <w:jc w:val="both"/>
        <w:rPr>
          <w:rFonts w:ascii="Arial" w:hAnsi="Arial" w:cs="Arial"/>
        </w:rPr>
      </w:pPr>
      <w:r w:rsidRPr="00D96F7E">
        <w:rPr>
          <w:rFonts w:ascii="Arial" w:hAnsi="Arial" w:cs="Arial"/>
        </w:rPr>
        <w:t>5. Integrar o resultado ao contexto clínico</w:t>
      </w:r>
    </w:p>
    <w:p w14:paraId="4420310F" w14:textId="77777777" w:rsidR="00307F19" w:rsidRPr="00D96F7E"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 xml:space="preserve">O antibiograma informa o comportamento da bactéria no ambiente laboratorial. A decisão terapêutica depende da integração desse dado com fatores clínicos, como o </w:t>
      </w:r>
      <w:r w:rsidRPr="00D96F7E">
        <w:rPr>
          <w:rFonts w:ascii="Arial" w:hAnsi="Arial" w:cs="Arial"/>
        </w:rPr>
        <w:lastRenderedPageBreak/>
        <w:t>foco infeccioso, a penetração do antibacteriano no tecido afetado, a presença de biofilme e as características farmacocinéticas do paciente.</w:t>
      </w:r>
    </w:p>
    <w:p w14:paraId="2206D3B5" w14:textId="77777777" w:rsidR="00307F19" w:rsidRDefault="00307F19" w:rsidP="00307F19">
      <w:pPr>
        <w:spacing w:after="0" w:line="360" w:lineRule="auto"/>
        <w:jc w:val="both"/>
        <w:rPr>
          <w:rFonts w:ascii="Arial" w:hAnsi="Arial" w:cs="Arial"/>
        </w:rPr>
      </w:pPr>
      <w:r>
        <w:rPr>
          <w:rFonts w:ascii="Arial" w:hAnsi="Arial" w:cs="Arial"/>
        </w:rPr>
        <w:tab/>
      </w:r>
      <w:r w:rsidRPr="00D96F7E">
        <w:rPr>
          <w:rFonts w:ascii="Arial" w:hAnsi="Arial" w:cs="Arial"/>
        </w:rPr>
        <w:t>A interpretação adequada surge da integração entre microbiologia, farmacologia e contexto clínico.</w:t>
      </w:r>
    </w:p>
    <w:p w14:paraId="7AF496A0" w14:textId="77777777" w:rsidR="00307F19" w:rsidRPr="00D96F7E" w:rsidRDefault="00307F19" w:rsidP="00307F19">
      <w:pPr>
        <w:spacing w:after="0" w:line="360" w:lineRule="auto"/>
        <w:jc w:val="both"/>
        <w:rPr>
          <w:rFonts w:ascii="Arial" w:hAnsi="Arial" w:cs="Arial"/>
        </w:rPr>
      </w:pPr>
    </w:p>
    <w:p w14:paraId="53ED3448" w14:textId="49CD8D2D" w:rsidR="00A53F43" w:rsidRDefault="00307F19" w:rsidP="00A53F43">
      <w:pPr>
        <w:spacing w:after="0" w:line="360" w:lineRule="auto"/>
        <w:jc w:val="right"/>
        <w:rPr>
          <w:rFonts w:ascii="Arial" w:hAnsi="Arial" w:cs="Arial"/>
        </w:rPr>
      </w:pPr>
      <w:r w:rsidRPr="0003129B">
        <w:rPr>
          <w:rFonts w:ascii="Arial" w:hAnsi="Arial" w:cs="Arial"/>
        </w:rPr>
        <w:t xml:space="preserve">Página </w:t>
      </w:r>
      <w:r w:rsidR="00A53F43">
        <w:rPr>
          <w:rFonts w:ascii="Arial" w:hAnsi="Arial" w:cs="Arial"/>
        </w:rPr>
        <w:t>5</w:t>
      </w:r>
      <w:r w:rsidR="00D00A5C">
        <w:rPr>
          <w:rFonts w:ascii="Arial" w:hAnsi="Arial" w:cs="Arial"/>
        </w:rPr>
        <w:t>2</w:t>
      </w:r>
    </w:p>
    <w:p w14:paraId="7949D8D5" w14:textId="3CEC650B" w:rsidR="00307F19" w:rsidRPr="00600FC1" w:rsidRDefault="00307F19" w:rsidP="00A53F43">
      <w:pPr>
        <w:spacing w:after="0" w:line="360" w:lineRule="auto"/>
        <w:rPr>
          <w:rFonts w:ascii="Arial" w:hAnsi="Arial" w:cs="Arial"/>
          <w:b/>
          <w:bCs/>
        </w:rPr>
      </w:pPr>
      <w:r w:rsidRPr="00600FC1">
        <w:rPr>
          <w:rFonts w:ascii="Arial" w:hAnsi="Arial" w:cs="Arial"/>
          <w:b/>
          <w:bCs/>
        </w:rPr>
        <w:t>Erros frequentes e limites da interpretação do antibiograma</w:t>
      </w:r>
    </w:p>
    <w:p w14:paraId="21105379" w14:textId="77777777" w:rsidR="00307F19" w:rsidRPr="00600FC1" w:rsidRDefault="00307F19" w:rsidP="00307F19">
      <w:pPr>
        <w:spacing w:after="0" w:line="360" w:lineRule="auto"/>
        <w:jc w:val="both"/>
        <w:rPr>
          <w:rFonts w:ascii="Arial" w:hAnsi="Arial" w:cs="Arial"/>
          <w:b/>
          <w:bCs/>
        </w:rPr>
      </w:pPr>
    </w:p>
    <w:p w14:paraId="0A5F189C" w14:textId="77777777" w:rsidR="00307F19" w:rsidRPr="00600FC1" w:rsidRDefault="00307F19" w:rsidP="00307F19">
      <w:pPr>
        <w:spacing w:after="0" w:line="360" w:lineRule="auto"/>
        <w:ind w:firstLine="708"/>
        <w:jc w:val="both"/>
        <w:rPr>
          <w:rFonts w:ascii="Arial" w:hAnsi="Arial" w:cs="Arial"/>
        </w:rPr>
      </w:pPr>
      <w:r w:rsidRPr="00600FC1">
        <w:rPr>
          <w:rFonts w:ascii="Arial" w:hAnsi="Arial" w:cs="Arial"/>
        </w:rPr>
        <w:t>A interpretação inadequada do antibiograma costuma ocorrer quando o laudo é analisado de forma fragmentada. O exame fornece informações microbiológicas padronizadas, mas sua leitura exige integração com outros elementos do processo diagnóstico.</w:t>
      </w:r>
    </w:p>
    <w:p w14:paraId="7D3FCF5E" w14:textId="77777777" w:rsidR="00307F19" w:rsidRPr="00600FC1" w:rsidRDefault="00307F19" w:rsidP="00307F19">
      <w:pPr>
        <w:spacing w:after="0" w:line="360" w:lineRule="auto"/>
        <w:jc w:val="both"/>
        <w:rPr>
          <w:rFonts w:ascii="Arial" w:hAnsi="Arial" w:cs="Arial"/>
        </w:rPr>
      </w:pPr>
      <w:r>
        <w:rPr>
          <w:rFonts w:ascii="Arial" w:hAnsi="Arial" w:cs="Arial"/>
        </w:rPr>
        <w:tab/>
      </w:r>
      <w:r w:rsidRPr="00600FC1">
        <w:rPr>
          <w:rFonts w:ascii="Arial" w:hAnsi="Arial" w:cs="Arial"/>
        </w:rPr>
        <w:t>Um equívoco frequente é selecionar o antibacteriano que apresenta maior número de resultados classificados como sensível, como se o antibiograma organizasse as opções terapêuticas em ordem de superioridade. As categorias interpretativas indicam probabilidade de inibição bacteriana sob determinadas condições de exposição, e não uma hierarquia entre antibacterianos.</w:t>
      </w:r>
    </w:p>
    <w:p w14:paraId="140339EB" w14:textId="77777777" w:rsidR="00307F19" w:rsidRDefault="00307F19" w:rsidP="00307F19">
      <w:pPr>
        <w:spacing w:after="0" w:line="360" w:lineRule="auto"/>
        <w:jc w:val="both"/>
        <w:rPr>
          <w:rFonts w:ascii="Arial" w:hAnsi="Arial" w:cs="Arial"/>
        </w:rPr>
      </w:pPr>
      <w:r>
        <w:rPr>
          <w:rFonts w:ascii="Arial" w:hAnsi="Arial" w:cs="Arial"/>
        </w:rPr>
        <w:tab/>
      </w:r>
      <w:r w:rsidRPr="002D7249">
        <w:rPr>
          <w:rFonts w:ascii="Arial" w:hAnsi="Arial" w:cs="Arial"/>
        </w:rPr>
        <w:t>Outro erro comum é interpretar a categoria I (‘sensível, aumentando exposição’) como sinônimo de ineficácia.</w:t>
      </w:r>
      <w:r>
        <w:rPr>
          <w:rFonts w:ascii="Arial" w:hAnsi="Arial" w:cs="Arial"/>
        </w:rPr>
        <w:t xml:space="preserve"> </w:t>
      </w:r>
      <w:r w:rsidRPr="002D7249">
        <w:rPr>
          <w:rFonts w:ascii="Arial" w:hAnsi="Arial" w:cs="Arial"/>
        </w:rPr>
        <w:t>Essa classificação indica que a probabilidade de sucesso terapêutico depende de maior exposição ao fármaco, a qual pode ser alcançada por ajuste posológico, modificação da forma de administração ou por características do sítio de infecção.</w:t>
      </w:r>
    </w:p>
    <w:p w14:paraId="5AD1AE15" w14:textId="23A10B6B" w:rsidR="00307F19" w:rsidRPr="00600FC1" w:rsidRDefault="00307F19" w:rsidP="00307F19">
      <w:pPr>
        <w:spacing w:after="0" w:line="360" w:lineRule="auto"/>
        <w:jc w:val="both"/>
        <w:rPr>
          <w:rFonts w:ascii="Arial" w:hAnsi="Arial" w:cs="Arial"/>
        </w:rPr>
      </w:pPr>
      <w:r>
        <w:rPr>
          <w:rFonts w:ascii="Arial" w:hAnsi="Arial" w:cs="Arial"/>
        </w:rPr>
        <w:tab/>
      </w:r>
      <w:r w:rsidRPr="00600FC1">
        <w:rPr>
          <w:rFonts w:ascii="Arial" w:hAnsi="Arial" w:cs="Arial"/>
        </w:rPr>
        <w:t>A leitura isolada da concentração inibitória mínima também pode gerar interpretações equivocadas. Diferenças pequenas entre valores próximos ao breakpoint não necessariamente correspondem a diferenças clinicamente relevantes. A CIM deve ser interpretada dentro do contexto dos critérios utilizados para definir as categorias de suscetibilidade</w:t>
      </w:r>
      <w:r>
        <w:rPr>
          <w:rFonts w:ascii="Arial" w:hAnsi="Arial" w:cs="Arial"/>
        </w:rPr>
        <w:t xml:space="preserve"> </w:t>
      </w:r>
      <w:sdt>
        <w:sdtPr>
          <w:rPr>
            <w:rFonts w:ascii="Arial" w:hAnsi="Arial" w:cs="Arial"/>
            <w:color w:val="000000"/>
          </w:rPr>
          <w:tag w:val="MENDELEY_CITATION_v3_eyJjaXRhdGlvbklEIjoiTUVOREVMRVlfQ0lUQVRJT05fMjlhOTUyNzMtODhiZC00NmE0LTljY2MtNzIxNDI3ZjJmMzViIiwicHJvcGVydGllcyI6eyJub3RlSW5kZXgiOjB9LCJpc0VkaXRlZCI6ZmFsc2UsIm1hbnVhbE92ZXJyaWRlIjp7ImlzTWFudWFsbHlPdmVycmlkZGVuIjpmYWxzZSwiY2l0ZXByb2NUZXh0IjoiKDI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
          <w:id w:val="814230610"/>
          <w:placeholder>
            <w:docPart w:val="82205BD79BD447E18C2DB4CBDA176150"/>
          </w:placeholder>
        </w:sdtPr>
        <w:sdtEndPr/>
        <w:sdtContent>
          <w:r w:rsidR="006845EC" w:rsidRPr="006845EC">
            <w:rPr>
              <w:rFonts w:ascii="Arial" w:hAnsi="Arial" w:cs="Arial"/>
              <w:color w:val="000000"/>
            </w:rPr>
            <w:t>(2)</w:t>
          </w:r>
        </w:sdtContent>
      </w:sdt>
      <w:r w:rsidRPr="00600FC1">
        <w:rPr>
          <w:rFonts w:ascii="Arial" w:hAnsi="Arial" w:cs="Arial"/>
        </w:rPr>
        <w:t>.</w:t>
      </w:r>
    </w:p>
    <w:p w14:paraId="391040EF" w14:textId="77777777" w:rsidR="00307F19" w:rsidRPr="00600FC1" w:rsidRDefault="00307F19" w:rsidP="00307F19">
      <w:pPr>
        <w:spacing w:after="0" w:line="360" w:lineRule="auto"/>
        <w:jc w:val="both"/>
        <w:rPr>
          <w:rFonts w:ascii="Arial" w:hAnsi="Arial" w:cs="Arial"/>
        </w:rPr>
      </w:pPr>
      <w:r>
        <w:rPr>
          <w:rFonts w:ascii="Arial" w:hAnsi="Arial" w:cs="Arial"/>
        </w:rPr>
        <w:tab/>
      </w:r>
      <w:r w:rsidRPr="00600FC1">
        <w:rPr>
          <w:rFonts w:ascii="Arial" w:hAnsi="Arial" w:cs="Arial"/>
        </w:rPr>
        <w:t xml:space="preserve">Também é frequente ignorar observações laboratoriais relacionadas a mecanismos de resistência. Informações como produção de ESBL, presença de </w:t>
      </w:r>
      <w:proofErr w:type="spellStart"/>
      <w:r w:rsidRPr="00600FC1">
        <w:rPr>
          <w:rFonts w:ascii="Arial" w:hAnsi="Arial" w:cs="Arial"/>
        </w:rPr>
        <w:t>carbapenemase</w:t>
      </w:r>
      <w:proofErr w:type="spellEnd"/>
      <w:r w:rsidRPr="00600FC1">
        <w:rPr>
          <w:rFonts w:ascii="Arial" w:hAnsi="Arial" w:cs="Arial"/>
        </w:rPr>
        <w:t>, identificação de MRSA ou resistência de alto nível a aminoglicosídeos modificam o significado do painel de suscetibilidade. Nesses casos, a interpretação não deve considerar cada antibacteriano de forma isolada, mas o conjunto do perfil microbiológico.</w:t>
      </w:r>
    </w:p>
    <w:p w14:paraId="3F97DA7B" w14:textId="4E8DABCD" w:rsidR="00307F19" w:rsidRPr="00600FC1" w:rsidRDefault="00307F19" w:rsidP="00307F19">
      <w:pPr>
        <w:spacing w:after="0" w:line="360" w:lineRule="auto"/>
        <w:jc w:val="both"/>
        <w:rPr>
          <w:rFonts w:ascii="Arial" w:hAnsi="Arial" w:cs="Arial"/>
        </w:rPr>
      </w:pPr>
      <w:r>
        <w:rPr>
          <w:rFonts w:ascii="Arial" w:hAnsi="Arial" w:cs="Arial"/>
        </w:rPr>
        <w:tab/>
      </w:r>
      <w:r w:rsidRPr="00600FC1">
        <w:rPr>
          <w:rFonts w:ascii="Arial" w:hAnsi="Arial" w:cs="Arial"/>
        </w:rPr>
        <w:t xml:space="preserve">Outro ponto importante é compreender que nem todos os antibacterianos disponíveis aparecem no antibiograma. A ausência de determinadas drogas no painel pode refletir diferentes fatores: </w:t>
      </w:r>
      <w:r w:rsidRPr="00463013">
        <w:rPr>
          <w:rFonts w:ascii="Arial" w:hAnsi="Arial" w:cs="Arial"/>
        </w:rPr>
        <w:t>fenótipo esperado resistente</w:t>
      </w:r>
      <w:r w:rsidRPr="00600FC1">
        <w:rPr>
          <w:rFonts w:ascii="Arial" w:hAnsi="Arial" w:cs="Arial"/>
        </w:rPr>
        <w:t xml:space="preserve"> da espécie, ausência de </w:t>
      </w:r>
      <w:r w:rsidRPr="00600FC1">
        <w:rPr>
          <w:rFonts w:ascii="Arial" w:hAnsi="Arial" w:cs="Arial"/>
        </w:rPr>
        <w:lastRenderedPageBreak/>
        <w:t>breakpoint validado para aquela combinação microrganismo–fármaco ou limitações metodológicas do teste utilizado</w:t>
      </w:r>
      <w:r>
        <w:rPr>
          <w:rFonts w:ascii="Arial" w:hAnsi="Arial" w:cs="Arial"/>
        </w:rPr>
        <w:t xml:space="preserve"> </w:t>
      </w:r>
      <w:sdt>
        <w:sdtPr>
          <w:rPr>
            <w:rFonts w:ascii="Arial" w:hAnsi="Arial" w:cs="Arial"/>
            <w:color w:val="000000"/>
          </w:rPr>
          <w:tag w:val="MENDELEY_CITATION_v3_eyJjaXRhdGlvbklEIjoiTUVOREVMRVlfQ0lUQVRJT05fY2E3ZWZiZTUtZmM4NS00NmMyLTkwZDktZTAyNzRkZDhkYzkx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
          <w:id w:val="1878960910"/>
          <w:placeholder>
            <w:docPart w:val="82205BD79BD447E18C2DB4CBDA176150"/>
          </w:placeholder>
        </w:sdtPr>
        <w:sdtEndPr/>
        <w:sdtContent>
          <w:r w:rsidR="006845EC" w:rsidRPr="006845EC">
            <w:rPr>
              <w:rFonts w:ascii="Arial" w:hAnsi="Arial" w:cs="Arial"/>
              <w:color w:val="000000"/>
            </w:rPr>
            <w:t>(1)</w:t>
          </w:r>
        </w:sdtContent>
      </w:sdt>
      <w:r w:rsidRPr="00600FC1">
        <w:rPr>
          <w:rFonts w:ascii="Arial" w:hAnsi="Arial" w:cs="Arial"/>
        </w:rPr>
        <w:t>.</w:t>
      </w:r>
    </w:p>
    <w:p w14:paraId="3FA5695D" w14:textId="77777777" w:rsidR="00307F19" w:rsidRPr="00600FC1" w:rsidRDefault="00307F19" w:rsidP="00307F19">
      <w:pPr>
        <w:spacing w:after="0" w:line="360" w:lineRule="auto"/>
        <w:jc w:val="both"/>
        <w:rPr>
          <w:rFonts w:ascii="Arial" w:hAnsi="Arial" w:cs="Arial"/>
        </w:rPr>
      </w:pPr>
      <w:r>
        <w:rPr>
          <w:rFonts w:ascii="Arial" w:hAnsi="Arial" w:cs="Arial"/>
        </w:rPr>
        <w:tab/>
      </w:r>
      <w:r w:rsidRPr="00600FC1">
        <w:rPr>
          <w:rFonts w:ascii="Arial" w:hAnsi="Arial" w:cs="Arial"/>
        </w:rPr>
        <w:t>Além disso, o antibiograma avalia o comportamento da bactéria em ambiente laboratorial controlado. O teste não incorpora variáveis clínicas relevantes, como penetração tecidual do antibacteriano, presença de biofilme, carga bacteriana elevada ou alterações farmacocinéticas do hospedeiro.</w:t>
      </w:r>
    </w:p>
    <w:p w14:paraId="47C7F5F8" w14:textId="77777777" w:rsidR="00307F19" w:rsidRPr="00600FC1" w:rsidRDefault="00307F19" w:rsidP="00307F19">
      <w:pPr>
        <w:spacing w:after="0" w:line="360" w:lineRule="auto"/>
        <w:jc w:val="both"/>
        <w:rPr>
          <w:rFonts w:ascii="Arial" w:hAnsi="Arial" w:cs="Arial"/>
        </w:rPr>
      </w:pPr>
      <w:r>
        <w:rPr>
          <w:rFonts w:ascii="Arial" w:hAnsi="Arial" w:cs="Arial"/>
        </w:rPr>
        <w:tab/>
      </w:r>
      <w:r w:rsidRPr="00600FC1">
        <w:rPr>
          <w:rFonts w:ascii="Arial" w:hAnsi="Arial" w:cs="Arial"/>
        </w:rPr>
        <w:t>Por essas razões, o resultado do teste de sensibilidade deve ser compreendido como uma estimativa microbiológica obtida in vitro. A decisão terapêutica depende da integração desse dado com o foco infeccioso, as características do paciente e o contexto clínico em que a infecção ocorre.</w:t>
      </w:r>
    </w:p>
    <w:p w14:paraId="5D33F51F" w14:textId="77777777" w:rsidR="00307F19" w:rsidRDefault="00307F19" w:rsidP="00307F19">
      <w:pPr>
        <w:spacing w:after="0" w:line="360" w:lineRule="auto"/>
        <w:jc w:val="both"/>
        <w:rPr>
          <w:rFonts w:ascii="Arial" w:hAnsi="Arial" w:cs="Arial"/>
        </w:rPr>
      </w:pPr>
      <w:r>
        <w:rPr>
          <w:rFonts w:ascii="Arial" w:hAnsi="Arial" w:cs="Arial"/>
        </w:rPr>
        <w:tab/>
        <w:t>A</w:t>
      </w:r>
      <w:r w:rsidRPr="00600FC1">
        <w:rPr>
          <w:rFonts w:ascii="Arial" w:hAnsi="Arial" w:cs="Arial"/>
        </w:rPr>
        <w:t xml:space="preserve"> leitura adequada do antibiograma exige reconhecer tanto o valor quanto as limitações do teste, evitando interpretações simplificadas baseadas em um único elemento do laudo.</w:t>
      </w:r>
    </w:p>
    <w:p w14:paraId="2D4F91C9" w14:textId="77777777" w:rsidR="00307F19" w:rsidRDefault="00307F19" w:rsidP="00307F19">
      <w:pPr>
        <w:spacing w:after="0" w:line="360" w:lineRule="auto"/>
        <w:jc w:val="both"/>
        <w:rPr>
          <w:rFonts w:ascii="Arial" w:hAnsi="Arial" w:cs="Arial"/>
        </w:rPr>
      </w:pPr>
    </w:p>
    <w:p w14:paraId="41DF6623" w14:textId="3E36A785" w:rsidR="00A53F43" w:rsidRDefault="00307F19" w:rsidP="00A53F43">
      <w:pPr>
        <w:spacing w:after="0" w:line="360" w:lineRule="auto"/>
        <w:jc w:val="right"/>
        <w:rPr>
          <w:rFonts w:ascii="Arial" w:hAnsi="Arial" w:cs="Arial"/>
        </w:rPr>
      </w:pPr>
      <w:r w:rsidRPr="0003129B">
        <w:rPr>
          <w:rFonts w:ascii="Arial" w:hAnsi="Arial" w:cs="Arial"/>
        </w:rPr>
        <w:t xml:space="preserve">Página </w:t>
      </w:r>
      <w:r w:rsidR="00A53F43">
        <w:rPr>
          <w:rFonts w:ascii="Arial" w:hAnsi="Arial" w:cs="Arial"/>
        </w:rPr>
        <w:t>5</w:t>
      </w:r>
      <w:r w:rsidR="00D00A5C">
        <w:rPr>
          <w:rFonts w:ascii="Arial" w:hAnsi="Arial" w:cs="Arial"/>
        </w:rPr>
        <w:t>3</w:t>
      </w:r>
    </w:p>
    <w:p w14:paraId="626E268C" w14:textId="77777777" w:rsidR="00A53F43" w:rsidRDefault="00A53F43" w:rsidP="00A53F43">
      <w:pPr>
        <w:spacing w:after="0" w:line="360" w:lineRule="auto"/>
        <w:jc w:val="right"/>
        <w:rPr>
          <w:rFonts w:ascii="Arial" w:hAnsi="Arial" w:cs="Arial"/>
        </w:rPr>
      </w:pPr>
    </w:p>
    <w:p w14:paraId="5922F17C" w14:textId="325E3042" w:rsidR="00307F19" w:rsidRPr="00600FC1" w:rsidRDefault="00307F19" w:rsidP="00A53F43">
      <w:pPr>
        <w:spacing w:after="0" w:line="360" w:lineRule="auto"/>
        <w:rPr>
          <w:rFonts w:ascii="Arial" w:hAnsi="Arial" w:cs="Arial"/>
          <w:b/>
          <w:bCs/>
        </w:rPr>
      </w:pPr>
      <w:r w:rsidRPr="00600FC1">
        <w:rPr>
          <w:rFonts w:ascii="Arial" w:hAnsi="Arial" w:cs="Arial"/>
          <w:b/>
          <w:bCs/>
        </w:rPr>
        <w:t>Integração das informações do antibiograma</w:t>
      </w:r>
    </w:p>
    <w:p w14:paraId="2C96FBF6" w14:textId="77777777" w:rsidR="00307F19" w:rsidRPr="00600FC1" w:rsidRDefault="00307F19" w:rsidP="00307F19">
      <w:pPr>
        <w:spacing w:after="0" w:line="360" w:lineRule="auto"/>
        <w:jc w:val="both"/>
        <w:rPr>
          <w:rFonts w:ascii="Arial" w:hAnsi="Arial" w:cs="Arial"/>
          <w:b/>
          <w:bCs/>
        </w:rPr>
      </w:pPr>
    </w:p>
    <w:p w14:paraId="374CE502" w14:textId="77777777" w:rsidR="00307F19" w:rsidRPr="00600FC1" w:rsidRDefault="00307F19" w:rsidP="00307F19">
      <w:pPr>
        <w:spacing w:after="0" w:line="360" w:lineRule="auto"/>
        <w:ind w:firstLine="708"/>
        <w:jc w:val="both"/>
        <w:rPr>
          <w:rFonts w:ascii="Arial" w:hAnsi="Arial" w:cs="Arial"/>
        </w:rPr>
      </w:pPr>
      <w:r w:rsidRPr="00600FC1">
        <w:rPr>
          <w:rFonts w:ascii="Arial" w:hAnsi="Arial" w:cs="Arial"/>
        </w:rPr>
        <w:t>O antibiograma deve ser interpretado como parte de um conjunto de informações microbiológicas que inclui a espécie bacteriana identificada, a origem da amostra, possíveis observações sobre mecanismos de resistência e os resultados do teste de suscetibilidade.</w:t>
      </w:r>
    </w:p>
    <w:p w14:paraId="1BFA52FF" w14:textId="77777777" w:rsidR="00307F19" w:rsidRDefault="00307F19" w:rsidP="00307F19">
      <w:pPr>
        <w:spacing w:after="0" w:line="360" w:lineRule="auto"/>
        <w:jc w:val="both"/>
        <w:rPr>
          <w:rFonts w:ascii="Arial" w:hAnsi="Arial" w:cs="Arial"/>
        </w:rPr>
      </w:pPr>
      <w:r>
        <w:rPr>
          <w:rFonts w:ascii="Arial" w:hAnsi="Arial" w:cs="Arial"/>
        </w:rPr>
        <w:tab/>
      </w:r>
      <w:r w:rsidRPr="00600FC1">
        <w:rPr>
          <w:rFonts w:ascii="Arial" w:hAnsi="Arial" w:cs="Arial"/>
        </w:rPr>
        <w:t>A leitura adequada do laudo envolve integrar essas informações em sequência lógica. Cada elemento contribui para a compreensão do comportamento do microrganismo isolado e para a avaliação da relevância clínica do resultado.</w:t>
      </w:r>
    </w:p>
    <w:p w14:paraId="6D4ECF3C" w14:textId="77777777" w:rsidR="00307F19" w:rsidRPr="00600FC1" w:rsidRDefault="00307F19" w:rsidP="00307F19">
      <w:pPr>
        <w:spacing w:after="0" w:line="360" w:lineRule="auto"/>
        <w:jc w:val="both"/>
        <w:rPr>
          <w:rFonts w:ascii="Arial" w:hAnsi="Arial" w:cs="Arial"/>
        </w:rPr>
      </w:pPr>
    </w:p>
    <w:p w14:paraId="03711F65" w14:textId="77777777" w:rsidR="00307F19" w:rsidRPr="00600FC1" w:rsidRDefault="00307F19" w:rsidP="00307F19">
      <w:pPr>
        <w:spacing w:after="0" w:line="360" w:lineRule="auto"/>
        <w:jc w:val="both"/>
        <w:rPr>
          <w:rFonts w:ascii="Arial" w:hAnsi="Arial" w:cs="Arial"/>
        </w:rPr>
      </w:pPr>
      <w:r w:rsidRPr="00600FC1">
        <w:rPr>
          <w:rFonts w:ascii="Arial" w:hAnsi="Arial" w:cs="Arial"/>
        </w:rPr>
        <w:t>Considere o exemplo simplificado de um laudo microbiológico:</w:t>
      </w:r>
    </w:p>
    <w:p w14:paraId="25CE1D11" w14:textId="77777777" w:rsidR="00307F19" w:rsidRPr="00600FC1" w:rsidRDefault="00307F19" w:rsidP="00307F19">
      <w:pPr>
        <w:spacing w:after="0" w:line="360" w:lineRule="auto"/>
        <w:jc w:val="both"/>
        <w:rPr>
          <w:rFonts w:ascii="Arial" w:hAnsi="Arial" w:cs="Arial"/>
        </w:rPr>
      </w:pPr>
      <w:r w:rsidRPr="00600FC1">
        <w:rPr>
          <w:rFonts w:ascii="Arial" w:hAnsi="Arial" w:cs="Arial"/>
        </w:rPr>
        <w:t>Amostra: urina</w:t>
      </w:r>
    </w:p>
    <w:p w14:paraId="6F3DD191" w14:textId="77777777" w:rsidR="00307F19" w:rsidRPr="00600FC1" w:rsidRDefault="00307F19" w:rsidP="00307F19">
      <w:pPr>
        <w:spacing w:after="0" w:line="360" w:lineRule="auto"/>
        <w:jc w:val="both"/>
        <w:rPr>
          <w:rFonts w:ascii="Arial" w:hAnsi="Arial" w:cs="Arial"/>
        </w:rPr>
      </w:pPr>
      <w:r w:rsidRPr="00600FC1">
        <w:rPr>
          <w:rFonts w:ascii="Arial" w:hAnsi="Arial" w:cs="Arial"/>
        </w:rPr>
        <w:t>Microrganismo identificado: Escherichia coli</w:t>
      </w:r>
    </w:p>
    <w:p w14:paraId="319D90F4" w14:textId="77777777" w:rsidR="00307F19" w:rsidRPr="00600FC1" w:rsidRDefault="00307F19" w:rsidP="00307F19">
      <w:pPr>
        <w:spacing w:after="0" w:line="360" w:lineRule="auto"/>
        <w:jc w:val="both"/>
        <w:rPr>
          <w:rFonts w:ascii="Arial" w:hAnsi="Arial" w:cs="Arial"/>
        </w:rPr>
      </w:pPr>
      <w:r w:rsidRPr="00600FC1">
        <w:rPr>
          <w:rFonts w:ascii="Arial" w:hAnsi="Arial" w:cs="Arial"/>
        </w:rPr>
        <w:t>Observação laboratorial: produção de ESBL detectada</w:t>
      </w:r>
    </w:p>
    <w:p w14:paraId="04CE9C10" w14:textId="77777777" w:rsidR="00307F19" w:rsidRPr="00600FC1" w:rsidRDefault="00307F19" w:rsidP="00307F19">
      <w:pPr>
        <w:spacing w:after="0" w:line="360" w:lineRule="auto"/>
        <w:jc w:val="both"/>
        <w:rPr>
          <w:rFonts w:ascii="Arial" w:hAnsi="Arial" w:cs="Arial"/>
        </w:rPr>
      </w:pPr>
    </w:p>
    <w:p w14:paraId="0545C6DE" w14:textId="77777777" w:rsidR="00307F19" w:rsidRPr="00600FC1" w:rsidRDefault="00307F19" w:rsidP="00307F19">
      <w:pPr>
        <w:spacing w:after="0" w:line="360" w:lineRule="auto"/>
        <w:jc w:val="both"/>
        <w:rPr>
          <w:rFonts w:ascii="Arial" w:hAnsi="Arial" w:cs="Arial"/>
        </w:rPr>
      </w:pPr>
      <w:r w:rsidRPr="00600FC1">
        <w:rPr>
          <w:rFonts w:ascii="Arial" w:hAnsi="Arial" w:cs="Arial"/>
        </w:rPr>
        <w:t>Antibacteriano</w:t>
      </w:r>
      <w:r w:rsidRPr="00600FC1">
        <w:rPr>
          <w:rFonts w:ascii="Arial" w:hAnsi="Arial" w:cs="Arial"/>
        </w:rPr>
        <w:tab/>
        <w:t>Resultado</w:t>
      </w:r>
    </w:p>
    <w:p w14:paraId="60EAD6D6" w14:textId="77777777" w:rsidR="00307F19" w:rsidRPr="00600FC1" w:rsidRDefault="00307F19" w:rsidP="00307F19">
      <w:pPr>
        <w:spacing w:after="0" w:line="360" w:lineRule="auto"/>
        <w:jc w:val="both"/>
        <w:rPr>
          <w:rFonts w:ascii="Arial" w:hAnsi="Arial" w:cs="Arial"/>
        </w:rPr>
      </w:pPr>
      <w:proofErr w:type="spellStart"/>
      <w:r w:rsidRPr="00600FC1">
        <w:rPr>
          <w:rFonts w:ascii="Arial" w:hAnsi="Arial" w:cs="Arial"/>
        </w:rPr>
        <w:t>Ceftriaxona</w:t>
      </w:r>
      <w:proofErr w:type="spellEnd"/>
      <w:r w:rsidRPr="00600FC1">
        <w:rPr>
          <w:rFonts w:ascii="Arial" w:hAnsi="Arial" w:cs="Arial"/>
        </w:rPr>
        <w:tab/>
        <w:t>Resistente</w:t>
      </w:r>
    </w:p>
    <w:p w14:paraId="2C40C5AE" w14:textId="77777777" w:rsidR="00307F19" w:rsidRPr="00600FC1" w:rsidRDefault="00307F19" w:rsidP="00307F19">
      <w:pPr>
        <w:spacing w:after="0" w:line="360" w:lineRule="auto"/>
        <w:jc w:val="both"/>
        <w:rPr>
          <w:rFonts w:ascii="Arial" w:hAnsi="Arial" w:cs="Arial"/>
        </w:rPr>
      </w:pPr>
      <w:proofErr w:type="spellStart"/>
      <w:r w:rsidRPr="00600FC1">
        <w:rPr>
          <w:rFonts w:ascii="Arial" w:hAnsi="Arial" w:cs="Arial"/>
        </w:rPr>
        <w:t>Ciprofloxacino</w:t>
      </w:r>
      <w:proofErr w:type="spellEnd"/>
      <w:r w:rsidRPr="00600FC1">
        <w:rPr>
          <w:rFonts w:ascii="Arial" w:hAnsi="Arial" w:cs="Arial"/>
        </w:rPr>
        <w:tab/>
        <w:t>Sensível</w:t>
      </w:r>
    </w:p>
    <w:p w14:paraId="4BEC7A4E" w14:textId="77777777" w:rsidR="00307F19" w:rsidRPr="00600FC1" w:rsidRDefault="00307F19" w:rsidP="00307F19">
      <w:pPr>
        <w:spacing w:after="0" w:line="360" w:lineRule="auto"/>
        <w:jc w:val="both"/>
        <w:rPr>
          <w:rFonts w:ascii="Arial" w:hAnsi="Arial" w:cs="Arial"/>
        </w:rPr>
      </w:pPr>
      <w:proofErr w:type="spellStart"/>
      <w:r w:rsidRPr="00600FC1">
        <w:rPr>
          <w:rFonts w:ascii="Arial" w:hAnsi="Arial" w:cs="Arial"/>
        </w:rPr>
        <w:t>Nitrofurantoína</w:t>
      </w:r>
      <w:proofErr w:type="spellEnd"/>
      <w:r w:rsidRPr="00600FC1">
        <w:rPr>
          <w:rFonts w:ascii="Arial" w:hAnsi="Arial" w:cs="Arial"/>
        </w:rPr>
        <w:tab/>
        <w:t>Sensível</w:t>
      </w:r>
    </w:p>
    <w:p w14:paraId="4A1CD0DC" w14:textId="77777777" w:rsidR="00307F19" w:rsidRPr="00600FC1" w:rsidRDefault="00307F19" w:rsidP="00307F19">
      <w:pPr>
        <w:spacing w:after="0" w:line="360" w:lineRule="auto"/>
        <w:jc w:val="both"/>
        <w:rPr>
          <w:rFonts w:ascii="Arial" w:hAnsi="Arial" w:cs="Arial"/>
        </w:rPr>
      </w:pPr>
      <w:r w:rsidRPr="00600FC1">
        <w:rPr>
          <w:rFonts w:ascii="Arial" w:hAnsi="Arial" w:cs="Arial"/>
        </w:rPr>
        <w:t>Amoxicilina-</w:t>
      </w:r>
      <w:proofErr w:type="spellStart"/>
      <w:r w:rsidRPr="00600FC1">
        <w:rPr>
          <w:rFonts w:ascii="Arial" w:hAnsi="Arial" w:cs="Arial"/>
        </w:rPr>
        <w:t>clavulanato</w:t>
      </w:r>
      <w:proofErr w:type="spellEnd"/>
      <w:r w:rsidRPr="00600FC1">
        <w:rPr>
          <w:rFonts w:ascii="Arial" w:hAnsi="Arial" w:cs="Arial"/>
        </w:rPr>
        <w:tab/>
      </w:r>
      <w:r w:rsidRPr="00463013">
        <w:rPr>
          <w:rFonts w:ascii="Arial" w:hAnsi="Arial" w:cs="Arial"/>
        </w:rPr>
        <w:t>Sensível, aumentando exposição (I)</w:t>
      </w:r>
    </w:p>
    <w:p w14:paraId="4E856F8C" w14:textId="77777777" w:rsidR="00307F19" w:rsidRPr="00600FC1" w:rsidRDefault="00307F19" w:rsidP="00307F19">
      <w:pPr>
        <w:spacing w:after="0" w:line="360" w:lineRule="auto"/>
        <w:jc w:val="both"/>
        <w:rPr>
          <w:rFonts w:ascii="Arial" w:hAnsi="Arial" w:cs="Arial"/>
        </w:rPr>
      </w:pPr>
      <w:proofErr w:type="spellStart"/>
      <w:r w:rsidRPr="00600FC1">
        <w:rPr>
          <w:rFonts w:ascii="Arial" w:hAnsi="Arial" w:cs="Arial"/>
        </w:rPr>
        <w:t>Meropenem</w:t>
      </w:r>
      <w:proofErr w:type="spellEnd"/>
      <w:r w:rsidRPr="00600FC1">
        <w:rPr>
          <w:rFonts w:ascii="Arial" w:hAnsi="Arial" w:cs="Arial"/>
        </w:rPr>
        <w:tab/>
        <w:t>Sensível</w:t>
      </w:r>
    </w:p>
    <w:p w14:paraId="70152FB7" w14:textId="77777777" w:rsidR="00307F19" w:rsidRPr="00600FC1" w:rsidRDefault="00307F19" w:rsidP="00307F19">
      <w:pPr>
        <w:spacing w:after="0" w:line="360" w:lineRule="auto"/>
        <w:jc w:val="both"/>
        <w:rPr>
          <w:rFonts w:ascii="Arial" w:hAnsi="Arial" w:cs="Arial"/>
        </w:rPr>
      </w:pPr>
      <w:r w:rsidRPr="002D7249">
        <w:rPr>
          <w:rFonts w:ascii="Arial" w:hAnsi="Arial" w:cs="Arial"/>
        </w:rPr>
        <w:lastRenderedPageBreak/>
        <w:t>Exemplo didático simplificado; a composição do painel e a forma de reporte podem variar conforme o sistema normativo adotado, o laboratório e a combinação microrganismo–antibacteriano.</w:t>
      </w:r>
    </w:p>
    <w:p w14:paraId="77D461DC" w14:textId="77777777" w:rsidR="00307F19" w:rsidRPr="00600FC1" w:rsidRDefault="00307F19" w:rsidP="00307F19">
      <w:pPr>
        <w:spacing w:after="0" w:line="360" w:lineRule="auto"/>
        <w:jc w:val="both"/>
        <w:rPr>
          <w:rFonts w:ascii="Arial" w:hAnsi="Arial" w:cs="Arial"/>
        </w:rPr>
      </w:pPr>
    </w:p>
    <w:p w14:paraId="29BB21CB" w14:textId="77777777" w:rsidR="00307F19" w:rsidRPr="00600FC1" w:rsidRDefault="00307F19" w:rsidP="00307F19">
      <w:pPr>
        <w:spacing w:after="0" w:line="360" w:lineRule="auto"/>
        <w:ind w:firstLine="708"/>
        <w:jc w:val="both"/>
        <w:rPr>
          <w:rFonts w:ascii="Arial" w:hAnsi="Arial" w:cs="Arial"/>
        </w:rPr>
      </w:pPr>
      <w:r w:rsidRPr="00600FC1">
        <w:rPr>
          <w:rFonts w:ascii="Arial" w:hAnsi="Arial" w:cs="Arial"/>
        </w:rPr>
        <w:t>A interpretação do resultado começa pela identificação da espécie bacteriana. Escherichia coli é um agente frequentemente associado a infecções do trato urinário, o que torna o isolamento plausível no contexto clínico dessa amostra.</w:t>
      </w:r>
    </w:p>
    <w:p w14:paraId="0B0C3FBE" w14:textId="77777777" w:rsidR="00307F19" w:rsidRPr="00600FC1" w:rsidRDefault="00307F19" w:rsidP="00307F19">
      <w:pPr>
        <w:spacing w:after="0" w:line="360" w:lineRule="auto"/>
        <w:jc w:val="both"/>
        <w:rPr>
          <w:rFonts w:ascii="Arial" w:hAnsi="Arial" w:cs="Arial"/>
        </w:rPr>
      </w:pPr>
      <w:r>
        <w:rPr>
          <w:rFonts w:ascii="Arial" w:hAnsi="Arial" w:cs="Arial"/>
        </w:rPr>
        <w:tab/>
      </w:r>
      <w:r w:rsidRPr="00600FC1">
        <w:rPr>
          <w:rFonts w:ascii="Arial" w:hAnsi="Arial" w:cs="Arial"/>
        </w:rPr>
        <w:t>Em seguida, a observação de produção de ESBL indica a presença de uma enzima capaz de hidrolisar diversas penicilinas e cefalosporinas. Essa informação fornece contexto para a interpretação do painel de β-lactâmicos e explica a resistência observada a algumas cefalosporinas.</w:t>
      </w:r>
    </w:p>
    <w:p w14:paraId="6FF60B13" w14:textId="3321AA07" w:rsidR="00307F19" w:rsidRPr="00600FC1" w:rsidRDefault="00307F19" w:rsidP="00307F19">
      <w:pPr>
        <w:spacing w:after="0" w:line="360" w:lineRule="auto"/>
        <w:jc w:val="both"/>
        <w:rPr>
          <w:rFonts w:ascii="Arial" w:hAnsi="Arial" w:cs="Arial"/>
        </w:rPr>
      </w:pPr>
      <w:r>
        <w:rPr>
          <w:rFonts w:ascii="Arial" w:hAnsi="Arial" w:cs="Arial"/>
        </w:rPr>
        <w:tab/>
      </w:r>
      <w:r w:rsidRPr="00600FC1">
        <w:rPr>
          <w:rFonts w:ascii="Arial" w:hAnsi="Arial" w:cs="Arial"/>
        </w:rPr>
        <w:t xml:space="preserve">Somente após considerar essas informações faz sentido analisar as categorias de suscetibilidade apresentadas no antibiograma. A classificação como </w:t>
      </w:r>
      <w:r w:rsidRPr="00463013">
        <w:rPr>
          <w:rFonts w:ascii="Arial" w:hAnsi="Arial" w:cs="Arial"/>
        </w:rPr>
        <w:t>as categorias S, I e R</w:t>
      </w:r>
      <w:r w:rsidRPr="00600FC1">
        <w:rPr>
          <w:rFonts w:ascii="Arial" w:hAnsi="Arial" w:cs="Arial"/>
        </w:rPr>
        <w:t xml:space="preserve"> representa a aplicação de critérios interpretativos sobre o comportamento da bactéria no teste laboratorial</w:t>
      </w:r>
      <w:r>
        <w:rPr>
          <w:rFonts w:ascii="Arial" w:hAnsi="Arial" w:cs="Arial"/>
        </w:rPr>
        <w:t xml:space="preserve"> </w:t>
      </w:r>
      <w:sdt>
        <w:sdtPr>
          <w:rPr>
            <w:rFonts w:ascii="Arial" w:hAnsi="Arial" w:cs="Arial"/>
            <w:color w:val="000000"/>
          </w:rPr>
          <w:tag w:val="MENDELEY_CITATION_v3_eyJjaXRhdGlvbklEIjoiTUVOREVMRVlfQ0lUQVRJT05fNjI4MjY1NDgtZGQzNS00ZDk1LTlkYjktN2EzMDM3NTAxYWYy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
          <w:id w:val="-1281799356"/>
          <w:placeholder>
            <w:docPart w:val="82205BD79BD447E18C2DB4CBDA176150"/>
          </w:placeholder>
        </w:sdtPr>
        <w:sdtEndPr/>
        <w:sdtContent>
          <w:r w:rsidR="006845EC" w:rsidRPr="006845EC">
            <w:rPr>
              <w:rFonts w:ascii="Arial" w:hAnsi="Arial" w:cs="Arial"/>
              <w:color w:val="000000"/>
            </w:rPr>
            <w:t>(1)</w:t>
          </w:r>
        </w:sdtContent>
      </w:sdt>
      <w:r w:rsidRPr="00600FC1">
        <w:rPr>
          <w:rFonts w:ascii="Arial" w:hAnsi="Arial" w:cs="Arial"/>
        </w:rPr>
        <w:t>.</w:t>
      </w:r>
    </w:p>
    <w:p w14:paraId="4D13DACD" w14:textId="77777777" w:rsidR="00307F19" w:rsidRPr="00600FC1" w:rsidRDefault="00307F19" w:rsidP="00307F19">
      <w:pPr>
        <w:spacing w:after="0" w:line="360" w:lineRule="auto"/>
        <w:jc w:val="both"/>
        <w:rPr>
          <w:rFonts w:ascii="Arial" w:hAnsi="Arial" w:cs="Arial"/>
        </w:rPr>
      </w:pPr>
      <w:r>
        <w:rPr>
          <w:rFonts w:ascii="Arial" w:hAnsi="Arial" w:cs="Arial"/>
        </w:rPr>
        <w:tab/>
      </w:r>
      <w:r w:rsidRPr="00600FC1">
        <w:rPr>
          <w:rFonts w:ascii="Arial" w:hAnsi="Arial" w:cs="Arial"/>
        </w:rPr>
        <w:t>Nesse exemplo, antibacterianos classificados como sensíveis indicam que, nas condições consideradas pelos critérios interpretativos do teste, a bactéria apresenta probabilidade de inibição quando exposta ao fármaco em concentrações adequadas.</w:t>
      </w:r>
    </w:p>
    <w:p w14:paraId="0DBDD0E7" w14:textId="77777777" w:rsidR="00307F19" w:rsidRPr="00600FC1" w:rsidRDefault="00307F19" w:rsidP="00307F19">
      <w:pPr>
        <w:spacing w:after="0" w:line="360" w:lineRule="auto"/>
        <w:jc w:val="both"/>
        <w:rPr>
          <w:rFonts w:ascii="Arial" w:hAnsi="Arial" w:cs="Arial"/>
        </w:rPr>
      </w:pPr>
      <w:r>
        <w:rPr>
          <w:rFonts w:ascii="Arial" w:hAnsi="Arial" w:cs="Arial"/>
        </w:rPr>
        <w:tab/>
      </w:r>
      <w:r w:rsidRPr="00600FC1">
        <w:rPr>
          <w:rFonts w:ascii="Arial" w:hAnsi="Arial" w:cs="Arial"/>
        </w:rPr>
        <w:t>A leitura do antibiograma não consiste em escolher automaticamente um antibacteriano da lista apresentada. O resultado microbiológico fornece informação sobre o comportamento da bactéria, que deve ser integrada ao foco infeccioso, às características farmacológicas dos antibacterianos disponíveis e ao contexto clínico do paciente.</w:t>
      </w:r>
    </w:p>
    <w:p w14:paraId="4603ED02" w14:textId="77777777" w:rsidR="00307F19" w:rsidRPr="00600FC1" w:rsidRDefault="00307F19" w:rsidP="00307F19">
      <w:pPr>
        <w:spacing w:after="0" w:line="360" w:lineRule="auto"/>
        <w:jc w:val="both"/>
        <w:rPr>
          <w:rFonts w:ascii="Arial" w:hAnsi="Arial" w:cs="Arial"/>
        </w:rPr>
      </w:pPr>
      <w:r>
        <w:rPr>
          <w:rFonts w:ascii="Arial" w:hAnsi="Arial" w:cs="Arial"/>
        </w:rPr>
        <w:tab/>
      </w:r>
      <w:r w:rsidRPr="00600FC1">
        <w:rPr>
          <w:rFonts w:ascii="Arial" w:hAnsi="Arial" w:cs="Arial"/>
        </w:rPr>
        <w:t>Esse processo de integração transforma o antibiograma de um conjunto de dados laboratoriais em uma ferramenta útil para o raciocínio clínico na antibioticoterapia.</w:t>
      </w:r>
    </w:p>
    <w:p w14:paraId="1FA83D52" w14:textId="77777777" w:rsidR="00307F19" w:rsidRDefault="00307F19" w:rsidP="00307F19">
      <w:pPr>
        <w:spacing w:after="0" w:line="360" w:lineRule="auto"/>
        <w:jc w:val="both"/>
        <w:rPr>
          <w:rFonts w:ascii="Arial" w:hAnsi="Arial" w:cs="Arial"/>
        </w:rPr>
      </w:pPr>
    </w:p>
    <w:p w14:paraId="1445333B" w14:textId="3E84E094" w:rsidR="00307F19" w:rsidRPr="00600FC1" w:rsidRDefault="00307F19" w:rsidP="00307F19">
      <w:pPr>
        <w:spacing w:after="0" w:line="360" w:lineRule="auto"/>
        <w:jc w:val="right"/>
        <w:rPr>
          <w:rFonts w:ascii="Arial" w:hAnsi="Arial" w:cs="Arial"/>
        </w:rPr>
      </w:pPr>
      <w:r w:rsidRPr="00600FC1">
        <w:rPr>
          <w:rFonts w:ascii="Arial" w:hAnsi="Arial" w:cs="Arial"/>
        </w:rPr>
        <w:t xml:space="preserve">Página </w:t>
      </w:r>
      <w:r w:rsidR="00A53F43">
        <w:rPr>
          <w:rFonts w:ascii="Arial" w:hAnsi="Arial" w:cs="Arial"/>
        </w:rPr>
        <w:t>5</w:t>
      </w:r>
      <w:r w:rsidR="00D00A5C">
        <w:rPr>
          <w:rFonts w:ascii="Arial" w:hAnsi="Arial" w:cs="Arial"/>
        </w:rPr>
        <w:t>4</w:t>
      </w:r>
    </w:p>
    <w:p w14:paraId="3DCB1A01" w14:textId="77777777" w:rsidR="00307F19" w:rsidRPr="00600FC1" w:rsidRDefault="00307F19" w:rsidP="00307F19">
      <w:pPr>
        <w:spacing w:after="0" w:line="360" w:lineRule="auto"/>
        <w:jc w:val="both"/>
        <w:rPr>
          <w:rFonts w:ascii="Arial" w:hAnsi="Arial" w:cs="Arial"/>
        </w:rPr>
      </w:pPr>
    </w:p>
    <w:p w14:paraId="33B15B5A" w14:textId="77777777" w:rsidR="00307F19" w:rsidRDefault="00307F19" w:rsidP="00307F19">
      <w:pPr>
        <w:spacing w:after="0" w:line="360" w:lineRule="auto"/>
        <w:jc w:val="both"/>
        <w:rPr>
          <w:rFonts w:ascii="Arial" w:hAnsi="Arial" w:cs="Arial"/>
          <w:b/>
          <w:bCs/>
        </w:rPr>
      </w:pPr>
      <w:r w:rsidRPr="00600FC1">
        <w:rPr>
          <w:rFonts w:ascii="Arial" w:hAnsi="Arial" w:cs="Arial"/>
          <w:b/>
          <w:bCs/>
        </w:rPr>
        <w:t>Quiz de revisão</w:t>
      </w:r>
    </w:p>
    <w:p w14:paraId="360A4E02" w14:textId="77777777" w:rsidR="00307F19" w:rsidRPr="00600FC1" w:rsidRDefault="00307F19" w:rsidP="00307F19">
      <w:pPr>
        <w:spacing w:after="0" w:line="360" w:lineRule="auto"/>
        <w:jc w:val="both"/>
        <w:rPr>
          <w:rFonts w:ascii="Arial" w:hAnsi="Arial" w:cs="Arial"/>
          <w:b/>
          <w:bCs/>
        </w:rPr>
      </w:pPr>
    </w:p>
    <w:p w14:paraId="445F730D" w14:textId="77777777" w:rsidR="00307F19" w:rsidRPr="00600FC1" w:rsidRDefault="00307F19" w:rsidP="00307F19">
      <w:pPr>
        <w:spacing w:after="0" w:line="360" w:lineRule="auto"/>
        <w:jc w:val="both"/>
        <w:rPr>
          <w:rFonts w:ascii="Arial" w:hAnsi="Arial" w:cs="Arial"/>
        </w:rPr>
      </w:pPr>
      <w:r w:rsidRPr="00600FC1">
        <w:rPr>
          <w:rFonts w:ascii="Arial" w:hAnsi="Arial" w:cs="Arial"/>
        </w:rPr>
        <w:t>1)</w:t>
      </w:r>
      <w:r>
        <w:rPr>
          <w:rFonts w:ascii="Arial" w:hAnsi="Arial" w:cs="Arial"/>
        </w:rPr>
        <w:t xml:space="preserve"> </w:t>
      </w:r>
      <w:r w:rsidRPr="00600FC1">
        <w:rPr>
          <w:rFonts w:ascii="Arial" w:hAnsi="Arial" w:cs="Arial"/>
        </w:rPr>
        <w:t>Um antibiograma mostra dois antibacterianos classificados como sensíveis para a mesma bactéria isolada. Um deles apresenta CIM menor que o outro. O estudante conclui que o antibacteriano com menor CIM será necessariamente o mais eficaz no tratamento.</w:t>
      </w:r>
    </w:p>
    <w:p w14:paraId="1CCD88C6" w14:textId="77777777" w:rsidR="00307F19" w:rsidRPr="00600FC1" w:rsidRDefault="00307F19" w:rsidP="00307F19">
      <w:pPr>
        <w:spacing w:after="0" w:line="360" w:lineRule="auto"/>
        <w:jc w:val="both"/>
        <w:rPr>
          <w:rFonts w:ascii="Arial" w:hAnsi="Arial" w:cs="Arial"/>
        </w:rPr>
      </w:pPr>
      <w:r w:rsidRPr="00600FC1">
        <w:rPr>
          <w:rFonts w:ascii="Arial" w:hAnsi="Arial" w:cs="Arial"/>
        </w:rPr>
        <w:t>Qual princípio ajuda a explicar por que essa interpretação pode estar incorreta?</w:t>
      </w:r>
    </w:p>
    <w:p w14:paraId="1404DF9C" w14:textId="77777777" w:rsidR="00307F19" w:rsidRPr="00600FC1" w:rsidRDefault="00307F19" w:rsidP="00307F19">
      <w:pPr>
        <w:spacing w:after="0" w:line="360" w:lineRule="auto"/>
        <w:jc w:val="both"/>
        <w:rPr>
          <w:rFonts w:ascii="Arial" w:hAnsi="Arial" w:cs="Arial"/>
        </w:rPr>
      </w:pPr>
    </w:p>
    <w:p w14:paraId="1A0328AF" w14:textId="77777777" w:rsidR="00307F19" w:rsidRPr="00600FC1" w:rsidRDefault="00307F19" w:rsidP="00307F19">
      <w:pPr>
        <w:spacing w:after="0" w:line="360" w:lineRule="auto"/>
        <w:jc w:val="both"/>
        <w:rPr>
          <w:rFonts w:ascii="Arial" w:hAnsi="Arial" w:cs="Arial"/>
        </w:rPr>
      </w:pPr>
      <w:r w:rsidRPr="00600FC1">
        <w:rPr>
          <w:rFonts w:ascii="Arial" w:hAnsi="Arial" w:cs="Arial"/>
        </w:rPr>
        <w:lastRenderedPageBreak/>
        <w:t>A) A interpretação da CIM depende da relação com os breakpoints e da exposição farmacológica alcançada no organismo</w:t>
      </w:r>
    </w:p>
    <w:p w14:paraId="063C8038" w14:textId="77777777" w:rsidR="00307F19" w:rsidRPr="00600FC1" w:rsidRDefault="00307F19" w:rsidP="00307F19">
      <w:pPr>
        <w:spacing w:after="0" w:line="360" w:lineRule="auto"/>
        <w:jc w:val="both"/>
        <w:rPr>
          <w:rFonts w:ascii="Arial" w:hAnsi="Arial" w:cs="Arial"/>
        </w:rPr>
      </w:pPr>
      <w:r w:rsidRPr="00600FC1">
        <w:rPr>
          <w:rFonts w:ascii="Arial" w:hAnsi="Arial" w:cs="Arial"/>
        </w:rPr>
        <w:t>B) A bactéria pode alterar imediatamente seu metabolismo após o início do tratamento</w:t>
      </w:r>
    </w:p>
    <w:p w14:paraId="5A0F9220" w14:textId="77777777" w:rsidR="00307F19" w:rsidRPr="00600FC1" w:rsidRDefault="00307F19" w:rsidP="00307F19">
      <w:pPr>
        <w:spacing w:after="0" w:line="360" w:lineRule="auto"/>
        <w:jc w:val="both"/>
        <w:rPr>
          <w:rFonts w:ascii="Arial" w:hAnsi="Arial" w:cs="Arial"/>
        </w:rPr>
      </w:pPr>
      <w:r w:rsidRPr="00600FC1">
        <w:rPr>
          <w:rFonts w:ascii="Arial" w:hAnsi="Arial" w:cs="Arial"/>
        </w:rPr>
        <w:t>C) A concentração inibitória mínima varia entre diferentes pacientes durante a terapia</w:t>
      </w:r>
    </w:p>
    <w:p w14:paraId="2265AECB" w14:textId="77777777" w:rsidR="00307F19" w:rsidRPr="00600FC1" w:rsidRDefault="00307F19" w:rsidP="00307F19">
      <w:pPr>
        <w:spacing w:after="0" w:line="360" w:lineRule="auto"/>
        <w:jc w:val="both"/>
        <w:rPr>
          <w:rFonts w:ascii="Arial" w:hAnsi="Arial" w:cs="Arial"/>
        </w:rPr>
      </w:pPr>
      <w:r w:rsidRPr="00600FC1">
        <w:rPr>
          <w:rFonts w:ascii="Arial" w:hAnsi="Arial" w:cs="Arial"/>
        </w:rPr>
        <w:t>D) A categoria “sensível” indica que todos os antibacterianos possuem a mesma potência clínica</w:t>
      </w:r>
    </w:p>
    <w:p w14:paraId="31EF5B11" w14:textId="77777777" w:rsidR="00307F19" w:rsidRDefault="00307F19" w:rsidP="00307F19">
      <w:pPr>
        <w:spacing w:after="0" w:line="360" w:lineRule="auto"/>
        <w:jc w:val="both"/>
        <w:rPr>
          <w:rFonts w:ascii="Arial" w:hAnsi="Arial" w:cs="Arial"/>
        </w:rPr>
      </w:pPr>
    </w:p>
    <w:p w14:paraId="4685734B" w14:textId="77777777" w:rsidR="00307F19" w:rsidRPr="00600FC1" w:rsidRDefault="00307F19" w:rsidP="00307F19">
      <w:pPr>
        <w:spacing w:after="0" w:line="360" w:lineRule="auto"/>
        <w:jc w:val="both"/>
        <w:rPr>
          <w:rFonts w:ascii="Arial" w:hAnsi="Arial" w:cs="Arial"/>
        </w:rPr>
      </w:pPr>
      <w:r w:rsidRPr="00600FC1">
        <w:rPr>
          <w:rFonts w:ascii="Arial" w:hAnsi="Arial" w:cs="Arial"/>
        </w:rPr>
        <w:t>Resposta correta: A) A interpretação da CIM depende da relação com os breakpoints e da exposição farmacológica alcançada no organismo</w:t>
      </w:r>
    </w:p>
    <w:p w14:paraId="08A4CF1A" w14:textId="77777777" w:rsidR="00307F19" w:rsidRPr="00600FC1" w:rsidRDefault="00307F19" w:rsidP="00307F19">
      <w:pPr>
        <w:spacing w:after="0" w:line="360" w:lineRule="auto"/>
        <w:jc w:val="both"/>
        <w:rPr>
          <w:rFonts w:ascii="Arial" w:hAnsi="Arial" w:cs="Arial"/>
        </w:rPr>
      </w:pPr>
    </w:p>
    <w:p w14:paraId="35A9DD88" w14:textId="77777777" w:rsidR="00307F19" w:rsidRPr="00600FC1" w:rsidRDefault="00307F19" w:rsidP="00307F19">
      <w:pPr>
        <w:spacing w:after="0" w:line="360" w:lineRule="auto"/>
        <w:jc w:val="both"/>
        <w:rPr>
          <w:rFonts w:ascii="Arial" w:hAnsi="Arial" w:cs="Arial"/>
        </w:rPr>
      </w:pPr>
      <w:r w:rsidRPr="00600FC1">
        <w:rPr>
          <w:rFonts w:ascii="Arial" w:hAnsi="Arial" w:cs="Arial"/>
        </w:rPr>
        <w:t>Feedback</w:t>
      </w:r>
    </w:p>
    <w:p w14:paraId="50A47004" w14:textId="5A8179E9" w:rsidR="00307F19" w:rsidRPr="00600FC1" w:rsidRDefault="00307F19" w:rsidP="00307F19">
      <w:pPr>
        <w:spacing w:after="0" w:line="360" w:lineRule="auto"/>
        <w:jc w:val="both"/>
        <w:rPr>
          <w:rFonts w:ascii="Arial" w:hAnsi="Arial" w:cs="Arial"/>
        </w:rPr>
      </w:pPr>
      <w:r w:rsidRPr="00600FC1">
        <w:rPr>
          <w:rFonts w:ascii="Arial" w:hAnsi="Arial" w:cs="Arial"/>
        </w:rPr>
        <w:t>A) Correta — A CIM deve ser interpretada em relação aos breakpoints estabelecidos e às características farmacocinéticas e farmacodinâmicas do antibacteriano. Diferenças pequenas entre valores próximos ao ponto de corte nem sempre possuem relevância clínica</w:t>
      </w:r>
      <w:r>
        <w:rPr>
          <w:rFonts w:ascii="Arial" w:hAnsi="Arial" w:cs="Arial"/>
        </w:rPr>
        <w:t xml:space="preserve"> </w:t>
      </w:r>
      <w:sdt>
        <w:sdtPr>
          <w:rPr>
            <w:rFonts w:ascii="Arial" w:hAnsi="Arial" w:cs="Arial"/>
            <w:color w:val="000000"/>
          </w:rPr>
          <w:tag w:val="MENDELEY_CITATION_v3_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"/>
          <w:id w:val="1459690275"/>
          <w:placeholder>
            <w:docPart w:val="82205BD79BD447E18C2DB4CBDA176150"/>
          </w:placeholder>
        </w:sdtPr>
        <w:sdtEndPr/>
        <w:sdtContent>
          <w:r w:rsidR="006845EC" w:rsidRPr="006845EC">
            <w:rPr>
              <w:rFonts w:ascii="Arial" w:hAnsi="Arial" w:cs="Arial"/>
              <w:color w:val="000000"/>
            </w:rPr>
            <w:t>(1,2)</w:t>
          </w:r>
        </w:sdtContent>
      </w:sdt>
      <w:r w:rsidRPr="00600FC1">
        <w:rPr>
          <w:rFonts w:ascii="Arial" w:hAnsi="Arial" w:cs="Arial"/>
        </w:rPr>
        <w:t>.</w:t>
      </w:r>
    </w:p>
    <w:p w14:paraId="4F6A197A" w14:textId="77777777" w:rsidR="00307F19" w:rsidRPr="00600FC1" w:rsidRDefault="00307F19" w:rsidP="00307F19">
      <w:pPr>
        <w:spacing w:after="0" w:line="360" w:lineRule="auto"/>
        <w:jc w:val="both"/>
        <w:rPr>
          <w:rFonts w:ascii="Arial" w:hAnsi="Arial" w:cs="Arial"/>
        </w:rPr>
      </w:pPr>
      <w:r w:rsidRPr="00600FC1">
        <w:rPr>
          <w:rFonts w:ascii="Arial" w:hAnsi="Arial" w:cs="Arial"/>
        </w:rPr>
        <w:t>B) Incorreta — Alterações metabólicas bacterianas podem ocorrer, mas não explicam diretamente a interpretação da CIM obtida no teste laboratorial.</w:t>
      </w:r>
    </w:p>
    <w:p w14:paraId="346036DC" w14:textId="77777777" w:rsidR="00307F19" w:rsidRPr="00600FC1" w:rsidRDefault="00307F19" w:rsidP="00307F19">
      <w:pPr>
        <w:spacing w:after="0" w:line="360" w:lineRule="auto"/>
        <w:jc w:val="both"/>
        <w:rPr>
          <w:rFonts w:ascii="Arial" w:hAnsi="Arial" w:cs="Arial"/>
        </w:rPr>
      </w:pPr>
      <w:r w:rsidRPr="00600FC1">
        <w:rPr>
          <w:rFonts w:ascii="Arial" w:hAnsi="Arial" w:cs="Arial"/>
        </w:rPr>
        <w:t>C) Incorreta — A CIM é determinada em condições laboratoriais padronizadas e não varia entre pacientes para o mesmo isolado bacteriano.</w:t>
      </w:r>
    </w:p>
    <w:p w14:paraId="6A257215" w14:textId="77777777" w:rsidR="00307F19" w:rsidRPr="00600FC1" w:rsidRDefault="00307F19" w:rsidP="00307F19">
      <w:pPr>
        <w:spacing w:after="0" w:line="360" w:lineRule="auto"/>
        <w:jc w:val="both"/>
        <w:rPr>
          <w:rFonts w:ascii="Arial" w:hAnsi="Arial" w:cs="Arial"/>
        </w:rPr>
      </w:pPr>
      <w:r w:rsidRPr="00600FC1">
        <w:rPr>
          <w:rFonts w:ascii="Arial" w:hAnsi="Arial" w:cs="Arial"/>
        </w:rPr>
        <w:t>D) Incorreta — A categoria “sensível” indica probabilidade microbiológica de inibição, mas não estabelece equivalência entre todos os antibacterianos.</w:t>
      </w:r>
    </w:p>
    <w:p w14:paraId="39967981" w14:textId="77777777" w:rsidR="00307F19" w:rsidRPr="00600FC1" w:rsidRDefault="00307F19" w:rsidP="00307F19">
      <w:pPr>
        <w:spacing w:after="0" w:line="360" w:lineRule="auto"/>
        <w:jc w:val="both"/>
        <w:rPr>
          <w:rFonts w:ascii="Arial" w:hAnsi="Arial" w:cs="Arial"/>
        </w:rPr>
      </w:pPr>
    </w:p>
    <w:p w14:paraId="5CC01697" w14:textId="77777777" w:rsidR="00307F19" w:rsidRPr="00600FC1" w:rsidRDefault="00307F19" w:rsidP="00307F19">
      <w:pPr>
        <w:spacing w:after="0" w:line="360" w:lineRule="auto"/>
        <w:jc w:val="both"/>
        <w:rPr>
          <w:rFonts w:ascii="Arial" w:hAnsi="Arial" w:cs="Arial"/>
        </w:rPr>
      </w:pPr>
      <w:r w:rsidRPr="00600FC1">
        <w:rPr>
          <w:rFonts w:ascii="Arial" w:hAnsi="Arial" w:cs="Arial"/>
        </w:rPr>
        <w:t>2)</w:t>
      </w:r>
      <w:r>
        <w:rPr>
          <w:rFonts w:ascii="Arial" w:hAnsi="Arial" w:cs="Arial"/>
        </w:rPr>
        <w:t xml:space="preserve"> </w:t>
      </w:r>
      <w:r w:rsidRPr="00600FC1">
        <w:rPr>
          <w:rFonts w:ascii="Arial" w:hAnsi="Arial" w:cs="Arial"/>
        </w:rPr>
        <w:t xml:space="preserve">Um laudo microbiológico identifica </w:t>
      </w:r>
      <w:proofErr w:type="spellStart"/>
      <w:r w:rsidRPr="00600FC1">
        <w:rPr>
          <w:rFonts w:ascii="Arial" w:hAnsi="Arial" w:cs="Arial"/>
        </w:rPr>
        <w:t>Enterococcus</w:t>
      </w:r>
      <w:proofErr w:type="spellEnd"/>
      <w:r w:rsidRPr="00600FC1">
        <w:rPr>
          <w:rFonts w:ascii="Arial" w:hAnsi="Arial" w:cs="Arial"/>
        </w:rPr>
        <w:t xml:space="preserve"> </w:t>
      </w:r>
      <w:proofErr w:type="spellStart"/>
      <w:r w:rsidRPr="00600FC1">
        <w:rPr>
          <w:rFonts w:ascii="Arial" w:hAnsi="Arial" w:cs="Arial"/>
        </w:rPr>
        <w:t>faecalis</w:t>
      </w:r>
      <w:proofErr w:type="spellEnd"/>
      <w:r w:rsidRPr="00600FC1">
        <w:rPr>
          <w:rFonts w:ascii="Arial" w:hAnsi="Arial" w:cs="Arial"/>
        </w:rPr>
        <w:t xml:space="preserve"> em cultura clínica. O estudante observa que cefalosporinas não aparecem no painel do antibiograma e interpreta essa ausência como uma falha do laboratório.</w:t>
      </w:r>
    </w:p>
    <w:p w14:paraId="502F78B2" w14:textId="77777777" w:rsidR="00307F19" w:rsidRPr="00600FC1" w:rsidRDefault="00307F19" w:rsidP="00307F19">
      <w:pPr>
        <w:spacing w:after="0" w:line="360" w:lineRule="auto"/>
        <w:jc w:val="both"/>
        <w:rPr>
          <w:rFonts w:ascii="Arial" w:hAnsi="Arial" w:cs="Arial"/>
        </w:rPr>
      </w:pPr>
      <w:r w:rsidRPr="00600FC1">
        <w:rPr>
          <w:rFonts w:ascii="Arial" w:hAnsi="Arial" w:cs="Arial"/>
        </w:rPr>
        <w:t>Qual conceito microbiológico explica melhor essa situação?</w:t>
      </w:r>
    </w:p>
    <w:p w14:paraId="48361656" w14:textId="77777777" w:rsidR="00307F19" w:rsidRPr="00600FC1" w:rsidRDefault="00307F19" w:rsidP="00307F19">
      <w:pPr>
        <w:spacing w:after="0" w:line="360" w:lineRule="auto"/>
        <w:jc w:val="both"/>
        <w:rPr>
          <w:rFonts w:ascii="Arial" w:hAnsi="Arial" w:cs="Arial"/>
        </w:rPr>
      </w:pPr>
    </w:p>
    <w:p w14:paraId="5E03BAA1" w14:textId="77777777" w:rsidR="00307F19" w:rsidRPr="00600FC1" w:rsidRDefault="00307F19" w:rsidP="00307F19">
      <w:pPr>
        <w:spacing w:after="0" w:line="360" w:lineRule="auto"/>
        <w:jc w:val="both"/>
        <w:rPr>
          <w:rFonts w:ascii="Arial" w:hAnsi="Arial" w:cs="Arial"/>
        </w:rPr>
      </w:pPr>
      <w:r w:rsidRPr="00600FC1">
        <w:rPr>
          <w:rFonts w:ascii="Arial" w:hAnsi="Arial" w:cs="Arial"/>
        </w:rPr>
        <w:t xml:space="preserve">A) Algumas bactérias apresentam </w:t>
      </w:r>
      <w:r w:rsidRPr="00463013">
        <w:rPr>
          <w:rFonts w:ascii="Arial" w:hAnsi="Arial" w:cs="Arial"/>
        </w:rPr>
        <w:t>fenótipo esperado resistente</w:t>
      </w:r>
      <w:r>
        <w:rPr>
          <w:rFonts w:ascii="Arial" w:hAnsi="Arial" w:cs="Arial"/>
        </w:rPr>
        <w:t xml:space="preserve"> </w:t>
      </w:r>
      <w:r w:rsidRPr="00600FC1">
        <w:rPr>
          <w:rFonts w:ascii="Arial" w:hAnsi="Arial" w:cs="Arial"/>
        </w:rPr>
        <w:t>a determinadas classes de antibacterianos</w:t>
      </w:r>
    </w:p>
    <w:p w14:paraId="501BA713" w14:textId="77777777" w:rsidR="00307F19" w:rsidRPr="00600FC1" w:rsidRDefault="00307F19" w:rsidP="00307F19">
      <w:pPr>
        <w:spacing w:after="0" w:line="360" w:lineRule="auto"/>
        <w:jc w:val="both"/>
        <w:rPr>
          <w:rFonts w:ascii="Arial" w:hAnsi="Arial" w:cs="Arial"/>
        </w:rPr>
      </w:pPr>
      <w:r w:rsidRPr="00600FC1">
        <w:rPr>
          <w:rFonts w:ascii="Arial" w:hAnsi="Arial" w:cs="Arial"/>
        </w:rPr>
        <w:t>B) O laboratório seleciona antibacterianos aleatoriamente para compor o painel</w:t>
      </w:r>
    </w:p>
    <w:p w14:paraId="4FE57604" w14:textId="77777777" w:rsidR="00307F19" w:rsidRPr="00600FC1" w:rsidRDefault="00307F19" w:rsidP="00307F19">
      <w:pPr>
        <w:spacing w:after="0" w:line="360" w:lineRule="auto"/>
        <w:jc w:val="both"/>
        <w:rPr>
          <w:rFonts w:ascii="Arial" w:hAnsi="Arial" w:cs="Arial"/>
        </w:rPr>
      </w:pPr>
      <w:r w:rsidRPr="00600FC1">
        <w:rPr>
          <w:rFonts w:ascii="Arial" w:hAnsi="Arial" w:cs="Arial"/>
        </w:rPr>
        <w:t>C) A ausência indica que o teste de sensibilidade não foi realizado corretamente</w:t>
      </w:r>
    </w:p>
    <w:p w14:paraId="30ED69CC" w14:textId="77777777" w:rsidR="00307F19" w:rsidRPr="00600FC1" w:rsidRDefault="00307F19" w:rsidP="00307F19">
      <w:pPr>
        <w:spacing w:after="0" w:line="360" w:lineRule="auto"/>
        <w:jc w:val="both"/>
        <w:rPr>
          <w:rFonts w:ascii="Arial" w:hAnsi="Arial" w:cs="Arial"/>
        </w:rPr>
      </w:pPr>
      <w:r w:rsidRPr="00600FC1">
        <w:rPr>
          <w:rFonts w:ascii="Arial" w:hAnsi="Arial" w:cs="Arial"/>
        </w:rPr>
        <w:t>D) O antibiograma deve incluir todos os antibacterianos disponíveis no mercado</w:t>
      </w:r>
    </w:p>
    <w:p w14:paraId="1F0071A1" w14:textId="77777777" w:rsidR="00307F19" w:rsidRDefault="00307F19" w:rsidP="00307F19">
      <w:pPr>
        <w:spacing w:after="0" w:line="360" w:lineRule="auto"/>
        <w:jc w:val="both"/>
        <w:rPr>
          <w:rFonts w:ascii="Arial" w:hAnsi="Arial" w:cs="Arial"/>
        </w:rPr>
      </w:pPr>
    </w:p>
    <w:p w14:paraId="6F140201" w14:textId="77777777" w:rsidR="00307F19" w:rsidRPr="00600FC1" w:rsidRDefault="00307F19" w:rsidP="00307F19">
      <w:pPr>
        <w:spacing w:after="0" w:line="360" w:lineRule="auto"/>
        <w:jc w:val="both"/>
        <w:rPr>
          <w:rFonts w:ascii="Arial" w:hAnsi="Arial" w:cs="Arial"/>
        </w:rPr>
      </w:pPr>
      <w:r w:rsidRPr="00600FC1">
        <w:rPr>
          <w:rFonts w:ascii="Arial" w:hAnsi="Arial" w:cs="Arial"/>
        </w:rPr>
        <w:t xml:space="preserve">Resposta correta: A) Algumas bactérias apresentam </w:t>
      </w:r>
      <w:r w:rsidRPr="00463013">
        <w:rPr>
          <w:rFonts w:ascii="Arial" w:hAnsi="Arial" w:cs="Arial"/>
        </w:rPr>
        <w:t>fenótipo esperado resistente</w:t>
      </w:r>
      <w:r w:rsidRPr="00600FC1">
        <w:rPr>
          <w:rFonts w:ascii="Arial" w:hAnsi="Arial" w:cs="Arial"/>
        </w:rPr>
        <w:t xml:space="preserve"> a determinadas classes de antibacterianos</w:t>
      </w:r>
    </w:p>
    <w:p w14:paraId="6D9DDC5E" w14:textId="77777777" w:rsidR="00307F19" w:rsidRPr="00600FC1" w:rsidRDefault="00307F19" w:rsidP="00307F19">
      <w:pPr>
        <w:spacing w:after="0" w:line="360" w:lineRule="auto"/>
        <w:jc w:val="both"/>
        <w:rPr>
          <w:rFonts w:ascii="Arial" w:hAnsi="Arial" w:cs="Arial"/>
        </w:rPr>
      </w:pPr>
    </w:p>
    <w:p w14:paraId="5C1BF3AA" w14:textId="77777777" w:rsidR="00307F19" w:rsidRPr="00600FC1" w:rsidRDefault="00307F19" w:rsidP="00307F19">
      <w:pPr>
        <w:spacing w:after="0" w:line="360" w:lineRule="auto"/>
        <w:jc w:val="both"/>
        <w:rPr>
          <w:rFonts w:ascii="Arial" w:hAnsi="Arial" w:cs="Arial"/>
        </w:rPr>
      </w:pPr>
      <w:r w:rsidRPr="00600FC1">
        <w:rPr>
          <w:rFonts w:ascii="Arial" w:hAnsi="Arial" w:cs="Arial"/>
        </w:rPr>
        <w:t>Feedback</w:t>
      </w:r>
    </w:p>
    <w:p w14:paraId="375FA1CA" w14:textId="0012D5C6" w:rsidR="00307F19" w:rsidRPr="00600FC1" w:rsidRDefault="00307F19" w:rsidP="00307F19">
      <w:pPr>
        <w:spacing w:after="0" w:line="360" w:lineRule="auto"/>
        <w:jc w:val="both"/>
        <w:rPr>
          <w:rFonts w:ascii="Arial" w:hAnsi="Arial" w:cs="Arial"/>
        </w:rPr>
      </w:pPr>
      <w:r w:rsidRPr="00600FC1">
        <w:rPr>
          <w:rFonts w:ascii="Arial" w:hAnsi="Arial" w:cs="Arial"/>
        </w:rPr>
        <w:lastRenderedPageBreak/>
        <w:t xml:space="preserve">A) Correta — Certas espécies bacterianas possuem resistência natural a determinadas classes de antibacterianos. Os enterococos apresentam </w:t>
      </w:r>
      <w:r w:rsidRPr="00463013">
        <w:rPr>
          <w:rFonts w:ascii="Arial" w:hAnsi="Arial" w:cs="Arial"/>
        </w:rPr>
        <w:t>fenótipo esperado resistente</w:t>
      </w:r>
      <w:r w:rsidRPr="00600FC1">
        <w:rPr>
          <w:rFonts w:ascii="Arial" w:hAnsi="Arial" w:cs="Arial"/>
        </w:rPr>
        <w:t xml:space="preserve"> às cefalosporinas, razão pela qual essa classe geralmente não é incluída no painel de suscetib</w:t>
      </w:r>
      <w:r>
        <w:rPr>
          <w:rFonts w:ascii="Arial" w:hAnsi="Arial" w:cs="Arial"/>
        </w:rPr>
        <w:t>i</w:t>
      </w:r>
      <w:r w:rsidRPr="00600FC1">
        <w:rPr>
          <w:rFonts w:ascii="Arial" w:hAnsi="Arial" w:cs="Arial"/>
        </w:rPr>
        <w:t>lidade para esse microrganismo</w:t>
      </w:r>
      <w:r>
        <w:rPr>
          <w:rFonts w:ascii="Arial" w:hAnsi="Arial" w:cs="Arial"/>
        </w:rPr>
        <w:t xml:space="preserve"> </w:t>
      </w:r>
      <w:sdt>
        <w:sdtPr>
          <w:rPr>
            <w:rFonts w:ascii="Arial" w:hAnsi="Arial" w:cs="Arial"/>
            <w:color w:val="000000"/>
          </w:rPr>
          <w:tag w:val="MENDELEY_CITATION_v3_eyJjaXRhdGlvbklEIjoiTUVOREVMRVlfQ0lUQVRJT05fNTRhYWFlMTItMmZjYS00ZDMxLWEyY2ItY2YxMWM2Y2JlOWE2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
          <w:id w:val="1207917534"/>
          <w:placeholder>
            <w:docPart w:val="82205BD79BD447E18C2DB4CBDA176150"/>
          </w:placeholder>
        </w:sdtPr>
        <w:sdtEndPr/>
        <w:sdtContent>
          <w:r w:rsidR="006845EC" w:rsidRPr="006845EC">
            <w:rPr>
              <w:rFonts w:ascii="Arial" w:hAnsi="Arial" w:cs="Arial"/>
              <w:color w:val="000000"/>
            </w:rPr>
            <w:t>(1)</w:t>
          </w:r>
        </w:sdtContent>
      </w:sdt>
      <w:r w:rsidRPr="00600FC1">
        <w:rPr>
          <w:rFonts w:ascii="Arial" w:hAnsi="Arial" w:cs="Arial"/>
        </w:rPr>
        <w:t>.</w:t>
      </w:r>
    </w:p>
    <w:p w14:paraId="6ACEA4D6" w14:textId="77777777" w:rsidR="00307F19" w:rsidRPr="00600FC1" w:rsidRDefault="00307F19" w:rsidP="00307F19">
      <w:pPr>
        <w:spacing w:after="0" w:line="360" w:lineRule="auto"/>
        <w:jc w:val="both"/>
        <w:rPr>
          <w:rFonts w:ascii="Arial" w:hAnsi="Arial" w:cs="Arial"/>
        </w:rPr>
      </w:pPr>
      <w:r w:rsidRPr="00600FC1">
        <w:rPr>
          <w:rFonts w:ascii="Arial" w:hAnsi="Arial" w:cs="Arial"/>
        </w:rPr>
        <w:t>B) Incorreta — A escolha dos antibacterianos testados segue critérios microbiológicos e normativos definidos por comitês técnicos.</w:t>
      </w:r>
    </w:p>
    <w:p w14:paraId="14969982" w14:textId="77777777" w:rsidR="00307F19" w:rsidRPr="00600FC1" w:rsidRDefault="00307F19" w:rsidP="00307F19">
      <w:pPr>
        <w:spacing w:after="0" w:line="360" w:lineRule="auto"/>
        <w:jc w:val="both"/>
        <w:rPr>
          <w:rFonts w:ascii="Arial" w:hAnsi="Arial" w:cs="Arial"/>
        </w:rPr>
      </w:pPr>
      <w:r w:rsidRPr="00600FC1">
        <w:rPr>
          <w:rFonts w:ascii="Arial" w:hAnsi="Arial" w:cs="Arial"/>
        </w:rPr>
        <w:t>C) Incorreta — A ausência de um antibacteriano no painel não indica erro técnico, mas aplicação de critérios metodológicos.</w:t>
      </w:r>
    </w:p>
    <w:p w14:paraId="708BDC20" w14:textId="77777777" w:rsidR="00307F19" w:rsidRPr="00600FC1" w:rsidRDefault="00307F19" w:rsidP="00307F19">
      <w:pPr>
        <w:spacing w:after="0" w:line="360" w:lineRule="auto"/>
        <w:jc w:val="both"/>
        <w:rPr>
          <w:rFonts w:ascii="Arial" w:hAnsi="Arial" w:cs="Arial"/>
        </w:rPr>
      </w:pPr>
      <w:r w:rsidRPr="00600FC1">
        <w:rPr>
          <w:rFonts w:ascii="Arial" w:hAnsi="Arial" w:cs="Arial"/>
        </w:rPr>
        <w:t>D) Incorreta — O antibiograma não é um catálogo de todas as opções terapêuticas; ele inclui antibacterianos com interpretação validada para aquela espécie bacteriana.</w:t>
      </w:r>
    </w:p>
    <w:p w14:paraId="4088B7E7" w14:textId="77777777" w:rsidR="00307F19" w:rsidRDefault="00307F19" w:rsidP="00307F19">
      <w:pPr>
        <w:spacing w:after="0" w:line="360" w:lineRule="auto"/>
        <w:jc w:val="both"/>
        <w:rPr>
          <w:rFonts w:ascii="Arial" w:hAnsi="Arial" w:cs="Arial"/>
          <w:b/>
          <w:bCs/>
        </w:rPr>
      </w:pPr>
    </w:p>
    <w:p w14:paraId="5803F18F" w14:textId="77777777" w:rsidR="00307F19" w:rsidRDefault="00307F19" w:rsidP="00307F19">
      <w:pPr>
        <w:spacing w:after="0" w:line="360" w:lineRule="auto"/>
        <w:jc w:val="both"/>
        <w:rPr>
          <w:rFonts w:ascii="Arial" w:hAnsi="Arial" w:cs="Arial"/>
        </w:rPr>
      </w:pPr>
    </w:p>
    <w:p w14:paraId="2A56D038" w14:textId="77777777" w:rsidR="00307F19" w:rsidRDefault="00307F19" w:rsidP="00307F19">
      <w:pPr>
        <w:spacing w:after="0" w:line="360" w:lineRule="auto"/>
        <w:jc w:val="both"/>
        <w:rPr>
          <w:rFonts w:ascii="Arial" w:hAnsi="Arial" w:cs="Arial"/>
          <w:b/>
          <w:bCs/>
        </w:rPr>
      </w:pPr>
      <w:r w:rsidRPr="00E9430D">
        <w:rPr>
          <w:rFonts w:ascii="Arial" w:hAnsi="Arial" w:cs="Arial"/>
          <w:b/>
          <w:bCs/>
        </w:rPr>
        <w:t>Referências:</w:t>
      </w:r>
    </w:p>
    <w:p w14:paraId="040C39EE" w14:textId="1158CBF0" w:rsidR="00775D1C" w:rsidRDefault="00775D1C"/>
    <w:sdt>
      <w:sdtPr>
        <w:rPr>
          <w:rFonts w:ascii="Calibri" w:hAnsi="Calibri" w:cs="Calibri"/>
          <w:color w:val="000000"/>
        </w:rPr>
        <w:tag w:val="MENDELEY_BIBLIOGRAPHY"/>
        <w:id w:val="-1589382009"/>
        <w:placeholder>
          <w:docPart w:val="DefaultPlaceholder_-1854013440"/>
        </w:placeholder>
      </w:sdtPr>
      <w:sdtEndPr/>
      <w:sdtContent>
        <w:p w14:paraId="381971E0" w14:textId="77777777" w:rsidR="00307F19" w:rsidRPr="00642B9B" w:rsidRDefault="00307F19">
          <w:pPr>
            <w:autoSpaceDE w:val="0"/>
            <w:autoSpaceDN w:val="0"/>
            <w:ind w:hanging="640"/>
            <w:divId w:val="1078946008"/>
            <w:rPr>
              <w:rFonts w:ascii="Calibri" w:eastAsia="Times New Roman" w:hAnsi="Calibri" w:cs="Calibri"/>
              <w:color w:val="000000"/>
              <w:szCs w:val="24"/>
              <w:lang w:val="en-US"/>
            </w:rPr>
          </w:pPr>
          <w:r w:rsidRPr="00307F19">
            <w:rPr>
              <w:rFonts w:ascii="Calibri" w:eastAsia="Times New Roman" w:hAnsi="Calibri" w:cs="Calibri"/>
              <w:color w:val="000000"/>
            </w:rPr>
            <w:t>1.</w:t>
          </w:r>
          <w:r w:rsidRPr="00307F19">
            <w:rPr>
              <w:rFonts w:ascii="Calibri" w:eastAsia="Times New Roman" w:hAnsi="Calibri" w:cs="Calibri"/>
              <w:color w:val="000000"/>
            </w:rPr>
            <w:tab/>
          </w:r>
          <w:proofErr w:type="spellStart"/>
          <w:r w:rsidRPr="00307F19">
            <w:rPr>
              <w:rFonts w:ascii="Calibri" w:eastAsia="Times New Roman" w:hAnsi="Calibri" w:cs="Calibri"/>
              <w:color w:val="000000"/>
            </w:rPr>
            <w:t>BrCAST</w:t>
          </w:r>
          <w:proofErr w:type="spellEnd"/>
          <w:r w:rsidRPr="00307F19">
            <w:rPr>
              <w:rFonts w:ascii="Calibri" w:eastAsia="Times New Roman" w:hAnsi="Calibri" w:cs="Calibri"/>
              <w:color w:val="000000"/>
            </w:rPr>
            <w:t xml:space="preserve"> – Comitê Brasileiro de Testes de Sensibilidade aos Antimicrobianos. Tabela de pontos de corte clínicos </w:t>
          </w:r>
          <w:proofErr w:type="spellStart"/>
          <w:r w:rsidRPr="00307F19">
            <w:rPr>
              <w:rFonts w:ascii="Calibri" w:eastAsia="Times New Roman" w:hAnsi="Calibri" w:cs="Calibri"/>
              <w:color w:val="000000"/>
            </w:rPr>
            <w:t>BrCAST</w:t>
          </w:r>
          <w:proofErr w:type="spellEnd"/>
          <w:r w:rsidRPr="00307F19">
            <w:rPr>
              <w:rFonts w:ascii="Calibri" w:eastAsia="Times New Roman" w:hAnsi="Calibri" w:cs="Calibri"/>
              <w:color w:val="000000"/>
            </w:rPr>
            <w:t xml:space="preserve"> para interpretação de </w:t>
          </w:r>
          <w:proofErr w:type="spellStart"/>
          <w:r w:rsidRPr="00307F19">
            <w:rPr>
              <w:rFonts w:ascii="Calibri" w:eastAsia="Times New Roman" w:hAnsi="Calibri" w:cs="Calibri"/>
              <w:color w:val="000000"/>
            </w:rPr>
            <w:t>CIMs</w:t>
          </w:r>
          <w:proofErr w:type="spellEnd"/>
          <w:r w:rsidRPr="00307F19">
            <w:rPr>
              <w:rFonts w:ascii="Calibri" w:eastAsia="Times New Roman" w:hAnsi="Calibri" w:cs="Calibri"/>
              <w:color w:val="000000"/>
            </w:rPr>
            <w:t xml:space="preserve"> e diâmetros de halo [Internet]. </w:t>
          </w:r>
          <w:r w:rsidRPr="00642B9B">
            <w:rPr>
              <w:rFonts w:ascii="Calibri" w:eastAsia="Times New Roman" w:hAnsi="Calibri" w:cs="Calibri"/>
              <w:color w:val="000000"/>
              <w:lang w:val="en-US"/>
            </w:rPr>
            <w:t>São Paulo; 2025 [cited 2025 Feb 19]. Report. Available from: https://brcast.org.br</w:t>
          </w:r>
        </w:p>
        <w:p w14:paraId="4332791D" w14:textId="77777777" w:rsidR="00307F19" w:rsidRPr="00642B9B" w:rsidRDefault="00307F19">
          <w:pPr>
            <w:autoSpaceDE w:val="0"/>
            <w:autoSpaceDN w:val="0"/>
            <w:ind w:hanging="640"/>
            <w:divId w:val="1278216177"/>
            <w:rPr>
              <w:rFonts w:ascii="Calibri" w:eastAsia="Times New Roman" w:hAnsi="Calibri" w:cs="Calibri"/>
              <w:color w:val="000000"/>
              <w:lang w:val="en-US"/>
            </w:rPr>
          </w:pPr>
          <w:r w:rsidRPr="00307F19">
            <w:rPr>
              <w:rFonts w:ascii="Calibri" w:eastAsia="Times New Roman" w:hAnsi="Calibri" w:cs="Calibri"/>
              <w:color w:val="000000"/>
            </w:rPr>
            <w:t>2.</w:t>
          </w:r>
          <w:r w:rsidRPr="00307F19">
            <w:rPr>
              <w:rFonts w:ascii="Calibri" w:eastAsia="Times New Roman" w:hAnsi="Calibri" w:cs="Calibri"/>
              <w:color w:val="000000"/>
            </w:rPr>
            <w:tab/>
          </w:r>
          <w:proofErr w:type="spellStart"/>
          <w:r w:rsidRPr="00307F19">
            <w:rPr>
              <w:rFonts w:ascii="Calibri" w:eastAsia="Times New Roman" w:hAnsi="Calibri" w:cs="Calibri"/>
              <w:color w:val="000000"/>
            </w:rPr>
            <w:t>Kadeřábková</w:t>
          </w:r>
          <w:proofErr w:type="spellEnd"/>
          <w:r w:rsidRPr="00307F19">
            <w:rPr>
              <w:rFonts w:ascii="Calibri" w:eastAsia="Times New Roman" w:hAnsi="Calibri" w:cs="Calibri"/>
              <w:color w:val="000000"/>
            </w:rPr>
            <w:t xml:space="preserve"> N, </w:t>
          </w:r>
          <w:proofErr w:type="spellStart"/>
          <w:r w:rsidRPr="00307F19">
            <w:rPr>
              <w:rFonts w:ascii="Calibri" w:eastAsia="Times New Roman" w:hAnsi="Calibri" w:cs="Calibri"/>
              <w:color w:val="000000"/>
            </w:rPr>
            <w:t>Mahmood</w:t>
          </w:r>
          <w:proofErr w:type="spellEnd"/>
          <w:r w:rsidRPr="00307F19">
            <w:rPr>
              <w:rFonts w:ascii="Calibri" w:eastAsia="Times New Roman" w:hAnsi="Calibri" w:cs="Calibri"/>
              <w:color w:val="000000"/>
            </w:rPr>
            <w:t xml:space="preserve"> AJS, </w:t>
          </w:r>
          <w:proofErr w:type="spellStart"/>
          <w:r w:rsidRPr="00307F19">
            <w:rPr>
              <w:rFonts w:ascii="Calibri" w:eastAsia="Times New Roman" w:hAnsi="Calibri" w:cs="Calibri"/>
              <w:color w:val="000000"/>
            </w:rPr>
            <w:t>Mavridou</w:t>
          </w:r>
          <w:proofErr w:type="spellEnd"/>
          <w:r w:rsidRPr="00307F19">
            <w:rPr>
              <w:rFonts w:ascii="Calibri" w:eastAsia="Times New Roman" w:hAnsi="Calibri" w:cs="Calibri"/>
              <w:color w:val="000000"/>
            </w:rPr>
            <w:t xml:space="preserve"> DAI. </w:t>
          </w:r>
          <w:r w:rsidRPr="00642B9B">
            <w:rPr>
              <w:rFonts w:ascii="Calibri" w:eastAsia="Times New Roman" w:hAnsi="Calibri" w:cs="Calibri"/>
              <w:color w:val="000000"/>
              <w:lang w:val="en-US"/>
            </w:rPr>
            <w:t xml:space="preserve">Antibiotic susceptibility testing using minimum inhibitory concentration (MIC) assays. </w:t>
          </w:r>
          <w:proofErr w:type="spellStart"/>
          <w:r w:rsidRPr="00642B9B">
            <w:rPr>
              <w:rFonts w:ascii="Calibri" w:eastAsia="Times New Roman" w:hAnsi="Calibri" w:cs="Calibri"/>
              <w:color w:val="000000"/>
              <w:lang w:val="en-US"/>
            </w:rPr>
            <w:t>npj</w:t>
          </w:r>
          <w:proofErr w:type="spellEnd"/>
          <w:r w:rsidRPr="00642B9B">
            <w:rPr>
              <w:rFonts w:ascii="Calibri" w:eastAsia="Times New Roman" w:hAnsi="Calibri" w:cs="Calibri"/>
              <w:color w:val="000000"/>
              <w:lang w:val="en-US"/>
            </w:rPr>
            <w:t xml:space="preserve"> Antimicrobials and Resistance. 2024 Nov 7;2(1):37. doi:10.1038/s44259-024-00051-6</w:t>
          </w:r>
        </w:p>
        <w:p w14:paraId="025D261B" w14:textId="77777777" w:rsidR="00307F19" w:rsidRPr="00307F19" w:rsidRDefault="00307F19">
          <w:pPr>
            <w:autoSpaceDE w:val="0"/>
            <w:autoSpaceDN w:val="0"/>
            <w:ind w:hanging="640"/>
            <w:divId w:val="976184845"/>
            <w:rPr>
              <w:rFonts w:ascii="Calibri" w:eastAsia="Times New Roman" w:hAnsi="Calibri" w:cs="Calibri"/>
              <w:color w:val="000000"/>
            </w:rPr>
          </w:pPr>
          <w:r w:rsidRPr="00642B9B">
            <w:rPr>
              <w:rFonts w:ascii="Calibri" w:eastAsia="Times New Roman" w:hAnsi="Calibri" w:cs="Calibri"/>
              <w:color w:val="000000"/>
              <w:lang w:val="en-US"/>
            </w:rPr>
            <w:t>3.</w:t>
          </w:r>
          <w:r w:rsidRPr="00642B9B">
            <w:rPr>
              <w:rFonts w:ascii="Calibri" w:eastAsia="Times New Roman" w:hAnsi="Calibri" w:cs="Calibri"/>
              <w:color w:val="000000"/>
              <w:lang w:val="en-US"/>
            </w:rPr>
            <w:tab/>
            <w:t xml:space="preserve">Murray PR, Rosenthal KS, </w:t>
          </w:r>
          <w:proofErr w:type="spellStart"/>
          <w:r w:rsidRPr="00642B9B">
            <w:rPr>
              <w:rFonts w:ascii="Calibri" w:eastAsia="Times New Roman" w:hAnsi="Calibri" w:cs="Calibri"/>
              <w:color w:val="000000"/>
              <w:lang w:val="en-US"/>
            </w:rPr>
            <w:t>Pfaller</w:t>
          </w:r>
          <w:proofErr w:type="spellEnd"/>
          <w:r w:rsidRPr="00642B9B">
            <w:rPr>
              <w:rFonts w:ascii="Calibri" w:eastAsia="Times New Roman" w:hAnsi="Calibri" w:cs="Calibri"/>
              <w:color w:val="000000"/>
              <w:lang w:val="en-US"/>
            </w:rPr>
            <w:t xml:space="preserve"> MA. Medical Microbiology. 10th ed. </w:t>
          </w:r>
          <w:r w:rsidRPr="00307F19">
            <w:rPr>
              <w:rFonts w:ascii="Calibri" w:eastAsia="Times New Roman" w:hAnsi="Calibri" w:cs="Calibri"/>
              <w:color w:val="000000"/>
            </w:rPr>
            <w:t>Philadelphia: Elsevier; 2025.</w:t>
          </w:r>
        </w:p>
        <w:p w14:paraId="4A8B81BF" w14:textId="77777777" w:rsidR="00307F19" w:rsidRPr="00642B9B" w:rsidRDefault="00307F19">
          <w:pPr>
            <w:autoSpaceDE w:val="0"/>
            <w:autoSpaceDN w:val="0"/>
            <w:ind w:hanging="640"/>
            <w:divId w:val="415326117"/>
            <w:rPr>
              <w:rFonts w:ascii="Calibri" w:eastAsia="Times New Roman" w:hAnsi="Calibri" w:cs="Calibri"/>
              <w:color w:val="000000"/>
              <w:lang w:val="en-US"/>
            </w:rPr>
          </w:pPr>
          <w:r w:rsidRPr="00307F19">
            <w:rPr>
              <w:rFonts w:ascii="Calibri" w:eastAsia="Times New Roman" w:hAnsi="Calibri" w:cs="Calibri"/>
              <w:color w:val="000000"/>
            </w:rPr>
            <w:t>4.</w:t>
          </w:r>
          <w:r w:rsidRPr="00307F19">
            <w:rPr>
              <w:rFonts w:ascii="Calibri" w:eastAsia="Times New Roman" w:hAnsi="Calibri" w:cs="Calibri"/>
              <w:color w:val="000000"/>
            </w:rPr>
            <w:tab/>
            <w:t xml:space="preserve">Agência Nacional de Vigilância Sanitária. Manual de microbiologia clínica para o controle de infecção relacionada à assistência à saúde. </w:t>
          </w:r>
          <w:r w:rsidRPr="00642B9B">
            <w:rPr>
              <w:rFonts w:ascii="Calibri" w:eastAsia="Times New Roman" w:hAnsi="Calibri" w:cs="Calibri"/>
              <w:color w:val="000000"/>
              <w:lang w:val="en-US"/>
            </w:rPr>
            <w:t>Brasília; 2023. Report.</w:t>
          </w:r>
        </w:p>
        <w:p w14:paraId="64FD4F1C" w14:textId="77777777" w:rsidR="00307F19" w:rsidRPr="00642B9B" w:rsidRDefault="00307F19">
          <w:pPr>
            <w:autoSpaceDE w:val="0"/>
            <w:autoSpaceDN w:val="0"/>
            <w:ind w:hanging="640"/>
            <w:divId w:val="1537963802"/>
            <w:rPr>
              <w:rFonts w:ascii="Calibri" w:eastAsia="Times New Roman" w:hAnsi="Calibri" w:cs="Calibri"/>
              <w:color w:val="000000"/>
              <w:lang w:val="en-US"/>
            </w:rPr>
          </w:pPr>
          <w:r w:rsidRPr="00642B9B">
            <w:rPr>
              <w:rFonts w:ascii="Calibri" w:eastAsia="Times New Roman" w:hAnsi="Calibri" w:cs="Calibri"/>
              <w:color w:val="000000"/>
              <w:lang w:val="en-US"/>
            </w:rPr>
            <w:t>5.</w:t>
          </w:r>
          <w:r w:rsidRPr="00642B9B">
            <w:rPr>
              <w:rFonts w:ascii="Calibri" w:eastAsia="Times New Roman" w:hAnsi="Calibri" w:cs="Calibri"/>
              <w:color w:val="000000"/>
              <w:lang w:val="en-US"/>
            </w:rPr>
            <w:tab/>
          </w:r>
          <w:proofErr w:type="spellStart"/>
          <w:r w:rsidRPr="00642B9B">
            <w:rPr>
              <w:rFonts w:ascii="Calibri" w:eastAsia="Times New Roman" w:hAnsi="Calibri" w:cs="Calibri"/>
              <w:color w:val="000000"/>
              <w:lang w:val="en-US"/>
            </w:rPr>
            <w:t>Calderaro</w:t>
          </w:r>
          <w:proofErr w:type="spellEnd"/>
          <w:r w:rsidRPr="00642B9B">
            <w:rPr>
              <w:rFonts w:ascii="Calibri" w:eastAsia="Times New Roman" w:hAnsi="Calibri" w:cs="Calibri"/>
              <w:color w:val="000000"/>
              <w:lang w:val="en-US"/>
            </w:rPr>
            <w:t xml:space="preserve"> A, </w:t>
          </w:r>
          <w:proofErr w:type="spellStart"/>
          <w:r w:rsidRPr="00642B9B">
            <w:rPr>
              <w:rFonts w:ascii="Calibri" w:eastAsia="Times New Roman" w:hAnsi="Calibri" w:cs="Calibri"/>
              <w:color w:val="000000"/>
              <w:lang w:val="en-US"/>
            </w:rPr>
            <w:t>Chezzi</w:t>
          </w:r>
          <w:proofErr w:type="spellEnd"/>
          <w:r w:rsidRPr="00642B9B">
            <w:rPr>
              <w:rFonts w:ascii="Calibri" w:eastAsia="Times New Roman" w:hAnsi="Calibri" w:cs="Calibri"/>
              <w:color w:val="000000"/>
              <w:lang w:val="en-US"/>
            </w:rPr>
            <w:t xml:space="preserve"> C. MALDI-TOF MS: A Reliable Tool in the Real Life of the Clinical Microbiology Laboratory. Microorganisms. 2024 Feb 3;12(2):322. doi:10.3390/microorganisms12020322</w:t>
          </w:r>
        </w:p>
        <w:p w14:paraId="64D0C407" w14:textId="77777777" w:rsidR="00307F19" w:rsidRPr="00307F19" w:rsidRDefault="00307F19">
          <w:pPr>
            <w:autoSpaceDE w:val="0"/>
            <w:autoSpaceDN w:val="0"/>
            <w:ind w:hanging="640"/>
            <w:divId w:val="1596481317"/>
            <w:rPr>
              <w:rFonts w:ascii="Calibri" w:eastAsia="Times New Roman" w:hAnsi="Calibri" w:cs="Calibri"/>
              <w:color w:val="000000"/>
            </w:rPr>
          </w:pPr>
          <w:r w:rsidRPr="00642B9B">
            <w:rPr>
              <w:rFonts w:ascii="Calibri" w:eastAsia="Times New Roman" w:hAnsi="Calibri" w:cs="Calibri"/>
              <w:color w:val="000000"/>
              <w:lang w:val="en-US"/>
            </w:rPr>
            <w:t>6.</w:t>
          </w:r>
          <w:r w:rsidRPr="00642B9B">
            <w:rPr>
              <w:rFonts w:ascii="Calibri" w:eastAsia="Times New Roman" w:hAnsi="Calibri" w:cs="Calibri"/>
              <w:color w:val="000000"/>
              <w:lang w:val="en-US"/>
            </w:rPr>
            <w:tab/>
            <w:t xml:space="preserve">Bush K, Bradford PA. Epidemiology of </w:t>
          </w:r>
          <w:r w:rsidRPr="00307F19">
            <w:rPr>
              <w:rFonts w:ascii="Calibri" w:eastAsia="Times New Roman" w:hAnsi="Calibri" w:cs="Calibri"/>
              <w:color w:val="000000"/>
            </w:rPr>
            <w:t>β</w:t>
          </w:r>
          <w:r w:rsidRPr="00642B9B">
            <w:rPr>
              <w:rFonts w:ascii="Calibri" w:eastAsia="Times New Roman" w:hAnsi="Calibri" w:cs="Calibri"/>
              <w:color w:val="000000"/>
              <w:lang w:val="en-US"/>
            </w:rPr>
            <w:t xml:space="preserve">-Lactamase-Producing Pathogens. </w:t>
          </w:r>
          <w:proofErr w:type="spellStart"/>
          <w:r w:rsidRPr="00307F19">
            <w:rPr>
              <w:rFonts w:ascii="Calibri" w:eastAsia="Times New Roman" w:hAnsi="Calibri" w:cs="Calibri"/>
              <w:color w:val="000000"/>
            </w:rPr>
            <w:t>Clin</w:t>
          </w:r>
          <w:proofErr w:type="spellEnd"/>
          <w:r w:rsidRPr="00307F19">
            <w:rPr>
              <w:rFonts w:ascii="Calibri" w:eastAsia="Times New Roman" w:hAnsi="Calibri" w:cs="Calibri"/>
              <w:color w:val="000000"/>
            </w:rPr>
            <w:t xml:space="preserve"> </w:t>
          </w:r>
          <w:proofErr w:type="spellStart"/>
          <w:r w:rsidRPr="00307F19">
            <w:rPr>
              <w:rFonts w:ascii="Calibri" w:eastAsia="Times New Roman" w:hAnsi="Calibri" w:cs="Calibri"/>
              <w:color w:val="000000"/>
            </w:rPr>
            <w:t>Microbiol</w:t>
          </w:r>
          <w:proofErr w:type="spellEnd"/>
          <w:r w:rsidRPr="00307F19">
            <w:rPr>
              <w:rFonts w:ascii="Calibri" w:eastAsia="Times New Roman" w:hAnsi="Calibri" w:cs="Calibri"/>
              <w:color w:val="000000"/>
            </w:rPr>
            <w:t xml:space="preserve"> Rev. 2020 Mar 18;33(2). doi:10.1128/CMR.00047-19</w:t>
          </w:r>
        </w:p>
        <w:p w14:paraId="16946791" w14:textId="37FD3F19" w:rsidR="00307F19" w:rsidRDefault="00307F19">
          <w:r w:rsidRPr="00307F19">
            <w:rPr>
              <w:rFonts w:ascii="Calibri" w:eastAsia="Times New Roman" w:hAnsi="Calibri" w:cs="Calibri"/>
              <w:color w:val="000000"/>
            </w:rPr>
            <w:t> </w:t>
          </w:r>
        </w:p>
      </w:sdtContent>
    </w:sdt>
    <w:sectPr w:rsidR="00307F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F19"/>
    <w:rsid w:val="001E7290"/>
    <w:rsid w:val="00307F19"/>
    <w:rsid w:val="00642B9B"/>
    <w:rsid w:val="006845EC"/>
    <w:rsid w:val="00772CDC"/>
    <w:rsid w:val="00775D1C"/>
    <w:rsid w:val="007B07C2"/>
    <w:rsid w:val="00A53F43"/>
    <w:rsid w:val="00C9769D"/>
    <w:rsid w:val="00D00A5C"/>
    <w:rsid w:val="00E17C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36AB6"/>
  <w15:chartTrackingRefBased/>
  <w15:docId w15:val="{0887B5C8-499B-47BF-A063-AAD6EF54C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F19"/>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307F1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628900">
      <w:bodyDiv w:val="1"/>
      <w:marLeft w:val="0"/>
      <w:marRight w:val="0"/>
      <w:marTop w:val="0"/>
      <w:marBottom w:val="0"/>
      <w:divBdr>
        <w:top w:val="none" w:sz="0" w:space="0" w:color="auto"/>
        <w:left w:val="none" w:sz="0" w:space="0" w:color="auto"/>
        <w:bottom w:val="none" w:sz="0" w:space="0" w:color="auto"/>
        <w:right w:val="none" w:sz="0" w:space="0" w:color="auto"/>
      </w:divBdr>
      <w:divsChild>
        <w:div w:id="1078946008">
          <w:marLeft w:val="640"/>
          <w:marRight w:val="0"/>
          <w:marTop w:val="0"/>
          <w:marBottom w:val="0"/>
          <w:divBdr>
            <w:top w:val="none" w:sz="0" w:space="0" w:color="auto"/>
            <w:left w:val="none" w:sz="0" w:space="0" w:color="auto"/>
            <w:bottom w:val="none" w:sz="0" w:space="0" w:color="auto"/>
            <w:right w:val="none" w:sz="0" w:space="0" w:color="auto"/>
          </w:divBdr>
        </w:div>
        <w:div w:id="1278216177">
          <w:marLeft w:val="640"/>
          <w:marRight w:val="0"/>
          <w:marTop w:val="0"/>
          <w:marBottom w:val="0"/>
          <w:divBdr>
            <w:top w:val="none" w:sz="0" w:space="0" w:color="auto"/>
            <w:left w:val="none" w:sz="0" w:space="0" w:color="auto"/>
            <w:bottom w:val="none" w:sz="0" w:space="0" w:color="auto"/>
            <w:right w:val="none" w:sz="0" w:space="0" w:color="auto"/>
          </w:divBdr>
        </w:div>
        <w:div w:id="976184845">
          <w:marLeft w:val="640"/>
          <w:marRight w:val="0"/>
          <w:marTop w:val="0"/>
          <w:marBottom w:val="0"/>
          <w:divBdr>
            <w:top w:val="none" w:sz="0" w:space="0" w:color="auto"/>
            <w:left w:val="none" w:sz="0" w:space="0" w:color="auto"/>
            <w:bottom w:val="none" w:sz="0" w:space="0" w:color="auto"/>
            <w:right w:val="none" w:sz="0" w:space="0" w:color="auto"/>
          </w:divBdr>
        </w:div>
        <w:div w:id="415326117">
          <w:marLeft w:val="640"/>
          <w:marRight w:val="0"/>
          <w:marTop w:val="0"/>
          <w:marBottom w:val="0"/>
          <w:divBdr>
            <w:top w:val="none" w:sz="0" w:space="0" w:color="auto"/>
            <w:left w:val="none" w:sz="0" w:space="0" w:color="auto"/>
            <w:bottom w:val="none" w:sz="0" w:space="0" w:color="auto"/>
            <w:right w:val="none" w:sz="0" w:space="0" w:color="auto"/>
          </w:divBdr>
        </w:div>
        <w:div w:id="1537963802">
          <w:marLeft w:val="640"/>
          <w:marRight w:val="0"/>
          <w:marTop w:val="0"/>
          <w:marBottom w:val="0"/>
          <w:divBdr>
            <w:top w:val="none" w:sz="0" w:space="0" w:color="auto"/>
            <w:left w:val="none" w:sz="0" w:space="0" w:color="auto"/>
            <w:bottom w:val="none" w:sz="0" w:space="0" w:color="auto"/>
            <w:right w:val="none" w:sz="0" w:space="0" w:color="auto"/>
          </w:divBdr>
        </w:div>
        <w:div w:id="1596481317">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2205BD79BD447E18C2DB4CBDA176150"/>
        <w:category>
          <w:name w:val="Geral"/>
          <w:gallery w:val="placeholder"/>
        </w:category>
        <w:types>
          <w:type w:val="bbPlcHdr"/>
        </w:types>
        <w:behaviors>
          <w:behavior w:val="content"/>
        </w:behaviors>
        <w:guid w:val="{C5BEC1AA-93EE-4350-9C08-EC3E908F52AB}"/>
      </w:docPartPr>
      <w:docPartBody>
        <w:p w:rsidR="00B7775E" w:rsidRDefault="00327AFF" w:rsidP="00327AFF">
          <w:pPr>
            <w:pStyle w:val="82205BD79BD447E18C2DB4CBDA176150"/>
          </w:pPr>
          <w:r w:rsidRPr="002966C9">
            <w:rPr>
              <w:rStyle w:val="TextodoEspaoReservado"/>
            </w:rPr>
            <w:t>Clique ou toque aqui para inserir o texto.</w:t>
          </w:r>
        </w:p>
      </w:docPartBody>
    </w:docPart>
    <w:docPart>
      <w:docPartPr>
        <w:name w:val="DefaultPlaceholder_-1854013440"/>
        <w:category>
          <w:name w:val="Geral"/>
          <w:gallery w:val="placeholder"/>
        </w:category>
        <w:types>
          <w:type w:val="bbPlcHdr"/>
        </w:types>
        <w:behaviors>
          <w:behavior w:val="content"/>
        </w:behaviors>
        <w:guid w:val="{72E1CE98-5B2F-43E7-BB06-CD1906639906}"/>
      </w:docPartPr>
      <w:docPartBody>
        <w:p w:rsidR="00B7775E" w:rsidRDefault="00327AFF">
          <w:r w:rsidRPr="00FC4379">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AFF"/>
    <w:rsid w:val="00327AFF"/>
    <w:rsid w:val="00B777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327AFF"/>
    <w:rPr>
      <w:color w:val="808080"/>
    </w:rPr>
  </w:style>
  <w:style w:type="paragraph" w:customStyle="1" w:styleId="82205BD79BD447E18C2DB4CBDA176150">
    <w:name w:val="82205BD79BD447E18C2DB4CBDA176150"/>
    <w:rsid w:val="00327A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8DF9FE-E58E-4E33-9A49-C6577BDDD490}">
  <we:reference id="wa104382081" version="1.55.1.0" store="en-US" storeType="OMEX"/>
  <we:alternateReferences>
    <we:reference id="WA104382081" version="1.55.1.0" store="" storeType="OMEX"/>
  </we:alternateReferences>
  <we:properties>
    <we:property name="MENDELEY_CITATIONS" value="[{&quot;citationID&quot;:&quot;MENDELEY_CITATION_0ba87938-b36f-4b3a-9033-624afa0a27f4&quot;,&quot;properties&quot;:{&quot;noteIndex&quot;:0},&quot;isEdited&quot;:false,&quot;manualOverride&quot;:{&quot;isManuallyOverridden&quot;:false,&quot;citeprocText&quot;:&quot;(1)&quot;,&quot;manualOverrideText&quot;:&quot;&quot;},&quot;citationTag&quot;:&quot;MENDELEY_CITATION_v3_eyJjaXRhdGlvbklEIjoiTUVOREVMRVlfQ0lUQVRJT05fMGJhODc5MzgtYjM2Zi00YjNhLTkwMzMtNjI0YWZhMGEyN2Y0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citationID&quot;:&quot;MENDELEY_CITATION_d2ba19cb-1ba2-4132-b44c-88975171f453&quot;,&quot;properties&quot;:{&quot;noteIndex&quot;:0},&quot;isEdited&quot;:false,&quot;manualOverride&quot;:{&quot;isManuallyOverridden&quot;:false,&quot;citeprocText&quot;:&quot;(1)&quot;,&quot;manualOverrideText&quot;:&quot;&quot;},&quot;citationTag&quot;:&quot;MENDELEY_CITATION_v3_eyJjaXRhdGlvbklEIjoiTUVOREVMRVlfQ0lUQVRJT05fZDJiYTE5Y2ItMWJhMi00MTMyLWI0NGMtODg5NzUxNzFmNDUz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citationID&quot;:&quot;MENDELEY_CITATION_3dd150a7-d67a-4b82-b4dc-f0a9642da8c6&quot;,&quot;properties&quot;:{&quot;noteIndex&quot;:0},&quot;isEdited&quot;:false,&quot;manualOverride&quot;:{&quot;isManuallyOverridden&quot;:false,&quot;citeprocText&quot;:&quot;(1)&quot;,&quot;manualOverrideText&quot;:&quot;&quot;},&quot;citationTag&quot;:&quot;MENDELEY_CITATION_v3_eyJjaXRhdGlvbklEIjoiTUVOREVMRVlfQ0lUQVRJT05fM2RkMTUwYTctZDY3YS00YjgyLWI0ZGMtZjBhOTY0MmRhOGM2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citationID&quot;:&quot;MENDELEY_CITATION_20ff196d-7ea5-42e6-8c55-4b32e22d9318&quot;,&quot;properties&quot;:{&quot;noteIndex&quot;:0},&quot;isEdited&quot;:false,&quot;manualOverride&quot;:{&quot;isManuallyOverridden&quot;:false,&quot;citeprocText&quot;:&quot;(2)&quot;,&quot;manualOverrideText&quot;:&quot;&quot;},&quot;citationTag&quot;:&quot;MENDELEY_CITATION_v3_eyJjaXRhdGlvbklEIjoiTUVOREVMRVlfQ0lUQVRJT05fMjBmZjE5NmQtN2VhNS00MmU2LThjNTUtNGIzMmUyMmQ5MzE4IiwicHJvcGVydGllcyI6eyJub3RlSW5kZXgiOjB9LCJpc0VkaXRlZCI6ZmFsc2UsIm1hbnVhbE92ZXJyaWRlIjp7ImlzTWFudWFsbHlPdmVycmlkZGVuIjpmYWxzZSwiY2l0ZXByb2NUZXh0IjoiKDI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quot;,&quot;citationItems&quot;:[{&quot;id&quot;:&quot;1d1e5556-2507-357e-bb45-622e3d3f1959&quot;,&quot;itemData&quot;:{&quot;type&quot;:&quot;article-journal&quot;,&quot;id&quot;:&quot;1d1e5556-2507-357e-bb45-622e3d3f1959&quot;,&quot;title&quot;:&quot;Antibiotic susceptibility testing using minimum inhibitory concentration (MIC) assays&quot;,&quot;author&quot;:[{&quot;family&quot;:&quot;Kadeřábková&quot;,&quot;given&quot;:&quot;Nikol&quot;,&quot;parse-names&quot;:false,&quot;dropping-particle&quot;:&quot;&quot;,&quot;non-dropping-particle&quot;:&quot;&quot;},{&quot;family&quot;:&quot;Mahmood&quot;,&quot;given&quot;:&quot;Ayesha J. S.&quot;,&quot;parse-names&quot;:false,&quot;dropping-particle&quot;:&quot;&quot;,&quot;non-dropping-particle&quot;:&quot;&quot;},{&quot;family&quot;:&quot;Mavridou&quot;,&quot;given&quot;:&quot;Despoina A. I.&quot;,&quot;parse-names&quot;:false,&quot;dropping-particle&quot;:&quot;&quot;,&quot;non-dropping-particle&quot;:&quot;&quot;}],&quot;container-title&quot;:&quot;npj Antimicrobials and Resistance&quot;,&quot;DOI&quot;:&quot;10.1038/s44259-024-00051-6&quot;,&quot;ISSN&quot;:&quot;2731-8745&quot;,&quot;issued&quot;:{&quot;date-parts&quot;:[[2024,11,7]]},&quot;page&quot;:&quot;37&quot;,&quot;issue&quot;:&quot;1&quot;,&quot;volume&quot;:&quot;2&quot;,&quot;container-title-short&quot;:&quot;&quot;},&quot;isTemporary&quot;:false}]},{&quot;citationID&quot;:&quot;MENDELEY_CITATION_aca5b2d2-6f28-48ff-aa74-7a9e70d58e95&quot;,&quot;properties&quot;:{&quot;noteIndex&quot;:0},&quot;isEdited&quot;:false,&quot;manualOverride&quot;:{&quot;isManuallyOverridden&quot;:false,&quot;citeprocText&quot;:&quot;(3)&quot;,&quot;manualOverrideText&quot;:&quot;&quot;},&quot;citationTag&quot;:&quot;MENDELEY_CITATION_v3_eyJjaXRhdGlvbklEIjoiTUVOREVMRVlfQ0lUQVRJT05fYWNhNWIyZDItNmYyOC00OGZmLWFhNzQtN2E5ZTcwZDU4ZTk1IiwicHJvcGVydGllcyI6eyJub3RlSW5kZXgiOjB9LCJpc0VkaXRlZCI6ZmFsc2UsIm1hbnVhbE92ZXJyaWRlIjp7ImlzTWFudWFsbHlPdmVycmlkZGVuIjpmYWxzZSwiY2l0ZXByb2NUZXh0IjoiKDM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a92bd584-1d80-4ec7-bcfc-2a9314d162d2&quot;,&quot;properties&quot;:{&quot;noteIndex&quot;:0},&quot;isEdited&quot;:false,&quot;manualOverride&quot;:{&quot;isManuallyOverridden&quot;:false,&quot;citeprocText&quot;:&quot;(3)&quot;,&quot;manualOverrideText&quot;:&quot;&quot;},&quot;citationTag&quot;:&quot;MENDELEY_CITATION_v3_eyJjaXRhdGlvbklEIjoiTUVOREVMRVlfQ0lUQVRJT05fYTkyYmQ1ODQtMWQ4MC00ZWM3LWJjZmMtMmE5MzE0ZDE2MmQyIiwicHJvcGVydGllcyI6eyJub3RlSW5kZXgiOjB9LCJpc0VkaXRlZCI6ZmFsc2UsIm1hbnVhbE92ZXJyaWRlIjp7ImlzTWFudWFsbHlPdmVycmlkZGVuIjpmYWxzZSwiY2l0ZXByb2NUZXh0IjoiKDM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cb4fdb5c-a8d5-42cf-aabe-2b61c621a1dc&quot;,&quot;properties&quot;:{&quot;noteIndex&quot;:0},&quot;isEdited&quot;:false,&quot;manualOverride&quot;:{&quot;isManuallyOverridden&quot;:false,&quot;citeprocText&quot;:&quot;(4)&quot;,&quot;manualOverrideText&quot;:&quot;&quot;},&quot;citationTag&quot;:&quot;MENDELEY_CITATION_v3_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&quot;,&quot;citationItems&quot;:[{&quot;id&quot;:&quot;e9a2c04f-3f29-310f-b09e-835ae0eeff25&quot;,&quot;itemData&quot;:{&quot;type&quot;:&quot;report&quot;,&quot;id&quot;:&quot;e9a2c04f-3f29-310f-b09e-835ae0eeff25&quot;,&quot;title&quot;:&quot;Manual de microbiologia clínica para o controle de infecção relacionada à assistência à saúde&quot;,&quot;author&quot;:[{&quot;family&quot;:&quot;Agência Nacional de Vigilância Sanitária&quot;,&quot;given&quot;:&quot;&quot;,&quot;parse-names&quot;:false,&quot;dropping-particle&quot;:&quot;&quot;,&quot;non-dropping-particle&quot;:&quot;&quot;}],&quot;issued&quot;:{&quot;date-parts&quot;:[[2023]]},&quot;publisher-place&quot;:&quot;Brasília&quot;,&quot;container-title-short&quot;:&quot;&quot;},&quot;isTemporary&quot;:false}]},{&quot;citationID&quot;:&quot;MENDELEY_CITATION_5da99965-73dc-4d2b-bdb5-30135afed8f8&quot;,&quot;properties&quot;:{&quot;noteIndex&quot;:0},&quot;isEdited&quot;:false,&quot;manualOverride&quot;:{&quot;isManuallyOverridden&quot;:false,&quot;citeprocText&quot;:&quot;(3)&quot;,&quot;manualOverrideText&quot;:&quot;&quot;},&quot;citationTag&quot;:&quot;MENDELEY_CITATION_v3_eyJjaXRhdGlvbklEIjoiTUVOREVMRVlfQ0lUQVRJT05fNWRhOTk5NjUtNzNkYy00ZDJiLWJkYjUtMzAxMzVhZmVkOGY4IiwicHJvcGVydGllcyI6eyJub3RlSW5kZXgiOjB9LCJpc0VkaXRlZCI6ZmFsc2UsIm1hbnVhbE92ZXJyaWRlIjp7ImlzTWFudWFsbHlPdmVycmlkZGVuIjpmYWxzZSwiY2l0ZXByb2NUZXh0IjoiKDM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fe733be9-d996-481d-9107-af5ffcf9a5e6&quot;,&quot;properties&quot;:{&quot;noteIndex&quot;:0},&quot;isEdited&quot;:false,&quot;manualOverride&quot;:{&quot;isManuallyOverridden&quot;:false,&quot;citeprocText&quot;:&quot;(5)&quot;,&quot;manualOverrideText&quot;:&quot;&quot;},&quot;citationTag&quot;:&quot;MENDELEY_CITATION_v3_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&quot;,&quot;citationItems&quot;:[{&quot;id&quot;:&quot;60fcdc04-fe77-36dc-8386-7762fb8b6f95&quot;,&quot;itemData&quot;:{&quot;type&quot;:&quot;article-journal&quot;,&quot;id&quot;:&quot;60fcdc04-fe77-36dc-8386-7762fb8b6f95&quot;,&quot;title&quot;:&quot;MALDI-TOF MS: A Reliable Tool in the Real Life of the Clinical Microbiology Laboratory&quot;,&quot;author&quot;:[{&quot;family&quot;:&quot;Calderaro&quot;,&quot;given&quot;:&quot;Adriana&quot;,&quot;parse-names&quot;:false,&quot;dropping-particle&quot;:&quot;&quot;,&quot;non-dropping-particle&quot;:&quot;&quot;},{&quot;family&quot;:&quot;Chezzi&quot;,&quot;given&quot;:&quot;Carlo&quot;,&quot;parse-names&quot;:false,&quot;dropping-particle&quot;:&quot;&quot;,&quot;non-dropping-particle&quot;:&quot;&quot;}],&quot;container-title&quot;:&quot;Microorganisms&quot;,&quot;container-title-short&quot;:&quot;Microorganisms&quot;,&quot;DOI&quot;:&quot;10.3390/microorganisms12020322&quot;,&quot;ISSN&quot;:&quot;2076-2607&quot;,&quot;issued&quot;:{&quot;date-parts&quot;:[[2024,2,3]]},&quot;page&quot;:&quot;322&quot;,&quot;abstract&quot;:&quot;&lt;p&gt;Matrix-Assisted Desorption/Ionization-Time of Flight Mass Spectrometry (MALDI-TOF MS) in the last decade has revealed itself as a valid support in the workflow in the clinical microbiology laboratory for the identification of bacteria and fungi, demonstrating high reliability and effectiveness in this application. Its use has reduced, by 24 h, the time to obtain a microbiological diagnosis compared to conventional biochemical automatic systems. MALDI-TOF MS application to the detection of pathogens directly in clinical samples was proposed but requires a deeper investigation, whereas its application to positive blood cultures for the identification of microorganisms and the detection of antimicrobial resistance are now the most useful applications. Thanks to its rapidity, accuracy, and low price in reagents and consumables, MALDI-TOF MS has also been applied to different fields of clinical microbiology, such as the detection of antibiotic susceptibility/resistance biomarkers, the identification of aminoacidic sequences and the chemical structure of protein terminal groups, and as an emerging method in microbial typing. Some of these applications are waiting for an extensive evaluation before confirming a transfer to the routine. MALDI-TOF MS has not yet been used for the routine identification of parasites; nevertheless, studies have been reported in the last few years on its use in the identification of intestinal protozoa, Plasmodium falciparum, or ectoparasites. Innovative applications of MALDI-TOF MS to viruses’ identification were also reported, seeking further studies before adapting this tool to the virus’s diagnostic. This mini-review is focused on the MALDI-TOF MS application in the real life of the diagnostic microbiology laboratory.&lt;/p&gt;&quot;,&quot;issue&quot;:&quot;2&quot;,&quot;volume&quot;:&quot;12&quot;},&quot;isTemporary&quot;:false}]},{&quot;citationID&quot;:&quot;MENDELEY_CITATION_bf1aaf8e-6776-4ed3-a855-07de924b3b77&quot;,&quot;properties&quot;:{&quot;noteIndex&quot;:0},&quot;isEdited&quot;:false,&quot;manualOverride&quot;:{&quot;isManuallyOverridden&quot;:false,&quot;citeprocText&quot;:&quot;(1)&quot;,&quot;manualOverrideText&quot;:&quot;&quot;},&quot;citationTag&quot;:&quot;MENDELEY_CITATION_v3_eyJjaXRhdGlvbklEIjoiTUVOREVMRVlfQ0lUQVRJT05fYmYxYWFmOGUtNjc3Ni00ZWQzLWE4NTUtMDdkZTkyNGIzYjc3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citationID&quot;:&quot;MENDELEY_CITATION_4ab5410d-e769-4661-a2b9-2bca0ed4c57a&quot;,&quot;properties&quot;:{&quot;noteIndex&quot;:0},&quot;isEdited&quot;:false,&quot;manualOverride&quot;:{&quot;isManuallyOverridden&quot;:false,&quot;citeprocText&quot;:&quot;(1)&quot;,&quot;manualOverrideText&quot;:&quot;&quot;},&quot;citationTag&quot;:&quot;MENDELEY_CITATION_v3_eyJjaXRhdGlvbklEIjoiTUVOREVMRVlfQ0lUQVRJT05fNGFiNTQxMGQtZTc2OS00NjYxLWEyYjktMmJjYTBlZDRjNTdh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citationID&quot;:&quot;MENDELEY_CITATION_b4e21596-c7ad-4f2e-b74a-0d50905484a6&quot;,&quot;properties&quot;:{&quot;noteIndex&quot;:0},&quot;isEdited&quot;:false,&quot;manualOverride&quot;:{&quot;isManuallyOverridden&quot;:false,&quot;citeprocText&quot;:&quot;(2)&quot;,&quot;manualOverrideText&quot;:&quot;&quot;},&quot;citationTag&quot;:&quot;MENDELEY_CITATION_v3_eyJjaXRhdGlvbklEIjoiTUVOREVMRVlfQ0lUQVRJT05fYjRlMjE1OTYtYzdhZC00ZjJlLWI3NGEtMGQ1MDkwNTQ4NGE2IiwicHJvcGVydGllcyI6eyJub3RlSW5kZXgiOjB9LCJpc0VkaXRlZCI6ZmFsc2UsIm1hbnVhbE92ZXJyaWRlIjp7ImlzTWFudWFsbHlPdmVycmlkZGVuIjpmYWxzZSwiY2l0ZXByb2NUZXh0IjoiKDI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quot;,&quot;citationItems&quot;:[{&quot;id&quot;:&quot;1d1e5556-2507-357e-bb45-622e3d3f1959&quot;,&quot;itemData&quot;:{&quot;type&quot;:&quot;article-journal&quot;,&quot;id&quot;:&quot;1d1e5556-2507-357e-bb45-622e3d3f1959&quot;,&quot;title&quot;:&quot;Antibiotic susceptibility testing using minimum inhibitory concentration (MIC) assays&quot;,&quot;author&quot;:[{&quot;family&quot;:&quot;Kadeřábková&quot;,&quot;given&quot;:&quot;Nikol&quot;,&quot;parse-names&quot;:false,&quot;dropping-particle&quot;:&quot;&quot;,&quot;non-dropping-particle&quot;:&quot;&quot;},{&quot;family&quot;:&quot;Mahmood&quot;,&quot;given&quot;:&quot;Ayesha J. S.&quot;,&quot;parse-names&quot;:false,&quot;dropping-particle&quot;:&quot;&quot;,&quot;non-dropping-particle&quot;:&quot;&quot;},{&quot;family&quot;:&quot;Mavridou&quot;,&quot;given&quot;:&quot;Despoina A. I.&quot;,&quot;parse-names&quot;:false,&quot;dropping-particle&quot;:&quot;&quot;,&quot;non-dropping-particle&quot;:&quot;&quot;}],&quot;container-title&quot;:&quot;npj Antimicrobials and Resistance&quot;,&quot;DOI&quot;:&quot;10.1038/s44259-024-00051-6&quot;,&quot;ISSN&quot;:&quot;2731-8745&quot;,&quot;issued&quot;:{&quot;date-parts&quot;:[[2024,11,7]]},&quot;page&quot;:&quot;37&quot;,&quot;issue&quot;:&quot;1&quot;,&quot;volume&quot;:&quot;2&quot;,&quot;container-title-short&quot;:&quot;&quot;},&quot;isTemporary&quot;:false}]},{&quot;citationID&quot;:&quot;MENDELEY_CITATION_52645913-672e-4af0-9241-09f7b3e96cab&quot;,&quot;properties&quot;:{&quot;noteIndex&quot;:0},&quot;isEdited&quot;:false,&quot;manualOverride&quot;:{&quot;isManuallyOverridden&quot;:false,&quot;citeprocText&quot;:&quot;(1)&quot;,&quot;manualOverrideText&quot;:&quot;&quot;},&quot;citationTag&quot;:&quot;MENDELEY_CITATION_v3_eyJjaXRhdGlvbklEIjoiTUVOREVMRVlfQ0lUQVRJT05fNTI2NDU5MTMtNjcyZS00YWYwLTkyNDEtMDlmN2IzZTk2Y2Fi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citationID&quot;:&quot;MENDELEY_CITATION_0507b3d4-3d07-4517-a53d-b29218b9adfb&quot;,&quot;properties&quot;:{&quot;noteIndex&quot;:0},&quot;isEdited&quot;:false,&quot;manualOverride&quot;:{&quot;isManuallyOverridden&quot;:false,&quot;citeprocText&quot;:&quot;(2)&quot;,&quot;manualOverrideText&quot;:&quot;&quot;},&quot;citationTag&quot;:&quot;MENDELEY_CITATION_v3_eyJjaXRhdGlvbklEIjoiTUVOREVMRVlfQ0lUQVRJT05fMDUwN2IzZDQtM2QwNy00NTE3LWE1M2QtYjI5MjE4YjlhZGZiIiwicHJvcGVydGllcyI6eyJub3RlSW5kZXgiOjB9LCJpc0VkaXRlZCI6ZmFsc2UsIm1hbnVhbE92ZXJyaWRlIjp7ImlzTWFudWFsbHlPdmVycmlkZGVuIjpmYWxzZSwiY2l0ZXByb2NUZXh0IjoiKDI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quot;,&quot;citationItems&quot;:[{&quot;id&quot;:&quot;1d1e5556-2507-357e-bb45-622e3d3f1959&quot;,&quot;itemData&quot;:{&quot;type&quot;:&quot;article-journal&quot;,&quot;id&quot;:&quot;1d1e5556-2507-357e-bb45-622e3d3f1959&quot;,&quot;title&quot;:&quot;Antibiotic susceptibility testing using minimum inhibitory concentration (MIC) assays&quot;,&quot;author&quot;:[{&quot;family&quot;:&quot;Kadeřábková&quot;,&quot;given&quot;:&quot;Nikol&quot;,&quot;parse-names&quot;:false,&quot;dropping-particle&quot;:&quot;&quot;,&quot;non-dropping-particle&quot;:&quot;&quot;},{&quot;family&quot;:&quot;Mahmood&quot;,&quot;given&quot;:&quot;Ayesha J. S.&quot;,&quot;parse-names&quot;:false,&quot;dropping-particle&quot;:&quot;&quot;,&quot;non-dropping-particle&quot;:&quot;&quot;},{&quot;family&quot;:&quot;Mavridou&quot;,&quot;given&quot;:&quot;Despoina A. I.&quot;,&quot;parse-names&quot;:false,&quot;dropping-particle&quot;:&quot;&quot;,&quot;non-dropping-particle&quot;:&quot;&quot;}],&quot;container-title&quot;:&quot;npj Antimicrobials and Resistance&quot;,&quot;DOI&quot;:&quot;10.1038/s44259-024-00051-6&quot;,&quot;ISSN&quot;:&quot;2731-8745&quot;,&quot;issued&quot;:{&quot;date-parts&quot;:[[2024,11,7]]},&quot;page&quot;:&quot;37&quot;,&quot;issue&quot;:&quot;1&quot;,&quot;volume&quot;:&quot;2&quot;,&quot;container-title-short&quot;:&quot;&quot;},&quot;isTemporary&quot;:false}]},{&quot;citationID&quot;:&quot;MENDELEY_CITATION_8d878222-ea1a-4bc7-9b4f-6d6cf7cecd7b&quot;,&quot;properties&quot;:{&quot;noteIndex&quot;:0},&quot;isEdited&quot;:false,&quot;manualOverride&quot;:{&quot;isManuallyOverridden&quot;:false,&quot;citeprocText&quot;:&quot;(2)&quot;,&quot;manualOverrideText&quot;:&quot;&quot;},&quot;citationTag&quot;:&quot;MENDELEY_CITATION_v3_eyJjaXRhdGlvbklEIjoiTUVOREVMRVlfQ0lUQVRJT05fOGQ4NzgyMjItZWExYS00YmM3LTliNGYtNmQ2Y2Y3Y2VjZDdiIiwicHJvcGVydGllcyI6eyJub3RlSW5kZXgiOjB9LCJpc0VkaXRlZCI6ZmFsc2UsIm1hbnVhbE92ZXJyaWRlIjp7ImlzTWFudWFsbHlPdmVycmlkZGVuIjpmYWxzZSwiY2l0ZXByb2NUZXh0IjoiKDI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quot;,&quot;citationItems&quot;:[{&quot;id&quot;:&quot;1d1e5556-2507-357e-bb45-622e3d3f1959&quot;,&quot;itemData&quot;:{&quot;type&quot;:&quot;article-journal&quot;,&quot;id&quot;:&quot;1d1e5556-2507-357e-bb45-622e3d3f1959&quot;,&quot;title&quot;:&quot;Antibiotic susceptibility testing using minimum inhibitory concentration (MIC) assays&quot;,&quot;author&quot;:[{&quot;family&quot;:&quot;Kadeřábková&quot;,&quot;given&quot;:&quot;Nikol&quot;,&quot;parse-names&quot;:false,&quot;dropping-particle&quot;:&quot;&quot;,&quot;non-dropping-particle&quot;:&quot;&quot;},{&quot;family&quot;:&quot;Mahmood&quot;,&quot;given&quot;:&quot;Ayesha J. S.&quot;,&quot;parse-names&quot;:false,&quot;dropping-particle&quot;:&quot;&quot;,&quot;non-dropping-particle&quot;:&quot;&quot;},{&quot;family&quot;:&quot;Mavridou&quot;,&quot;given&quot;:&quot;Despoina A. I.&quot;,&quot;parse-names&quot;:false,&quot;dropping-particle&quot;:&quot;&quot;,&quot;non-dropping-particle&quot;:&quot;&quot;}],&quot;container-title&quot;:&quot;npj Antimicrobials and Resistance&quot;,&quot;DOI&quot;:&quot;10.1038/s44259-024-00051-6&quot;,&quot;ISSN&quot;:&quot;2731-8745&quot;,&quot;issued&quot;:{&quot;date-parts&quot;:[[2024,11,7]]},&quot;page&quot;:&quot;37&quot;,&quot;issue&quot;:&quot;1&quot;,&quot;volume&quot;:&quot;2&quot;,&quot;container-title-short&quot;:&quot;&quot;},&quot;isTemporary&quot;:false}]},{&quot;citationID&quot;:&quot;MENDELEY_CITATION_5db9b11e-882e-4264-b51c-ce2ac845e19b&quot;,&quot;properties&quot;:{&quot;noteIndex&quot;:0},&quot;isEdited&quot;:false,&quot;manualOverride&quot;:{&quot;isManuallyOverridden&quot;:false,&quot;citeprocText&quot;:&quot;(1)&quot;,&quot;manualOverrideText&quot;:&quot;&quot;},&quot;citationTag&quot;:&quot;MENDELEY_CITATION_v3_eyJjaXRhdGlvbklEIjoiTUVOREVMRVlfQ0lUQVRJT05fNWRiOWIxMWUtODgyZS00MjY0LWI1MWMtY2UyYWM4NDVlMTli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citationID&quot;:&quot;MENDELEY_CITATION_31ff5a85-4dc6-433b-a442-997faef7d88c&quot;,&quot;properties&quot;:{&quot;noteIndex&quot;:0},&quot;isEdited&quot;:false,&quot;manualOverride&quot;:{&quot;isManuallyOverridden&quot;:false,&quot;citeprocText&quot;:&quot;(1)&quot;,&quot;manualOverrideText&quot;:&quot;&quot;},&quot;citationTag&quot;:&quot;MENDELEY_CITATION_v3_eyJjaXRhdGlvbklEIjoiTUVOREVMRVlfQ0lUQVRJT05fMzFmZjVhODUtNGRjNi00MzNiLWE0NDItOTk3ZmFlZjdkODhj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citationID&quot;:&quot;MENDELEY_CITATION_b8b42e97-eaff-4215-9ee8-6904e3c125d6&quot;,&quot;properties&quot;:{&quot;noteIndex&quot;:0},&quot;isEdited&quot;:false,&quot;manualOverride&quot;:{&quot;isManuallyOverridden&quot;:false,&quot;citeprocText&quot;:&quot;(6)&quot;,&quot;manualOverrideText&quot;:&quot;&quot;},&quot;citationTag&quot;:&quot;MENDELEY_CITATION_v3_eyJjaXRhdGlvbklEIjoiTUVOREVMRVlfQ0lUQVRJT05fYjhiNDJlOTctZWFmZi00MjE1LTllZTgtNjkwNGUzYzEyNWQ2IiwicHJvcGVydGllcyI6eyJub3RlSW5kZXgiOjB9LCJpc0VkaXRlZCI6ZmFsc2UsIm1hbnVhbE92ZXJyaWRlIjp7ImlzTWFudWFsbHlPdmVycmlkZGVuIjpmYWxzZSwiY2l0ZXByb2NUZXh0IjoiKDY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quot;,&quot;citationItems&quot;:[{&quot;id&quot;:&quot;c44334bf-795c-35bf-b6e8-e40420bbc394&quot;,&quot;itemData&quot;:{&quot;type&quot;:&quot;article-journal&quot;,&quot;id&quot;:&quot;c44334bf-795c-35bf-b6e8-e40420bbc394&quot;,&quot;title&quot;:&quot;Epidemiology of β-Lactamase-Producing Pathogens&quot;,&quot;author&quot;:[{&quot;family&quot;:&quot;Bush&quot;,&quot;given&quot;:&quot;Karen&quot;,&quot;parse-names&quot;:false,&quot;dropping-particle&quot;:&quot;&quot;,&quot;non-dropping-particle&quot;:&quot;&quot;},{&quot;family&quot;:&quot;Bradford&quot;,&quot;given&quot;:&quot;Patricia A.&quot;,&quot;parse-names&quot;:false,&quot;dropping-particle&quot;:&quot;&quot;,&quot;non-dropping-particle&quot;:&quot;&quot;}],&quot;container-title&quot;:&quot;Clinical Microbiology Reviews&quot;,&quot;container-title-short&quot;:&quot;Clin. Microbiol. Rev.&quot;,&quot;DOI&quot;:&quot;10.1128/CMR.00047-19&quot;,&quot;ISSN&quot;:&quot;0893-8512&quot;,&quot;issued&quot;:{&quot;date-parts&quot;:[[2020,3,18]]},&quot;abstract&quot;:&quot;&lt;p&gt; β-Lactam antibiotics have been widely used as therapeutic agents for the past 70 years, resulting in emergence of an abundance of β-lactam-inactivating β-lactamases. Although penicillinases in &lt;named-content content-type=\&quot;genus-species\&quot;&gt;Staphylococcus aureus&lt;/named-content&gt; challenged the initial uses of penicillin, β-lactamases are most important in Gram-negative bacteria, particularly in enteric and nonfermentative pathogens, where collectively they confer resistance to all β-lactam-containing antibiotics. &lt;/p&gt;&quot;,&quot;issue&quot;:&quot;2&quot;,&quot;volume&quot;:&quot;33&quot;},&quot;isTemporary&quot;:false}]},{&quot;citationID&quot;:&quot;MENDELEY_CITATION_c1a8ba5c-b004-454c-97e4-345e83a13167&quot;,&quot;properties&quot;:{&quot;noteIndex&quot;:0},&quot;isEdited&quot;:false,&quot;manualOverride&quot;:{&quot;isManuallyOverridden&quot;:false,&quot;citeprocText&quot;:&quot;(6)&quot;,&quot;manualOverrideText&quot;:&quot;&quot;},&quot;citationTag&quot;:&quot;MENDELEY_CITATION_v3_eyJjaXRhdGlvbklEIjoiTUVOREVMRVlfQ0lUQVRJT05fYzFhOGJhNWMtYjAwNC00NTRjLTk3ZTQtMzQ1ZTgzYTEzMTY3IiwicHJvcGVydGllcyI6eyJub3RlSW5kZXgiOjB9LCJpc0VkaXRlZCI6ZmFsc2UsIm1hbnVhbE92ZXJyaWRlIjp7ImlzTWFudWFsbHlPdmVycmlkZGVuIjpmYWxzZSwiY2l0ZXByb2NUZXh0IjoiKDY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quot;,&quot;citationItems&quot;:[{&quot;id&quot;:&quot;c44334bf-795c-35bf-b6e8-e40420bbc394&quot;,&quot;itemData&quot;:{&quot;type&quot;:&quot;article-journal&quot;,&quot;id&quot;:&quot;c44334bf-795c-35bf-b6e8-e40420bbc394&quot;,&quot;title&quot;:&quot;Epidemiology of β-Lactamase-Producing Pathogens&quot;,&quot;author&quot;:[{&quot;family&quot;:&quot;Bush&quot;,&quot;given&quot;:&quot;Karen&quot;,&quot;parse-names&quot;:false,&quot;dropping-particle&quot;:&quot;&quot;,&quot;non-dropping-particle&quot;:&quot;&quot;},{&quot;family&quot;:&quot;Bradford&quot;,&quot;given&quot;:&quot;Patricia A.&quot;,&quot;parse-names&quot;:false,&quot;dropping-particle&quot;:&quot;&quot;,&quot;non-dropping-particle&quot;:&quot;&quot;}],&quot;container-title&quot;:&quot;Clinical Microbiology Reviews&quot;,&quot;container-title-short&quot;:&quot;Clin. Microbiol. Rev.&quot;,&quot;DOI&quot;:&quot;10.1128/CMR.00047-19&quot;,&quot;ISSN&quot;:&quot;0893-8512&quot;,&quot;issued&quot;:{&quot;date-parts&quot;:[[2020,3,18]]},&quot;abstract&quot;:&quot;&lt;p&gt; β-Lactam antibiotics have been widely used as therapeutic agents for the past 70 years, resulting in emergence of an abundance of β-lactam-inactivating β-lactamases. Although penicillinases in &lt;named-content content-type=\&quot;genus-species\&quot;&gt;Staphylococcus aureus&lt;/named-content&gt; challenged the initial uses of penicillin, β-lactamases are most important in Gram-negative bacteria, particularly in enteric and nonfermentative pathogens, where collectively they confer resistance to all β-lactam-containing antibiotics. &lt;/p&gt;&quot;,&quot;issue&quot;:&quot;2&quot;,&quot;volume&quot;:&quot;33&quot;},&quot;isTemporary&quot;:false}]},{&quot;citationID&quot;:&quot;MENDELEY_CITATION_a5485620-2f03-4c16-b967-0e4bad02db63&quot;,&quot;properties&quot;:{&quot;noteIndex&quot;:0},&quot;isEdited&quot;:false,&quot;manualOverride&quot;:{&quot;isManuallyOverridden&quot;:false,&quot;citeprocText&quot;:&quot;(6)&quot;,&quot;manualOverrideText&quot;:&quot;&quot;},&quot;citationTag&quot;:&quot;MENDELEY_CITATION_v3_eyJjaXRhdGlvbklEIjoiTUVOREVMRVlfQ0lUQVRJT05fYTU0ODU2MjAtMmYwMy00YzE2LWI5NjctMGU0YmFkMDJkYjYzIiwicHJvcGVydGllcyI6eyJub3RlSW5kZXgiOjB9LCJpc0VkaXRlZCI6ZmFsc2UsIm1hbnVhbE92ZXJyaWRlIjp7ImlzTWFudWFsbHlPdmVycmlkZGVuIjpmYWxzZSwiY2l0ZXByb2NUZXh0IjoiKDY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quot;,&quot;citationItems&quot;:[{&quot;id&quot;:&quot;c44334bf-795c-35bf-b6e8-e40420bbc394&quot;,&quot;itemData&quot;:{&quot;type&quot;:&quot;article-journal&quot;,&quot;id&quot;:&quot;c44334bf-795c-35bf-b6e8-e40420bbc394&quot;,&quot;title&quot;:&quot;Epidemiology of β-Lactamase-Producing Pathogens&quot;,&quot;author&quot;:[{&quot;family&quot;:&quot;Bush&quot;,&quot;given&quot;:&quot;Karen&quot;,&quot;parse-names&quot;:false,&quot;dropping-particle&quot;:&quot;&quot;,&quot;non-dropping-particle&quot;:&quot;&quot;},{&quot;family&quot;:&quot;Bradford&quot;,&quot;given&quot;:&quot;Patricia A.&quot;,&quot;parse-names&quot;:false,&quot;dropping-particle&quot;:&quot;&quot;,&quot;non-dropping-particle&quot;:&quot;&quot;}],&quot;container-title&quot;:&quot;Clinical Microbiology Reviews&quot;,&quot;container-title-short&quot;:&quot;Clin. Microbiol. Rev.&quot;,&quot;DOI&quot;:&quot;10.1128/CMR.00047-19&quot;,&quot;ISSN&quot;:&quot;0893-8512&quot;,&quot;issued&quot;:{&quot;date-parts&quot;:[[2020,3,18]]},&quot;abstract&quot;:&quot;&lt;p&gt; β-Lactam antibiotics have been widely used as therapeutic agents for the past 70 years, resulting in emergence of an abundance of β-lactam-inactivating β-lactamases. Although penicillinases in &lt;named-content content-type=\&quot;genus-species\&quot;&gt;Staphylococcus aureus&lt;/named-content&gt; challenged the initial uses of penicillin, β-lactamases are most important in Gram-negative bacteria, particularly in enteric and nonfermentative pathogens, where collectively they confer resistance to all β-lactam-containing antibiotics. &lt;/p&gt;&quot;,&quot;issue&quot;:&quot;2&quot;,&quot;volume&quot;:&quot;33&quot;},&quot;isTemporary&quot;:false}]},{&quot;citationID&quot;:&quot;MENDELEY_CITATION_18b857bb-8681-4f93-8419-92644171ca72&quot;,&quot;properties&quot;:{&quot;noteIndex&quot;:0},&quot;isEdited&quot;:false,&quot;manualOverride&quot;:{&quot;isManuallyOverridden&quot;:false,&quot;citeprocText&quot;:&quot;(3)&quot;,&quot;manualOverrideText&quot;:&quot;&quot;},&quot;citationTag&quot;:&quot;MENDELEY_CITATION_v3_eyJjaXRhdGlvbklEIjoiTUVOREVMRVlfQ0lUQVRJT05fMThiODU3YmItODY4MS00ZjkzLTg0MTktOTI2NDQxNzFjYTcyIiwicHJvcGVydGllcyI6eyJub3RlSW5kZXgiOjB9LCJpc0VkaXRlZCI6ZmFsc2UsIm1hbnVhbE92ZXJyaWRlIjp7ImlzTWFudWFsbHlPdmVycmlkZGVuIjpmYWxzZSwiY2l0ZXByb2NUZXh0IjoiKDM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75e4d335-2fa0-440f-9acd-4e56aeb4a107&quot;,&quot;properties&quot;:{&quot;noteIndex&quot;:0},&quot;isEdited&quot;:false,&quot;manualOverride&quot;:{&quot;isManuallyOverridden&quot;:false,&quot;citeprocText&quot;:&quot;(3)&quot;,&quot;manualOverrideText&quot;:&quot;&quot;},&quot;citationTag&quot;:&quot;MENDELEY_CITATION_v3_eyJjaXRhdGlvbklEIjoiTUVOREVMRVlfQ0lUQVRJT05fNzVlNGQzMzUtMmZhMC00NDBmLTlhY2QtNGU1NmFlYjRhMTA3IiwicHJvcGVydGllcyI6eyJub3RlSW5kZXgiOjB9LCJpc0VkaXRlZCI6ZmFsc2UsIm1hbnVhbE92ZXJyaWRlIjp7ImlzTWFudWFsbHlPdmVycmlkZGVuIjpmYWxzZSwiY2l0ZXByb2NUZXh0IjoiKDM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6007150d-bf8b-4f3c-8dca-bb435fd4d061&quot;,&quot;properties&quot;:{&quot;noteIndex&quot;:0},&quot;isEdited&quot;:false,&quot;manualOverride&quot;:{&quot;isManuallyOverridden&quot;:false,&quot;citeprocText&quot;:&quot;(1)&quot;,&quot;manualOverrideText&quot;:&quot;&quot;},&quot;citationTag&quot;:&quot;MENDELEY_CITATION_v3_eyJjaXRhdGlvbklEIjoiTUVOREVMRVlfQ0lUQVRJT05fNjAwNzE1MGQtYmY4Yi00ZjNjLThkY2EtYmI0MzVmZDRkMDYx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citationID&quot;:&quot;MENDELEY_CITATION_7f428148-222c-4505-8843-5b33f18c93fd&quot;,&quot;properties&quot;:{&quot;noteIndex&quot;:0},&quot;isEdited&quot;:false,&quot;manualOverride&quot;:{&quot;isManuallyOverridden&quot;:false,&quot;citeprocText&quot;:&quot;(1)&quot;,&quot;manualOverrideText&quot;:&quot;&quot;},&quot;citationTag&quot;:&quot;MENDELEY_CITATION_v3_eyJjaXRhdGlvbklEIjoiTUVOREVMRVlfQ0lUQVRJT05fN2Y0MjgxNDgtMjIyYy00NTA1LTg4NDMtNWIzM2YxOGM5M2Zk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citationID&quot;:&quot;MENDELEY_CITATION_29a95273-88bd-46a4-9ccc-721427f2f35b&quot;,&quot;properties&quot;:{&quot;noteIndex&quot;:0},&quot;isEdited&quot;:false,&quot;manualOverride&quot;:{&quot;isManuallyOverridden&quot;:false,&quot;citeprocText&quot;:&quot;(2)&quot;,&quot;manualOverrideText&quot;:&quot;&quot;},&quot;citationTag&quot;:&quot;MENDELEY_CITATION_v3_eyJjaXRhdGlvbklEIjoiTUVOREVMRVlfQ0lUQVRJT05fMjlhOTUyNzMtODhiZC00NmE0LTljY2MtNzIxNDI3ZjJmMzViIiwicHJvcGVydGllcyI6eyJub3RlSW5kZXgiOjB9LCJpc0VkaXRlZCI6ZmFsc2UsIm1hbnVhbE92ZXJyaWRlIjp7ImlzTWFudWFsbHlPdmVycmlkZGVuIjpmYWxzZSwiY2l0ZXByb2NUZXh0IjoiKDI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quot;,&quot;citationItems&quot;:[{&quot;id&quot;:&quot;1d1e5556-2507-357e-bb45-622e3d3f1959&quot;,&quot;itemData&quot;:{&quot;type&quot;:&quot;article-journal&quot;,&quot;id&quot;:&quot;1d1e5556-2507-357e-bb45-622e3d3f1959&quot;,&quot;title&quot;:&quot;Antibiotic susceptibility testing using minimum inhibitory concentration (MIC) assays&quot;,&quot;author&quot;:[{&quot;family&quot;:&quot;Kadeřábková&quot;,&quot;given&quot;:&quot;Nikol&quot;,&quot;parse-names&quot;:false,&quot;dropping-particle&quot;:&quot;&quot;,&quot;non-dropping-particle&quot;:&quot;&quot;},{&quot;family&quot;:&quot;Mahmood&quot;,&quot;given&quot;:&quot;Ayesha J. S.&quot;,&quot;parse-names&quot;:false,&quot;dropping-particle&quot;:&quot;&quot;,&quot;non-dropping-particle&quot;:&quot;&quot;},{&quot;family&quot;:&quot;Mavridou&quot;,&quot;given&quot;:&quot;Despoina A. I.&quot;,&quot;parse-names&quot;:false,&quot;dropping-particle&quot;:&quot;&quot;,&quot;non-dropping-particle&quot;:&quot;&quot;}],&quot;container-title&quot;:&quot;npj Antimicrobials and Resistance&quot;,&quot;DOI&quot;:&quot;10.1038/s44259-024-00051-6&quot;,&quot;ISSN&quot;:&quot;2731-8745&quot;,&quot;issued&quot;:{&quot;date-parts&quot;:[[2024,11,7]]},&quot;page&quot;:&quot;37&quot;,&quot;issue&quot;:&quot;1&quot;,&quot;volume&quot;:&quot;2&quot;,&quot;container-title-short&quot;:&quot;&quot;},&quot;isTemporary&quot;:false}]},{&quot;citationID&quot;:&quot;MENDELEY_CITATION_ca7efbe5-fc85-46c2-90d9-e0274dd8dc91&quot;,&quot;properties&quot;:{&quot;noteIndex&quot;:0},&quot;isEdited&quot;:false,&quot;manualOverride&quot;:{&quot;isManuallyOverridden&quot;:false,&quot;citeprocText&quot;:&quot;(1)&quot;,&quot;manualOverrideText&quot;:&quot;&quot;},&quot;citationTag&quot;:&quot;MENDELEY_CITATION_v3_eyJjaXRhdGlvbklEIjoiTUVOREVMRVlfQ0lUQVRJT05fY2E3ZWZiZTUtZmM4NS00NmMyLTkwZDktZTAyNzRkZDhkYzkx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citationID&quot;:&quot;MENDELEY_CITATION_62826548-dd35-4d95-9db9-7a3037501af2&quot;,&quot;properties&quot;:{&quot;noteIndex&quot;:0},&quot;isEdited&quot;:false,&quot;manualOverride&quot;:{&quot;isManuallyOverridden&quot;:false,&quot;citeprocText&quot;:&quot;(1)&quot;,&quot;manualOverrideText&quot;:&quot;&quot;},&quot;citationTag&quot;:&quot;MENDELEY_CITATION_v3_eyJjaXRhdGlvbklEIjoiTUVOREVMRVlfQ0lUQVRJT05fNjI4MjY1NDgtZGQzNS00ZDk1LTlkYjktN2EzMDM3NTAxYWYy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citationID&quot;:&quot;MENDELEY_CITATION_4d374866-f763-4e07-8bb2-537308635eb8&quot;,&quot;properties&quot;:{&quot;noteIndex&quot;:0},&quot;isEdited&quot;:false,&quot;manualOverride&quot;:{&quot;isManuallyOverridden&quot;:false,&quot;citeprocText&quot;:&quot;(1,2)&quot;,&quot;manualOverrideText&quot;:&quot;&quot;},&quot;citationTag&quot;:&quot;MENDELEY_CITATION_v3_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&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id&quot;:&quot;1d1e5556-2507-357e-bb45-622e3d3f1959&quot;,&quot;itemData&quot;:{&quot;type&quot;:&quot;article-journal&quot;,&quot;id&quot;:&quot;1d1e5556-2507-357e-bb45-622e3d3f1959&quot;,&quot;title&quot;:&quot;Antibiotic susceptibility testing using minimum inhibitory concentration (MIC) assays&quot;,&quot;author&quot;:[{&quot;family&quot;:&quot;Kadeřábková&quot;,&quot;given&quot;:&quot;Nikol&quot;,&quot;parse-names&quot;:false,&quot;dropping-particle&quot;:&quot;&quot;,&quot;non-dropping-particle&quot;:&quot;&quot;},{&quot;family&quot;:&quot;Mahmood&quot;,&quot;given&quot;:&quot;Ayesha J. S.&quot;,&quot;parse-names&quot;:false,&quot;dropping-particle&quot;:&quot;&quot;,&quot;non-dropping-particle&quot;:&quot;&quot;},{&quot;family&quot;:&quot;Mavridou&quot;,&quot;given&quot;:&quot;Despoina A. I.&quot;,&quot;parse-names&quot;:false,&quot;dropping-particle&quot;:&quot;&quot;,&quot;non-dropping-particle&quot;:&quot;&quot;}],&quot;container-title&quot;:&quot;npj Antimicrobials and Resistance&quot;,&quot;DOI&quot;:&quot;10.1038/s44259-024-00051-6&quot;,&quot;ISSN&quot;:&quot;2731-8745&quot;,&quot;issued&quot;:{&quot;date-parts&quot;:[[2024,11,7]]},&quot;page&quot;:&quot;37&quot;,&quot;issue&quot;:&quot;1&quot;,&quot;volume&quot;:&quot;2&quot;,&quot;container-title-short&quot;:&quot;&quot;},&quot;isTemporary&quot;:false}]},{&quot;citationID&quot;:&quot;MENDELEY_CITATION_54aaae12-2fca-4d31-a2cb-cf11c6cbe9a6&quot;,&quot;properties&quot;:{&quot;noteIndex&quot;:0},&quot;isEdited&quot;:false,&quot;manualOverride&quot;:{&quot;isManuallyOverridden&quot;:false,&quot;citeprocText&quot;:&quot;(1)&quot;,&quot;manualOverrideText&quot;:&quot;&quot;},&quot;citationTag&quot;:&quot;MENDELEY_CITATION_v3_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&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
    <we:property name="MENDELEY_CITATIONS_STYLE" value="{&quot;id&quot;:&quot;https://www.zotero.org/styles/vancouver&quot;,&quot;title&quot;:&quot;NLM/Vancouver: Citing Medicine 2nd edition (citation-sequence)&quot;,&quot;format&quot;:&quot;numeric&quot;,&quot;defaultLocale&quot;:null,&quot;isLocaleCodeValid&quot;:true}"/>
    <we:property name="MENDELEY_BIBLIOGRAPHY_IS_DIRTY" value="true"/>
    <we:property name="MENDELEY_BIBLIOGRAPHY_LAST_MODIFIED" value="1773630397414"/>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5D111-5644-41EC-92C4-4D0F23AE1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15</Pages>
  <Words>5033</Words>
  <Characters>27183</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Coracini</dc:creator>
  <cp:keywords/>
  <dc:description/>
  <cp:lastModifiedBy>Juliana Coracini</cp:lastModifiedBy>
  <cp:revision>4</cp:revision>
  <dcterms:created xsi:type="dcterms:W3CDTF">2026-03-16T03:06:00Z</dcterms:created>
  <dcterms:modified xsi:type="dcterms:W3CDTF">2026-03-24T13:42:00Z</dcterms:modified>
</cp:coreProperties>
</file>