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F1F30" w14:textId="77777777" w:rsidR="00A81A7D" w:rsidRDefault="00A81A7D" w:rsidP="00A81A7D">
      <w:pPr>
        <w:spacing w:after="0" w:line="360" w:lineRule="auto"/>
        <w:jc w:val="center"/>
        <w:rPr>
          <w:rFonts w:ascii="Arial" w:hAnsi="Arial" w:cs="Arial"/>
          <w:b/>
          <w:bCs/>
        </w:rPr>
      </w:pPr>
      <w:r w:rsidRPr="00545D58">
        <w:rPr>
          <w:rFonts w:ascii="Arial" w:hAnsi="Arial" w:cs="Arial"/>
          <w:b/>
          <w:bCs/>
        </w:rPr>
        <w:t>CAPÍTULO 6 - Associação Terapêutica e Consequências do Uso Indiscriminado</w:t>
      </w:r>
    </w:p>
    <w:p w14:paraId="765C3DCA" w14:textId="77777777" w:rsidR="00A81A7D" w:rsidRPr="00474766" w:rsidRDefault="00A81A7D" w:rsidP="00A81A7D">
      <w:pPr>
        <w:spacing w:after="0" w:line="360" w:lineRule="auto"/>
        <w:jc w:val="both"/>
        <w:rPr>
          <w:rFonts w:ascii="Arial" w:hAnsi="Arial" w:cs="Arial"/>
          <w:b/>
          <w:bCs/>
        </w:rPr>
      </w:pPr>
    </w:p>
    <w:p w14:paraId="4BBB67EB" w14:textId="1FB58F06"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56</w:t>
      </w:r>
    </w:p>
    <w:p w14:paraId="6F8E6DD2" w14:textId="77777777" w:rsidR="00A81A7D" w:rsidRDefault="00A81A7D" w:rsidP="00A81A7D">
      <w:pPr>
        <w:spacing w:after="0" w:line="360" w:lineRule="auto"/>
        <w:jc w:val="right"/>
        <w:rPr>
          <w:rFonts w:ascii="Arial" w:hAnsi="Arial" w:cs="Arial"/>
        </w:rPr>
      </w:pPr>
    </w:p>
    <w:p w14:paraId="46180E1F" w14:textId="77777777" w:rsidR="00A81A7D" w:rsidRPr="00545D58" w:rsidRDefault="00A81A7D" w:rsidP="00A81A7D">
      <w:pPr>
        <w:spacing w:after="0" w:line="360" w:lineRule="auto"/>
        <w:jc w:val="both"/>
        <w:rPr>
          <w:rFonts w:ascii="Arial" w:hAnsi="Arial" w:cs="Arial"/>
          <w:b/>
          <w:bCs/>
        </w:rPr>
      </w:pPr>
      <w:r w:rsidRPr="00545D58">
        <w:rPr>
          <w:rFonts w:ascii="Arial" w:hAnsi="Arial" w:cs="Arial"/>
          <w:b/>
          <w:bCs/>
        </w:rPr>
        <w:t xml:space="preserve">Associação antibacteriana </w:t>
      </w:r>
    </w:p>
    <w:p w14:paraId="23E2866B" w14:textId="77777777" w:rsidR="00A81A7D" w:rsidRPr="00545D58" w:rsidRDefault="00A81A7D" w:rsidP="00A81A7D">
      <w:pPr>
        <w:spacing w:after="0" w:line="360" w:lineRule="auto"/>
        <w:jc w:val="both"/>
        <w:rPr>
          <w:rFonts w:ascii="Arial" w:hAnsi="Arial" w:cs="Arial"/>
        </w:rPr>
      </w:pPr>
    </w:p>
    <w:p w14:paraId="444B7177" w14:textId="17D0F134" w:rsidR="00A81A7D" w:rsidRPr="00545D58" w:rsidRDefault="00A81A7D" w:rsidP="00A81A7D">
      <w:pPr>
        <w:spacing w:after="0" w:line="360" w:lineRule="auto"/>
        <w:ind w:firstLine="708"/>
        <w:jc w:val="both"/>
        <w:rPr>
          <w:rFonts w:ascii="Arial" w:hAnsi="Arial" w:cs="Arial"/>
        </w:rPr>
      </w:pPr>
      <w:r w:rsidRPr="00545D58">
        <w:rPr>
          <w:rFonts w:ascii="Arial" w:hAnsi="Arial" w:cs="Arial"/>
        </w:rPr>
        <w:t>A associação de antibacterianos deve ser compreendida como uma intervenção que modifica o ambiente microbiológico presente no organismo. Cada fármaco exerce pressão seletiva própria, determinada por seu mecanismo de ação, perfil farmacodinâmico e alcance sobre diferentes populações bacterianas</w:t>
      </w:r>
      <w:r>
        <w:rPr>
          <w:rFonts w:ascii="Arial" w:hAnsi="Arial" w:cs="Arial"/>
        </w:rPr>
        <w:t xml:space="preserve"> </w:t>
      </w:r>
      <w:sdt>
        <w:sdtPr>
          <w:rPr>
            <w:rFonts w:ascii="Arial" w:hAnsi="Arial" w:cs="Arial"/>
            <w:color w:val="000000"/>
          </w:rPr>
          <w:tag w:val="MENDELEY_CITATION_v3_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723909163"/>
          <w:placeholder>
            <w:docPart w:val="5844B80D403148D2970562F589B7E38C"/>
          </w:placeholder>
        </w:sdtPr>
        <w:sdtEndPr/>
        <w:sdtContent>
          <w:r w:rsidRPr="00A81A7D">
            <w:rPr>
              <w:rFonts w:ascii="Arial" w:hAnsi="Arial" w:cs="Arial"/>
              <w:color w:val="000000"/>
            </w:rPr>
            <w:t>(1,2)</w:t>
          </w:r>
        </w:sdtContent>
      </w:sdt>
      <w:r w:rsidRPr="00545D58">
        <w:rPr>
          <w:rFonts w:ascii="Arial" w:hAnsi="Arial" w:cs="Arial"/>
        </w:rPr>
        <w:t>.</w:t>
      </w:r>
    </w:p>
    <w:p w14:paraId="1D4CBDB8" w14:textId="0AF44DB2"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Quando dois antibacterianos são utilizados simultaneamente, essas pressões passam a atuar de forma paralela sobre o ecossistema microbiano do paciente. O efeito não se restringe ao microrganismo responsável pela infecção. Populações comensais e microrganismos transitórios que compartilham o mesmo nicho anatômico também são expostos à intervenção farmacológica</w:t>
      </w:r>
      <w:r>
        <w:rPr>
          <w:rFonts w:ascii="Arial" w:hAnsi="Arial" w:cs="Arial"/>
        </w:rPr>
        <w:t xml:space="preserve"> </w:t>
      </w:r>
      <w:sdt>
        <w:sdtPr>
          <w:rPr>
            <w:rFonts w:ascii="Arial" w:hAnsi="Arial" w:cs="Arial"/>
            <w:color w:val="000000"/>
          </w:rPr>
          <w:tag w:val="MENDELEY_CITATION_v3_eyJjaXRhdGlvbklEIjoiTUVOREVMRVlfQ0lUQVRJT05fMGIwMDU4ZjQtODFmNy00OWQzLTg1ODgtNTM2YjkwYzJjZWY3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
          <w:id w:val="1632673223"/>
          <w:placeholder>
            <w:docPart w:val="5844B80D403148D2970562F589B7E38C"/>
          </w:placeholder>
        </w:sdtPr>
        <w:sdtEndPr/>
        <w:sdtContent>
          <w:r w:rsidRPr="00A81A7D">
            <w:rPr>
              <w:rFonts w:ascii="Arial" w:hAnsi="Arial" w:cs="Arial"/>
              <w:color w:val="000000"/>
            </w:rPr>
            <w:t>(1)</w:t>
          </w:r>
        </w:sdtContent>
      </w:sdt>
      <w:r w:rsidRPr="00545D58">
        <w:rPr>
          <w:rFonts w:ascii="Arial" w:hAnsi="Arial" w:cs="Arial"/>
        </w:rPr>
        <w:t>.</w:t>
      </w:r>
    </w:p>
    <w:p w14:paraId="24170D5E" w14:textId="5EEFC019"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 xml:space="preserve">Esse processo altera a composição da microbiota e cria novos gradientes de seleção bacteriana. Espécies mais suscetíveis tendem a ser reduzidas, enquanto microrganismos com menor </w:t>
      </w:r>
      <w:proofErr w:type="gramStart"/>
      <w:r w:rsidRPr="00545D58">
        <w:rPr>
          <w:rFonts w:ascii="Arial" w:hAnsi="Arial" w:cs="Arial"/>
        </w:rPr>
        <w:t>suscetibilidade relativa podem</w:t>
      </w:r>
      <w:proofErr w:type="gramEnd"/>
      <w:r w:rsidRPr="00545D58">
        <w:rPr>
          <w:rFonts w:ascii="Arial" w:hAnsi="Arial" w:cs="Arial"/>
        </w:rPr>
        <w:t xml:space="preserve"> persistir ou expandir-se no ambiente modificado</w:t>
      </w:r>
      <w:r>
        <w:rPr>
          <w:rFonts w:ascii="Arial" w:hAnsi="Arial" w:cs="Arial"/>
        </w:rPr>
        <w:t xml:space="preserve"> </w:t>
      </w:r>
      <w:sdt>
        <w:sdtPr>
          <w:rPr>
            <w:rFonts w:ascii="Arial" w:hAnsi="Arial" w:cs="Arial"/>
            <w:color w:val="000000"/>
          </w:rPr>
          <w:tag w:val="MENDELEY_CITATION_v3_eyJjaXRhdGlvbklEIjoiTUVOREVMRVlfQ0lUQVRJT05fNDM3MWU3YzUtZTlhOC00Yjc1LThkYzktOWEyYTJjZjM2NGIw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
          <w:id w:val="-565725821"/>
          <w:placeholder>
            <w:docPart w:val="5844B80D403148D2970562F589B7E38C"/>
          </w:placeholder>
        </w:sdtPr>
        <w:sdtEndPr/>
        <w:sdtContent>
          <w:r w:rsidRPr="00A81A7D">
            <w:rPr>
              <w:rFonts w:ascii="Arial" w:hAnsi="Arial" w:cs="Arial"/>
              <w:color w:val="000000"/>
            </w:rPr>
            <w:t>(1)</w:t>
          </w:r>
        </w:sdtContent>
      </w:sdt>
      <w:r w:rsidRPr="00545D58">
        <w:rPr>
          <w:rFonts w:ascii="Arial" w:hAnsi="Arial" w:cs="Arial"/>
        </w:rPr>
        <w:t>.</w:t>
      </w:r>
    </w:p>
    <w:p w14:paraId="23689A9A" w14:textId="77777777"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Do ponto de vista do patógeno envolvido na infecção, a exposição combinada pode produzir diferentes cenários. A interação entre os agentes pode acelerar a redução da carga bacteriana, modificar a probabilidade de sobrevivência de subpopulações menos suscetíveis ou, em algumas situações, não produzir efeito adicional relevante quando comparada à monoterapia adequada.</w:t>
      </w:r>
    </w:p>
    <w:p w14:paraId="7EFFDC69" w14:textId="1FF1DD40"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 xml:space="preserve">Entretanto, a alteração ecológica provocada pela associação ultrapassa o patógeno tratado. A microbiota intestinal, por exemplo, constitui um ecossistema complexo que participa de funções metabólicas, imunológicas e de proteção contra colonização por patógenos. </w:t>
      </w:r>
      <w:r w:rsidRPr="00A01DC5">
        <w:rPr>
          <w:rFonts w:ascii="Arial" w:hAnsi="Arial" w:cs="Arial"/>
        </w:rPr>
        <w:t>A exposição a antibacterianos, especialmente de amplo espectro ou em combinações terapêuticas, pode reduzir significativamente a diversidade da microbiota intestinal</w:t>
      </w:r>
      <w:r>
        <w:rPr>
          <w:rFonts w:ascii="Arial" w:hAnsi="Arial" w:cs="Arial"/>
        </w:rPr>
        <w:t xml:space="preserve"> </w:t>
      </w:r>
      <w:sdt>
        <w:sdtPr>
          <w:rPr>
            <w:rFonts w:ascii="Arial" w:hAnsi="Arial" w:cs="Arial"/>
            <w:color w:val="000000"/>
          </w:rPr>
          <w:tag w:val="MENDELEY_CITATION_v3_eyJjaXRhdGlvbklEIjoiTUVOREVMRVlfQ0lUQVRJT05fOTFjNmE2YzUtN2NhZi00YzM4LTk1MzgtZDVlNWZkODRmOTRh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
          <w:id w:val="-455102259"/>
          <w:placeholder>
            <w:docPart w:val="5844B80D403148D2970562F589B7E38C"/>
          </w:placeholder>
        </w:sdtPr>
        <w:sdtEndPr/>
        <w:sdtContent>
          <w:r w:rsidRPr="00A81A7D">
            <w:rPr>
              <w:rFonts w:ascii="Arial" w:hAnsi="Arial" w:cs="Arial"/>
              <w:color w:val="000000"/>
            </w:rPr>
            <w:t>(1)</w:t>
          </w:r>
        </w:sdtContent>
      </w:sdt>
      <w:r w:rsidRPr="00545D58">
        <w:rPr>
          <w:rFonts w:ascii="Arial" w:hAnsi="Arial" w:cs="Arial"/>
        </w:rPr>
        <w:t>.</w:t>
      </w:r>
    </w:p>
    <w:p w14:paraId="38B79983" w14:textId="112E0F71"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 xml:space="preserve">A perda dessa diversidade facilita a expansão de microrganismos oportunistas previamente suprimidos. A infecção por </w:t>
      </w:r>
      <w:proofErr w:type="spellStart"/>
      <w:r w:rsidRPr="00545D58">
        <w:rPr>
          <w:rFonts w:ascii="Arial" w:hAnsi="Arial" w:cs="Arial"/>
        </w:rPr>
        <w:t>Clostridioides</w:t>
      </w:r>
      <w:proofErr w:type="spellEnd"/>
      <w:r w:rsidRPr="00545D58">
        <w:rPr>
          <w:rFonts w:ascii="Arial" w:hAnsi="Arial" w:cs="Arial"/>
        </w:rPr>
        <w:t xml:space="preserve"> </w:t>
      </w:r>
      <w:proofErr w:type="spellStart"/>
      <w:r w:rsidRPr="00545D58">
        <w:rPr>
          <w:rFonts w:ascii="Arial" w:hAnsi="Arial" w:cs="Arial"/>
        </w:rPr>
        <w:t>difficile</w:t>
      </w:r>
      <w:proofErr w:type="spellEnd"/>
      <w:r w:rsidRPr="00545D58">
        <w:rPr>
          <w:rFonts w:ascii="Arial" w:hAnsi="Arial" w:cs="Arial"/>
        </w:rPr>
        <w:t xml:space="preserve"> constitui um exemplo clássico desse processo: a redução da flora intestinal protetora cria condições favoráveis para proliferação bacteriana e produção de toxinas</w:t>
      </w:r>
      <w:r>
        <w:rPr>
          <w:rFonts w:ascii="Arial" w:hAnsi="Arial" w:cs="Arial"/>
        </w:rPr>
        <w:t xml:space="preserve"> </w:t>
      </w:r>
      <w:sdt>
        <w:sdtPr>
          <w:rPr>
            <w:rFonts w:ascii="Arial" w:hAnsi="Arial" w:cs="Arial"/>
            <w:color w:val="000000"/>
          </w:rPr>
          <w:tag w:val="MENDELEY_CITATION_v3_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"/>
          <w:id w:val="-665314732"/>
          <w:placeholder>
            <w:docPart w:val="5844B80D403148D2970562F589B7E38C"/>
          </w:placeholder>
        </w:sdtPr>
        <w:sdtEndPr/>
        <w:sdtContent>
          <w:r w:rsidRPr="00A81A7D">
            <w:rPr>
              <w:rFonts w:ascii="Arial" w:hAnsi="Arial" w:cs="Arial"/>
              <w:color w:val="000000"/>
            </w:rPr>
            <w:t>(3)</w:t>
          </w:r>
        </w:sdtContent>
      </w:sdt>
      <w:r w:rsidRPr="00545D58">
        <w:rPr>
          <w:rFonts w:ascii="Arial" w:hAnsi="Arial" w:cs="Arial"/>
        </w:rPr>
        <w:t>.</w:t>
      </w:r>
    </w:p>
    <w:p w14:paraId="768909AF" w14:textId="77777777"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 xml:space="preserve">Esses efeitos demonstram que a associação antibacteriana não atua apenas sobre o patógeno responsável pela infecção. Ela reorganiza temporariamente o </w:t>
      </w:r>
      <w:r w:rsidRPr="00545D58">
        <w:rPr>
          <w:rFonts w:ascii="Arial" w:hAnsi="Arial" w:cs="Arial"/>
        </w:rPr>
        <w:lastRenderedPageBreak/>
        <w:t>ecossistema microbiano do paciente e amplia a pressão seletiva exercida sobre múltiplas populações bacterianas.</w:t>
      </w:r>
    </w:p>
    <w:p w14:paraId="02456947" w14:textId="77777777" w:rsidR="00A81A7D"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Por essa razão, a utilização simultânea de antibacterianos deve estar vinculada a um objetivo biológico claro. Quando esse objetivo não está presente, a associação tende a ampliar a exposição ecológica sem produzir benefício proporcional na dinâmica infecciosa.</w:t>
      </w:r>
    </w:p>
    <w:p w14:paraId="3BE46F15" w14:textId="77777777" w:rsidR="00A81A7D" w:rsidRDefault="00A81A7D" w:rsidP="00A81A7D">
      <w:pPr>
        <w:spacing w:after="0" w:line="360" w:lineRule="auto"/>
        <w:jc w:val="both"/>
        <w:rPr>
          <w:rFonts w:ascii="Arial" w:hAnsi="Arial" w:cs="Arial"/>
        </w:rPr>
      </w:pPr>
    </w:p>
    <w:p w14:paraId="45864B80" w14:textId="34C3EC7B"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57</w:t>
      </w:r>
    </w:p>
    <w:p w14:paraId="4C0B5A4C" w14:textId="77777777" w:rsidR="00A81A7D" w:rsidRDefault="00A81A7D" w:rsidP="00A81A7D">
      <w:pPr>
        <w:spacing w:after="0" w:line="360" w:lineRule="auto"/>
        <w:jc w:val="right"/>
        <w:rPr>
          <w:rFonts w:ascii="Arial" w:hAnsi="Arial" w:cs="Arial"/>
        </w:rPr>
      </w:pPr>
    </w:p>
    <w:p w14:paraId="6A93E58E" w14:textId="77777777" w:rsidR="00A81A7D" w:rsidRPr="00545D58" w:rsidRDefault="00A81A7D" w:rsidP="00A81A7D">
      <w:pPr>
        <w:spacing w:after="0" w:line="360" w:lineRule="auto"/>
        <w:jc w:val="both"/>
        <w:rPr>
          <w:rFonts w:ascii="Arial" w:hAnsi="Arial" w:cs="Arial"/>
          <w:b/>
          <w:bCs/>
        </w:rPr>
      </w:pPr>
      <w:r w:rsidRPr="00545D58">
        <w:rPr>
          <w:rFonts w:ascii="Arial" w:hAnsi="Arial" w:cs="Arial"/>
          <w:b/>
          <w:bCs/>
        </w:rPr>
        <w:t>Interações entre antibacterianos</w:t>
      </w:r>
    </w:p>
    <w:p w14:paraId="46DA7185" w14:textId="77777777" w:rsidR="00A81A7D" w:rsidRPr="00545D58" w:rsidRDefault="00A81A7D" w:rsidP="00A81A7D">
      <w:pPr>
        <w:spacing w:after="0" w:line="360" w:lineRule="auto"/>
        <w:jc w:val="both"/>
        <w:rPr>
          <w:rFonts w:ascii="Arial" w:hAnsi="Arial" w:cs="Arial"/>
          <w:b/>
          <w:bCs/>
        </w:rPr>
      </w:pPr>
    </w:p>
    <w:p w14:paraId="4541DB99" w14:textId="3294AD3E" w:rsidR="00A81A7D" w:rsidRPr="00545D58" w:rsidRDefault="00A81A7D" w:rsidP="00A81A7D">
      <w:pPr>
        <w:spacing w:after="0" w:line="360" w:lineRule="auto"/>
        <w:ind w:firstLine="708"/>
        <w:jc w:val="both"/>
        <w:rPr>
          <w:rFonts w:ascii="Arial" w:hAnsi="Arial" w:cs="Arial"/>
        </w:rPr>
      </w:pPr>
      <w:r w:rsidRPr="00545D58">
        <w:rPr>
          <w:rFonts w:ascii="Arial" w:hAnsi="Arial" w:cs="Arial"/>
        </w:rPr>
        <w:t>Quando dois antibacterianos são utilizados simultaneamente, a interação entre eles pode modificar o comportamento da população bacteriana exposta. Essas interações são tradicionalmente classificadas em sinergismo, efeito aditivo, indiferença ou antagonismo, dependendo do resultado produzido pela combinação</w:t>
      </w:r>
      <w:r>
        <w:rPr>
          <w:rFonts w:ascii="Arial" w:hAnsi="Arial" w:cs="Arial"/>
        </w:rPr>
        <w:t xml:space="preserve"> </w:t>
      </w:r>
      <w:sdt>
        <w:sdtPr>
          <w:rPr>
            <w:rFonts w:ascii="Arial" w:hAnsi="Arial" w:cs="Arial"/>
            <w:color w:val="000000"/>
          </w:rPr>
          <w:tag w:val="MENDELEY_CITATION_v3_eyJjaXRhdGlvbklEIjoiTUVOREVMRVlfQ0lUQVRJT05fM2I2YTVhMzUtNmEyMS00YWExLTg1ZmQtOTQ3MmRjMTVkODBj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
          <w:id w:val="2115715325"/>
          <w:placeholder>
            <w:docPart w:val="5844B80D403148D2970562F589B7E38C"/>
          </w:placeholder>
        </w:sdtPr>
        <w:sdtEndPr/>
        <w:sdtContent>
          <w:r w:rsidRPr="00A81A7D">
            <w:rPr>
              <w:rFonts w:ascii="Arial" w:hAnsi="Arial" w:cs="Arial"/>
              <w:color w:val="000000"/>
            </w:rPr>
            <w:t>(4)</w:t>
          </w:r>
        </w:sdtContent>
      </w:sdt>
      <w:r w:rsidRPr="00545D58">
        <w:rPr>
          <w:rFonts w:ascii="Arial" w:hAnsi="Arial" w:cs="Arial"/>
        </w:rPr>
        <w:t>.</w:t>
      </w:r>
    </w:p>
    <w:p w14:paraId="0A926616" w14:textId="406A5CD8"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O sinergismo ocorre quando a atividade antimicrobiana observada com a combinação de dois fármacos é superior àquela obtida com cada agente isoladamente. Nesse caso, a ação de um antibacteriano favorece ou potencializa a atividade do outro</w:t>
      </w:r>
      <w:r>
        <w:rPr>
          <w:rFonts w:ascii="Arial" w:hAnsi="Arial" w:cs="Arial"/>
        </w:rPr>
        <w:t xml:space="preserve"> </w:t>
      </w:r>
      <w:sdt>
        <w:sdtPr>
          <w:rPr>
            <w:rFonts w:ascii="Arial" w:hAnsi="Arial" w:cs="Arial"/>
            <w:color w:val="000000"/>
          </w:rPr>
          <w:tag w:val="MENDELEY_CITATION_v3_eyJjaXRhdGlvbklEIjoiTUVOREVMRVlfQ0lUQVRJT05fNmM2MmRjZTYtNzBkYi00YjdmLTg1OTEtZTIzNDY4NGU1NGI1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
          <w:id w:val="519204775"/>
          <w:placeholder>
            <w:docPart w:val="5844B80D403148D2970562F589B7E38C"/>
          </w:placeholder>
        </w:sdtPr>
        <w:sdtEndPr/>
        <w:sdtContent>
          <w:r w:rsidRPr="00A81A7D">
            <w:rPr>
              <w:rFonts w:ascii="Arial" w:hAnsi="Arial" w:cs="Arial"/>
              <w:color w:val="000000"/>
            </w:rPr>
            <w:t>(4)</w:t>
          </w:r>
        </w:sdtContent>
      </w:sdt>
      <w:r w:rsidRPr="00545D58">
        <w:rPr>
          <w:rFonts w:ascii="Arial" w:hAnsi="Arial" w:cs="Arial"/>
        </w:rPr>
        <w:t>.</w:t>
      </w:r>
    </w:p>
    <w:p w14:paraId="2D6303E1" w14:textId="77777777"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Esse fenômeno pode surgir quando um fármaco altera estruturas bacterianas que facilitam a ação do segundo agente. A interferência na parede celular, por exemplo, pode aumentar a penetração de moléculas que atuam em alvos intracelulares. Em outras situações, a combinação bloqueia etapas sequenciais de uma mesma via metabólica, reduzindo a capacidade de adaptação bacteriana.</w:t>
      </w:r>
    </w:p>
    <w:p w14:paraId="4A9896D2" w14:textId="1415F557"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Em determinadas circunstâncias, o sinergismo pode acelerar a redução da carga bacteriana ou diminuir a probabilidade de sobrevivência de subpopulações parcialmente menos suscetíveis. Entretanto, o sinergismo demonstrado em experimentos laboratoriais não se traduz automaticamente em benefício clínico consistente. A magnitude do efeito depende da concentração efetivamente alcançada no foco infeccioso, da densidade bacteriana inicial e do estado metabólico das células presentes</w:t>
      </w:r>
      <w:r>
        <w:rPr>
          <w:rFonts w:ascii="Arial" w:hAnsi="Arial" w:cs="Arial"/>
        </w:rPr>
        <w:t xml:space="preserve"> </w:t>
      </w:r>
      <w:sdt>
        <w:sdtPr>
          <w:rPr>
            <w:rFonts w:ascii="Arial" w:hAnsi="Arial" w:cs="Arial"/>
            <w:color w:val="000000"/>
          </w:rPr>
          <w:tag w:val="MENDELEY_CITATION_v3_eyJjaXRhdGlvbklEIjoiTUVOREVMRVlfQ0lUQVRJT05fMzQ0OGViYmQtM2I5Yi00N2UzLTlhMWItNmFhYWIwZWI3MzM4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
          <w:id w:val="1899321599"/>
          <w:placeholder>
            <w:docPart w:val="5844B80D403148D2970562F589B7E38C"/>
          </w:placeholder>
        </w:sdtPr>
        <w:sdtEndPr/>
        <w:sdtContent>
          <w:r w:rsidRPr="00A81A7D">
            <w:rPr>
              <w:rFonts w:ascii="Arial" w:hAnsi="Arial" w:cs="Arial"/>
              <w:color w:val="000000"/>
            </w:rPr>
            <w:t>(4)</w:t>
          </w:r>
        </w:sdtContent>
      </w:sdt>
      <w:r w:rsidRPr="00545D58">
        <w:rPr>
          <w:rFonts w:ascii="Arial" w:hAnsi="Arial" w:cs="Arial"/>
        </w:rPr>
        <w:t>.</w:t>
      </w:r>
    </w:p>
    <w:p w14:paraId="5ADEC616" w14:textId="77777777"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Outra possibilidade é o efeito aditivo, no qual a combinação produz resultado equivalente à soma das atividades individuais de cada antibacteriano. Nesse cenário, não há interação biológica relevante entre os agentes, e o efeito observado reflete apenas a contribuição independente de cada fármaco.</w:t>
      </w:r>
    </w:p>
    <w:p w14:paraId="2F6224FE" w14:textId="77777777" w:rsidR="00A81A7D" w:rsidRPr="00545D58" w:rsidRDefault="00A81A7D" w:rsidP="00A81A7D">
      <w:pPr>
        <w:spacing w:after="0" w:line="360" w:lineRule="auto"/>
        <w:jc w:val="both"/>
        <w:rPr>
          <w:rFonts w:ascii="Arial" w:hAnsi="Arial" w:cs="Arial"/>
        </w:rPr>
      </w:pPr>
      <w:r>
        <w:rPr>
          <w:rFonts w:ascii="Arial" w:hAnsi="Arial" w:cs="Arial"/>
        </w:rPr>
        <w:lastRenderedPageBreak/>
        <w:tab/>
      </w:r>
      <w:r w:rsidRPr="00545D58">
        <w:rPr>
          <w:rFonts w:ascii="Arial" w:hAnsi="Arial" w:cs="Arial"/>
        </w:rPr>
        <w:t>Também pode ocorrer indiferença, situação em que a associação não altera de forma significativa a resposta obtida com monoterapia adequada. A presença de dois agentes ativos não modifica substancialmente a dinâmica infecciosa.</w:t>
      </w:r>
    </w:p>
    <w:p w14:paraId="6331E66F" w14:textId="77777777" w:rsidR="00A81A7D" w:rsidRPr="00545D58"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 xml:space="preserve">Por fim, existe a possibilidade de antagonismo farmacológico. Esse fenômeno ocorre quando a ação de um antibacteriano interfere no mecanismo necessário para a atividade do outro, reduzindo a eficácia global da combinação. </w:t>
      </w:r>
      <w:r w:rsidRPr="00A01DC5">
        <w:rPr>
          <w:rFonts w:ascii="Arial" w:hAnsi="Arial" w:cs="Arial"/>
        </w:rPr>
        <w:t>Um exemplo clássico descrito em modelos experimentais envolve a combinação de agentes bacteriostáticos que reduzem a taxa de divisão bacteriana com antibacterianos cuja atividade depende de crescimento celular ativo. Entretanto, evidências clínicas demonstram que antagonismo relevante é incomum nas combinações atualmente utilizadas na prática clínica.</w:t>
      </w:r>
    </w:p>
    <w:p w14:paraId="0C621914" w14:textId="77777777" w:rsidR="00A81A7D" w:rsidRPr="00545D58" w:rsidRDefault="00A81A7D" w:rsidP="00A81A7D">
      <w:pPr>
        <w:spacing w:after="0" w:line="360" w:lineRule="auto"/>
        <w:ind w:firstLine="708"/>
        <w:jc w:val="both"/>
        <w:rPr>
          <w:rFonts w:ascii="Arial" w:hAnsi="Arial" w:cs="Arial"/>
        </w:rPr>
      </w:pPr>
      <w:r w:rsidRPr="00545D58">
        <w:rPr>
          <w:rFonts w:ascii="Arial" w:hAnsi="Arial" w:cs="Arial"/>
        </w:rPr>
        <w:t>Na prática clínica contemporânea, antagonismo relevante é menos frequente do que se supunha em modelos experimentais antigos. Ainda assim, o conceito ilustra que associação antibacteriana não é sinônimo automático de maior eficácia.</w:t>
      </w:r>
    </w:p>
    <w:p w14:paraId="2A68C532" w14:textId="77777777" w:rsidR="00A81A7D" w:rsidRDefault="00A81A7D" w:rsidP="00A81A7D">
      <w:pPr>
        <w:spacing w:after="0" w:line="360" w:lineRule="auto"/>
        <w:jc w:val="both"/>
        <w:rPr>
          <w:rFonts w:ascii="Arial" w:hAnsi="Arial" w:cs="Arial"/>
        </w:rPr>
      </w:pPr>
      <w:r>
        <w:rPr>
          <w:rFonts w:ascii="Arial" w:hAnsi="Arial" w:cs="Arial"/>
        </w:rPr>
        <w:tab/>
      </w:r>
      <w:r w:rsidRPr="00545D58">
        <w:rPr>
          <w:rFonts w:ascii="Arial" w:hAnsi="Arial" w:cs="Arial"/>
        </w:rPr>
        <w:t>Assim, a interação entre antibacterianos deve ser interpretada dentro de um contexto biológico específico. O comportamento observado em modelos laboratoriais fornece informações úteis, mas o efeito clínico depende de múltiplos fatores, incluindo concentração do fármaco no sítio da infecção, carga bacteriana e características fisiológicas do patógeno envolvido.</w:t>
      </w:r>
    </w:p>
    <w:p w14:paraId="1061DA18" w14:textId="77777777" w:rsidR="00A81A7D" w:rsidRDefault="00A81A7D" w:rsidP="00A81A7D">
      <w:pPr>
        <w:spacing w:after="0" w:line="360" w:lineRule="auto"/>
        <w:jc w:val="both"/>
        <w:rPr>
          <w:rFonts w:ascii="Arial" w:hAnsi="Arial" w:cs="Arial"/>
        </w:rPr>
      </w:pPr>
    </w:p>
    <w:p w14:paraId="14F896C6" w14:textId="3EA93819"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58</w:t>
      </w:r>
    </w:p>
    <w:p w14:paraId="1FBCEB6B" w14:textId="77777777" w:rsidR="00A81A7D" w:rsidRDefault="00A81A7D" w:rsidP="00A81A7D">
      <w:pPr>
        <w:spacing w:after="0" w:line="360" w:lineRule="auto"/>
        <w:jc w:val="both"/>
        <w:rPr>
          <w:rFonts w:ascii="Arial" w:hAnsi="Arial" w:cs="Arial"/>
          <w:b/>
          <w:bCs/>
        </w:rPr>
      </w:pPr>
    </w:p>
    <w:p w14:paraId="2DA03845" w14:textId="77777777" w:rsidR="00A81A7D" w:rsidRPr="00CB72C4" w:rsidRDefault="00A81A7D" w:rsidP="00A81A7D">
      <w:pPr>
        <w:spacing w:after="0" w:line="360" w:lineRule="auto"/>
        <w:jc w:val="both"/>
        <w:rPr>
          <w:rFonts w:ascii="Arial" w:hAnsi="Arial" w:cs="Arial"/>
          <w:b/>
          <w:bCs/>
        </w:rPr>
      </w:pPr>
      <w:r w:rsidRPr="00CB72C4">
        <w:rPr>
          <w:rFonts w:ascii="Arial" w:hAnsi="Arial" w:cs="Arial"/>
          <w:b/>
          <w:bCs/>
        </w:rPr>
        <w:t xml:space="preserve">Associação </w:t>
      </w:r>
    </w:p>
    <w:p w14:paraId="769B8515" w14:textId="77777777" w:rsidR="00A81A7D" w:rsidRPr="00CB72C4" w:rsidRDefault="00A81A7D" w:rsidP="00A81A7D">
      <w:pPr>
        <w:spacing w:after="0" w:line="360" w:lineRule="auto"/>
        <w:jc w:val="both"/>
        <w:rPr>
          <w:rFonts w:ascii="Arial" w:hAnsi="Arial" w:cs="Arial"/>
          <w:b/>
          <w:bCs/>
        </w:rPr>
      </w:pPr>
    </w:p>
    <w:p w14:paraId="474D648C" w14:textId="49092416" w:rsidR="00A81A7D" w:rsidRPr="000D275C" w:rsidRDefault="00A81A7D" w:rsidP="00A81A7D">
      <w:pPr>
        <w:spacing w:after="0" w:line="360" w:lineRule="auto"/>
        <w:ind w:firstLine="708"/>
        <w:jc w:val="both"/>
        <w:rPr>
          <w:rFonts w:ascii="Arial" w:hAnsi="Arial" w:cs="Arial"/>
        </w:rPr>
      </w:pPr>
      <w:r w:rsidRPr="000D275C">
        <w:rPr>
          <w:rFonts w:ascii="Arial" w:hAnsi="Arial" w:cs="Arial"/>
        </w:rPr>
        <w:t>A associação de antibacterianos pode ser utilizada com objetivo distinto do sinergismo: ampliar a cobertura microbiológica quando existe incerteza etiológica relevante no início do tratamento. Nesse cenário, o propósito não é potencializar a ação sobre um mesmo microrganismo, mas garantir que diferentes grupos bacterianos potencialmente envolvidos sejam contemplados na fase inicial da terapia</w:t>
      </w:r>
      <w:r>
        <w:rPr>
          <w:rFonts w:ascii="Arial" w:hAnsi="Arial" w:cs="Arial"/>
        </w:rPr>
        <w:t xml:space="preserve"> </w:t>
      </w:r>
      <w:sdt>
        <w:sdtPr>
          <w:rPr>
            <w:rFonts w:ascii="Arial" w:hAnsi="Arial" w:cs="Arial"/>
            <w:color w:val="000000"/>
          </w:rPr>
          <w:tag w:val="MENDELEY_CITATION_v3_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"/>
          <w:id w:val="-170951945"/>
          <w:placeholder>
            <w:docPart w:val="5844B80D403148D2970562F589B7E38C"/>
          </w:placeholder>
        </w:sdtPr>
        <w:sdtEndPr/>
        <w:sdtContent>
          <w:r w:rsidRPr="00A81A7D">
            <w:rPr>
              <w:rFonts w:ascii="Arial" w:hAnsi="Arial" w:cs="Arial"/>
              <w:color w:val="000000"/>
            </w:rPr>
            <w:t>(4,5)</w:t>
          </w:r>
        </w:sdtContent>
      </w:sdt>
      <w:r w:rsidRPr="000D275C">
        <w:rPr>
          <w:rFonts w:ascii="Arial" w:hAnsi="Arial" w:cs="Arial"/>
        </w:rPr>
        <w:t>.</w:t>
      </w:r>
    </w:p>
    <w:p w14:paraId="7F173AAD"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Essa estratégia é considerada principalmente em situações nas quais a gravidade clínica exige início imediato do tratamento antes da definição etiológica. Quando a probabilidade diagnóstica envolve microrganismos estruturalmente distintos, com perfis de suscetibilidade não sobrepostos, a exposição simultânea a dois agentes reduz o risco de que o patógeno responsável permaneça sem cobertura adequada nas primeiras horas de evolução.</w:t>
      </w:r>
    </w:p>
    <w:p w14:paraId="39330DA9" w14:textId="35F6CE15"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 xml:space="preserve">Entretanto, a ampliação de espectro deve ser compreendida como medida transitória. À medida que dados microbiológicos </w:t>
      </w:r>
      <w:proofErr w:type="gramStart"/>
      <w:r w:rsidRPr="000D275C">
        <w:rPr>
          <w:rFonts w:ascii="Arial" w:hAnsi="Arial" w:cs="Arial"/>
        </w:rPr>
        <w:t>tornam-se</w:t>
      </w:r>
      <w:proofErr w:type="gramEnd"/>
      <w:r w:rsidRPr="000D275C">
        <w:rPr>
          <w:rFonts w:ascii="Arial" w:hAnsi="Arial" w:cs="Arial"/>
        </w:rPr>
        <w:t xml:space="preserve"> disponíveis e o perfil de </w:t>
      </w:r>
      <w:r w:rsidRPr="000D275C">
        <w:rPr>
          <w:rFonts w:ascii="Arial" w:hAnsi="Arial" w:cs="Arial"/>
        </w:rPr>
        <w:lastRenderedPageBreak/>
        <w:t>suscetibilidade do agente é conhecido, a manutenção de cobertura redundante perde justificativa biológica</w:t>
      </w:r>
      <w:r>
        <w:rPr>
          <w:rFonts w:ascii="Arial" w:hAnsi="Arial" w:cs="Arial"/>
        </w:rPr>
        <w:t xml:space="preserve"> </w:t>
      </w:r>
      <w:sdt>
        <w:sdtPr>
          <w:rPr>
            <w:rFonts w:ascii="Arial" w:hAnsi="Arial" w:cs="Arial"/>
            <w:color w:val="000000"/>
          </w:rPr>
          <w:tag w:val="MENDELEY_CITATION_v3_eyJjaXRhdGlvbklEIjoiTUVOREVMRVlfQ0lUQVRJT05fZmFhNWRjMmYtODk2MC00NWEyLWFjYjEtYTllMjI4YTk3Nzgx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
          <w:id w:val="1884597732"/>
          <w:placeholder>
            <w:docPart w:val="5844B80D403148D2970562F589B7E38C"/>
          </w:placeholder>
        </w:sdtPr>
        <w:sdtEndPr/>
        <w:sdtContent>
          <w:r w:rsidRPr="00A81A7D">
            <w:rPr>
              <w:rFonts w:ascii="Arial" w:hAnsi="Arial" w:cs="Arial"/>
              <w:color w:val="000000"/>
            </w:rPr>
            <w:t>(4)</w:t>
          </w:r>
        </w:sdtContent>
      </w:sdt>
      <w:r w:rsidRPr="000D275C">
        <w:rPr>
          <w:rFonts w:ascii="Arial" w:hAnsi="Arial" w:cs="Arial"/>
        </w:rPr>
        <w:t>.</w:t>
      </w:r>
    </w:p>
    <w:p w14:paraId="769FEE53"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Persistir com dois antibacterianos ativos contra o mesmo microrganismo não aumenta proporcionalmente a eficácia terapêutica. Em muitos casos, a combinação apenas amplia a exposição farmacológica e intensifica a pressão seletiva sobre populações bacterianas que não participam do processo infeccioso inicial.</w:t>
      </w:r>
    </w:p>
    <w:p w14:paraId="7086CF80"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Por essa razão, a associação empírica exige planejamento de reavaliação. O momento de revisar o esquema terapêutico não é opcional; faz parte da própria estratégia de manejo. A ausência dessa etapa transforma uma medida inicial de redução de risco em exposição excessiva prolongada.</w:t>
      </w:r>
    </w:p>
    <w:p w14:paraId="7ED34A52"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Outro ponto importante é distinguir cobertura complementar de cobertura duplicada. A cobertura complementar ocorre quando cada antibacteriano atua sobre grupos bacterianos distintos, ampliando o espectro global do tratamento. Já a duplicação de espectro ocorre quando dois agentes possuem atividade semelhante contra o mesmo conjunto de microrganismos.</w:t>
      </w:r>
    </w:p>
    <w:p w14:paraId="0AD7307E"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 sobreposição de espectros raramente produz benefício clínico relevante. Nesses casos, a combinação pode gerar sensação de maior segurança terapêutica sem alterar de forma significativa a probabilidade de sucesso do tratamento.</w:t>
      </w:r>
    </w:p>
    <w:p w14:paraId="7C6BF942"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Assim, a ampliação de cobertura deve ser proporcional ao grau de incerteza diagnóstica e à gravidade do quadro clínico. Uma vez que dados objetivos permitem identificar o agente causal e seu perfil de suscetibilidade, o tratamento deve ser reavaliado com o objetivo de reduzir a exposição antibacteriana ao mínimo necessário para controle da infecção.</w:t>
      </w:r>
    </w:p>
    <w:p w14:paraId="55464E9D" w14:textId="77777777" w:rsidR="00A81A7D" w:rsidRDefault="00A81A7D" w:rsidP="00A81A7D">
      <w:pPr>
        <w:spacing w:after="0" w:line="360" w:lineRule="auto"/>
        <w:jc w:val="both"/>
        <w:rPr>
          <w:rFonts w:ascii="Arial" w:hAnsi="Arial" w:cs="Arial"/>
        </w:rPr>
      </w:pPr>
    </w:p>
    <w:p w14:paraId="0542BDC6" w14:textId="4E3BF395" w:rsidR="00A81A7D" w:rsidRDefault="00A81A7D" w:rsidP="00A81A7D">
      <w:pPr>
        <w:spacing w:after="0" w:line="360" w:lineRule="auto"/>
        <w:jc w:val="right"/>
        <w:rPr>
          <w:rFonts w:ascii="Arial" w:hAnsi="Arial" w:cs="Arial"/>
        </w:rPr>
      </w:pPr>
      <w:r w:rsidRPr="0003129B">
        <w:rPr>
          <w:rFonts w:ascii="Arial" w:hAnsi="Arial" w:cs="Arial"/>
        </w:rPr>
        <w:t xml:space="preserve">Página </w:t>
      </w:r>
      <w:r>
        <w:rPr>
          <w:rFonts w:ascii="Arial" w:hAnsi="Arial" w:cs="Arial"/>
        </w:rPr>
        <w:t>5</w:t>
      </w:r>
      <w:r w:rsidR="008D0A20">
        <w:rPr>
          <w:rFonts w:ascii="Arial" w:hAnsi="Arial" w:cs="Arial"/>
        </w:rPr>
        <w:t>9</w:t>
      </w:r>
    </w:p>
    <w:p w14:paraId="6C76F525" w14:textId="77777777" w:rsidR="00A81A7D" w:rsidRDefault="00A81A7D" w:rsidP="00A81A7D">
      <w:pPr>
        <w:spacing w:after="0" w:line="360" w:lineRule="auto"/>
        <w:jc w:val="both"/>
        <w:rPr>
          <w:rFonts w:ascii="Arial" w:hAnsi="Arial" w:cs="Arial"/>
          <w:b/>
          <w:bCs/>
        </w:rPr>
      </w:pPr>
    </w:p>
    <w:p w14:paraId="2AA790B1" w14:textId="1D04FA39" w:rsidR="00A81A7D" w:rsidRPr="000D275C" w:rsidRDefault="00A81A7D" w:rsidP="00A81A7D">
      <w:pPr>
        <w:spacing w:after="0" w:line="360" w:lineRule="auto"/>
        <w:ind w:firstLine="708"/>
        <w:jc w:val="both"/>
        <w:rPr>
          <w:rFonts w:ascii="Arial" w:hAnsi="Arial" w:cs="Arial"/>
        </w:rPr>
      </w:pPr>
      <w:r w:rsidRPr="000D275C">
        <w:rPr>
          <w:rFonts w:ascii="Arial" w:hAnsi="Arial" w:cs="Arial"/>
        </w:rPr>
        <w:t>Outro racional para a associação de antibacterianos envolve a tentativa de reduzir a probabilidade de surgimento de resistência durante o tratamento. Esse princípio baseia-se na dinâmica populacional das bactérias quando expostas à pressão farmacológica</w:t>
      </w:r>
      <w:r>
        <w:rPr>
          <w:rFonts w:ascii="Arial" w:hAnsi="Arial" w:cs="Arial"/>
        </w:rPr>
        <w:t xml:space="preserve"> </w:t>
      </w:r>
      <w:sdt>
        <w:sdtPr>
          <w:rPr>
            <w:rFonts w:ascii="Arial" w:hAnsi="Arial" w:cs="Arial"/>
            <w:color w:val="000000"/>
          </w:rPr>
          <w:tag w:val="MENDELEY_CITATION_v3_eyJjaXRhdGlvbklEIjoiTUVOREVMRVlfQ0lUQVRJT05fMTE3YjgyOWYtNzVhMy00NTEwLTk5Y2QtY2VkYTQ1NDRkM2MzIiwicHJvcGVydGllcyI6eyJub3RlSW5kZXgiOjB9LCJpc0VkaXRlZCI6ZmFsc2UsIm1hbnVhbE92ZXJyaWRlIjp7ImlzTWFudWFsbHlPdmVycmlkZGVuIjpmYWxzZSwiY2l0ZXByb2NUZXh0IjoiKDI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1227672910"/>
          <w:placeholder>
            <w:docPart w:val="5844B80D403148D2970562F589B7E38C"/>
          </w:placeholder>
        </w:sdtPr>
        <w:sdtEndPr/>
        <w:sdtContent>
          <w:r w:rsidRPr="00A81A7D">
            <w:rPr>
              <w:rFonts w:ascii="Arial" w:hAnsi="Arial" w:cs="Arial"/>
              <w:color w:val="000000"/>
            </w:rPr>
            <w:t>(2)</w:t>
          </w:r>
        </w:sdtContent>
      </w:sdt>
      <w:r w:rsidRPr="000D275C">
        <w:rPr>
          <w:rFonts w:ascii="Arial" w:hAnsi="Arial" w:cs="Arial"/>
        </w:rPr>
        <w:t>.</w:t>
      </w:r>
    </w:p>
    <w:p w14:paraId="7966A0B4"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Em populações bacterianas extensas, variantes com mutações que conferem menor suscetibilidade a determinado antibacteriano podem existir em baixa frequência antes mesmo do início da terapia. Quando apenas um agente é utilizado, a eliminação das células mais sensíveis pode permitir a expansão dessas variantes, sobretudo se a exposição ao fármaco não for plenamente supressiva.</w:t>
      </w:r>
    </w:p>
    <w:p w14:paraId="71300163" w14:textId="42141844" w:rsidR="00A81A7D" w:rsidRPr="000D275C" w:rsidRDefault="00A81A7D" w:rsidP="00A81A7D">
      <w:pPr>
        <w:spacing w:after="0" w:line="360" w:lineRule="auto"/>
        <w:jc w:val="both"/>
        <w:rPr>
          <w:rFonts w:ascii="Arial" w:hAnsi="Arial" w:cs="Arial"/>
        </w:rPr>
      </w:pPr>
      <w:r>
        <w:rPr>
          <w:rFonts w:ascii="Arial" w:hAnsi="Arial" w:cs="Arial"/>
        </w:rPr>
        <w:tab/>
      </w:r>
      <w:r w:rsidRPr="00A01DC5">
        <w:rPr>
          <w:rFonts w:ascii="Arial" w:hAnsi="Arial" w:cs="Arial"/>
        </w:rPr>
        <w:t xml:space="preserve">A utilização simultânea de dois antibacterianos com mecanismos de ação distintos pode reduzir a probabilidade de expansão de subpopulações resistentes em </w:t>
      </w:r>
      <w:r w:rsidRPr="00A01DC5">
        <w:rPr>
          <w:rFonts w:ascii="Arial" w:hAnsi="Arial" w:cs="Arial"/>
        </w:rPr>
        <w:lastRenderedPageBreak/>
        <w:t>cenários específicos, particularmente quando a carga bacteriana é elevada ou quando existe risco conhecido de emergência de resistência durante o tratamento.</w:t>
      </w:r>
      <w:r w:rsidRPr="000D275C">
        <w:rPr>
          <w:rFonts w:ascii="Arial" w:hAnsi="Arial" w:cs="Arial"/>
        </w:rPr>
        <w:t xml:space="preserve"> Para que uma bactéria sobreviva sob exposição combinada, seria necessário que apresentasse mecanismos capazes de reduzir a atividade de ambos os agentes. Quando os alvos moleculares são independentes, a probabilidade estatística dessa adaptação simultânea é menor do que a ocorrência de resistência isolada</w:t>
      </w:r>
      <w:r>
        <w:rPr>
          <w:rFonts w:ascii="Arial" w:hAnsi="Arial" w:cs="Arial"/>
        </w:rPr>
        <w:t xml:space="preserve"> </w:t>
      </w:r>
      <w:sdt>
        <w:sdtPr>
          <w:rPr>
            <w:rFonts w:ascii="Arial" w:hAnsi="Arial" w:cs="Arial"/>
            <w:color w:val="000000"/>
          </w:rPr>
          <w:tag w:val="MENDELEY_CITATION_v3_eyJjaXRhdGlvbklEIjoiTUVOREVMRVlfQ0lUQVRJT05fOTAzZTY5NTItYjgwOC00NjBlLWFhNmEtNzkzMzhhMjg2ZjVm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
          <w:id w:val="31550599"/>
          <w:placeholder>
            <w:docPart w:val="5844B80D403148D2970562F589B7E38C"/>
          </w:placeholder>
        </w:sdtPr>
        <w:sdtEndPr/>
        <w:sdtContent>
          <w:r w:rsidRPr="00A81A7D">
            <w:rPr>
              <w:rFonts w:ascii="Arial" w:hAnsi="Arial" w:cs="Arial"/>
              <w:color w:val="000000"/>
            </w:rPr>
            <w:t>(4)</w:t>
          </w:r>
        </w:sdtContent>
      </w:sdt>
      <w:r w:rsidRPr="000D275C">
        <w:rPr>
          <w:rFonts w:ascii="Arial" w:hAnsi="Arial" w:cs="Arial"/>
        </w:rPr>
        <w:t>.</w:t>
      </w:r>
    </w:p>
    <w:p w14:paraId="59B237A9"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Esse princípio torna-se particularmente relevante em situações nas quais a carga bacteriana é elevada ou quando o tratamento exige duração prolongada. Em contextos desse tipo, a associação pode reduzir a probabilidade de expansão clonal de variantes parcialmente resistentes durante o curso terapêutico.</w:t>
      </w:r>
    </w:p>
    <w:p w14:paraId="250E429C"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 xml:space="preserve">Entretanto, essa estratégia possui limites importantes. A associação não impede o surgimento de resistência quando a exposição farmacodinâmica dos antibacterianos permanece abaixo do nível necessário para supressão efetiva da população bacteriana. </w:t>
      </w:r>
      <w:proofErr w:type="spellStart"/>
      <w:r w:rsidRPr="000D275C">
        <w:rPr>
          <w:rFonts w:ascii="Arial" w:hAnsi="Arial" w:cs="Arial"/>
        </w:rPr>
        <w:t>Subdosagem</w:t>
      </w:r>
      <w:proofErr w:type="spellEnd"/>
      <w:r w:rsidRPr="000D275C">
        <w:rPr>
          <w:rFonts w:ascii="Arial" w:hAnsi="Arial" w:cs="Arial"/>
        </w:rPr>
        <w:t>, intervalos inadequados de administração ou penetração insuficiente no foco infeccioso podem permitir sobrevivência de subpopulações adaptadas mesmo durante terapia combinada.</w:t>
      </w:r>
    </w:p>
    <w:p w14:paraId="2F1E29F3"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Além disso, a redução da probabilidade de resistência durante o tratamento não corresponde a prevenção absoluta. Elementos genéticos móveis, elevada densidade bacteriana e ambientes com difusão heterogênea de antibacterianos podem favorecer a persistência de variantes adaptadas mesmo sob exposição simultânea a múltiplos agentes.</w:t>
      </w:r>
    </w:p>
    <w:p w14:paraId="333C097F" w14:textId="77777777" w:rsidR="00A81A7D"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Assim, a decisão de associar antibacterianos com o objetivo de reduzir emergência de resistência deve considerar não apenas o risco teórico de mutação, mas também fatores como carga bacteriana, exposição farmacodinâmica alcançada e características biológicas do patógeno envolvido.</w:t>
      </w:r>
    </w:p>
    <w:p w14:paraId="21452C26" w14:textId="77777777" w:rsidR="00A81A7D" w:rsidRDefault="00A81A7D" w:rsidP="00A81A7D">
      <w:pPr>
        <w:spacing w:after="0" w:line="360" w:lineRule="auto"/>
        <w:jc w:val="both"/>
        <w:rPr>
          <w:rFonts w:ascii="Arial" w:hAnsi="Arial" w:cs="Arial"/>
        </w:rPr>
      </w:pPr>
    </w:p>
    <w:p w14:paraId="75BB6D91" w14:textId="14C2EA3C"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60</w:t>
      </w:r>
    </w:p>
    <w:p w14:paraId="3267439F" w14:textId="77777777" w:rsidR="00A81A7D" w:rsidRDefault="00A81A7D" w:rsidP="00A81A7D">
      <w:pPr>
        <w:spacing w:after="0" w:line="360" w:lineRule="auto"/>
        <w:jc w:val="both"/>
        <w:rPr>
          <w:rFonts w:ascii="Arial" w:hAnsi="Arial" w:cs="Arial"/>
          <w:b/>
          <w:bCs/>
        </w:rPr>
      </w:pPr>
    </w:p>
    <w:p w14:paraId="3E99ECA0" w14:textId="6D4A89D9" w:rsidR="00A81A7D" w:rsidRPr="000D275C" w:rsidRDefault="00A81A7D" w:rsidP="00A81A7D">
      <w:pPr>
        <w:spacing w:after="0" w:line="360" w:lineRule="auto"/>
        <w:ind w:firstLine="708"/>
        <w:jc w:val="both"/>
        <w:rPr>
          <w:rFonts w:ascii="Arial" w:hAnsi="Arial" w:cs="Arial"/>
        </w:rPr>
      </w:pPr>
      <w:r w:rsidRPr="000D275C">
        <w:rPr>
          <w:rFonts w:ascii="Arial" w:hAnsi="Arial" w:cs="Arial"/>
        </w:rPr>
        <w:t>A associação de antibacterianos não corrige falhas estruturais de exposição farmacológica. Quando a concentração alcançada no foco infeccioso é insuficiente para atingir o índice farmacodinâmico necessário, adicionar um segundo agente não transforma um regime inadequado em eficaz</w:t>
      </w:r>
      <w:r>
        <w:rPr>
          <w:rFonts w:ascii="Arial" w:hAnsi="Arial" w:cs="Arial"/>
        </w:rPr>
        <w:t xml:space="preserve"> </w:t>
      </w:r>
      <w:sdt>
        <w:sdtPr>
          <w:rPr>
            <w:rFonts w:ascii="Arial" w:hAnsi="Arial" w:cs="Arial"/>
            <w:color w:val="000000"/>
          </w:rPr>
          <w:tag w:val="MENDELEY_CITATION_v3_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"/>
          <w:id w:val="153576607"/>
          <w:placeholder>
            <w:docPart w:val="5844B80D403148D2970562F589B7E38C"/>
          </w:placeholder>
        </w:sdtPr>
        <w:sdtEndPr/>
        <w:sdtContent>
          <w:r w:rsidRPr="00A81A7D">
            <w:rPr>
              <w:rFonts w:ascii="Arial" w:hAnsi="Arial" w:cs="Arial"/>
              <w:color w:val="000000"/>
            </w:rPr>
            <w:t>(6)</w:t>
          </w:r>
        </w:sdtContent>
      </w:sdt>
      <w:r w:rsidRPr="000D275C">
        <w:rPr>
          <w:rFonts w:ascii="Arial" w:hAnsi="Arial" w:cs="Arial"/>
        </w:rPr>
        <w:t>.</w:t>
      </w:r>
    </w:p>
    <w:p w14:paraId="32178301" w14:textId="7B541C2C"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 xml:space="preserve">A atividade antimicrobiana depende da relação entre concentração do fármaco e suscetibilidade bacteriana no compartimento onde o microrganismo se encontra. Se o primeiro antibacteriano não atinge níveis adequados por </w:t>
      </w:r>
      <w:proofErr w:type="spellStart"/>
      <w:r w:rsidRPr="000D275C">
        <w:rPr>
          <w:rFonts w:ascii="Arial" w:hAnsi="Arial" w:cs="Arial"/>
        </w:rPr>
        <w:t>subdosagem</w:t>
      </w:r>
      <w:proofErr w:type="spellEnd"/>
      <w:r w:rsidRPr="000D275C">
        <w:rPr>
          <w:rFonts w:ascii="Arial" w:hAnsi="Arial" w:cs="Arial"/>
        </w:rPr>
        <w:t>, intervalo de administração inadequado, aumento da depuração ou penetração tecidual limitada, a população bacteriana permanece apenas parcialmente exposta</w:t>
      </w:r>
      <w:r>
        <w:rPr>
          <w:rFonts w:ascii="Arial" w:hAnsi="Arial" w:cs="Arial"/>
        </w:rPr>
        <w:t xml:space="preserve"> </w:t>
      </w:r>
      <w:sdt>
        <w:sdtPr>
          <w:rPr>
            <w:rFonts w:ascii="Arial" w:hAnsi="Arial" w:cs="Arial"/>
            <w:color w:val="000000"/>
          </w:rPr>
          <w:tag w:val="MENDELEY_CITATION_v3_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"/>
          <w:id w:val="1696574235"/>
          <w:placeholder>
            <w:docPart w:val="5844B80D403148D2970562F589B7E38C"/>
          </w:placeholder>
        </w:sdtPr>
        <w:sdtEndPr/>
        <w:sdtContent>
          <w:r w:rsidRPr="00A81A7D">
            <w:rPr>
              <w:rFonts w:ascii="Arial" w:hAnsi="Arial" w:cs="Arial"/>
              <w:color w:val="000000"/>
            </w:rPr>
            <w:t>(6)</w:t>
          </w:r>
        </w:sdtContent>
      </w:sdt>
      <w:r w:rsidRPr="000D275C">
        <w:rPr>
          <w:rFonts w:ascii="Arial" w:hAnsi="Arial" w:cs="Arial"/>
        </w:rPr>
        <w:t>.</w:t>
      </w:r>
    </w:p>
    <w:p w14:paraId="4B097EC6" w14:textId="77777777" w:rsidR="00A81A7D" w:rsidRPr="000D275C" w:rsidRDefault="00A81A7D" w:rsidP="00A81A7D">
      <w:pPr>
        <w:spacing w:after="0" w:line="360" w:lineRule="auto"/>
        <w:jc w:val="both"/>
        <w:rPr>
          <w:rFonts w:ascii="Arial" w:hAnsi="Arial" w:cs="Arial"/>
        </w:rPr>
      </w:pPr>
      <w:r>
        <w:rPr>
          <w:rFonts w:ascii="Arial" w:hAnsi="Arial" w:cs="Arial"/>
        </w:rPr>
        <w:lastRenderedPageBreak/>
        <w:tab/>
      </w:r>
      <w:r w:rsidRPr="000D275C">
        <w:rPr>
          <w:rFonts w:ascii="Arial" w:hAnsi="Arial" w:cs="Arial"/>
        </w:rPr>
        <w:t>Nesse cenário, a simples adição de outro antibacteriano pode ampliar a pressão seletiva sem garantir erradicação consistente do patógeno.</w:t>
      </w:r>
    </w:p>
    <w:p w14:paraId="465161B9" w14:textId="1E449209"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Esse fenômeno torna-se particularmente relevante em pacientes críticos. Alterações fisiológicas associadas à sepse ou à disfunção orgânica podem modificar de maneira significativa parâmetros farmacocinéticos, como volume de distribuição e depuração renal, alterando a curva concentração–tempo do antibacteriano administrado</w:t>
      </w:r>
      <w:r>
        <w:rPr>
          <w:rFonts w:ascii="Arial" w:hAnsi="Arial" w:cs="Arial"/>
        </w:rPr>
        <w:t xml:space="preserve"> </w:t>
      </w:r>
      <w:sdt>
        <w:sdtPr>
          <w:rPr>
            <w:rFonts w:ascii="Arial" w:hAnsi="Arial" w:cs="Arial"/>
            <w:color w:val="000000"/>
          </w:rPr>
          <w:tag w:val="MENDELEY_CITATION_v3_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"/>
          <w:id w:val="-1759985325"/>
          <w:placeholder>
            <w:docPart w:val="5844B80D403148D2970562F589B7E38C"/>
          </w:placeholder>
        </w:sdtPr>
        <w:sdtEndPr/>
        <w:sdtContent>
          <w:r w:rsidRPr="00A81A7D">
            <w:rPr>
              <w:rFonts w:ascii="Arial" w:hAnsi="Arial" w:cs="Arial"/>
              <w:color w:val="000000"/>
            </w:rPr>
            <w:t>(6)</w:t>
          </w:r>
        </w:sdtContent>
      </w:sdt>
      <w:r w:rsidRPr="000D275C">
        <w:rPr>
          <w:rFonts w:ascii="Arial" w:hAnsi="Arial" w:cs="Arial"/>
        </w:rPr>
        <w:t>.</w:t>
      </w:r>
    </w:p>
    <w:p w14:paraId="3B1ED059"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Nessas situações, a impressão de intensificação terapêutica por meio da associação pode mascarar o problema central: exposição farmacológica insuficiente do regime inicial.</w:t>
      </w:r>
    </w:p>
    <w:p w14:paraId="282BAD84"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O mesmo raciocínio se aplica a infecções nas quais existem barreiras físicas à difusão do fármaco. Coleções não drenadas, perfusão tecidual heterogênea, necrose ou presença de material protético podem impedir que concentrações adequadas do antibacteriano alcancem o local onde as bactérias estão presentes.</w:t>
      </w:r>
    </w:p>
    <w:p w14:paraId="2EAC69DC"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 combinação farmacológica não substitui controle adequado do foco infeccioso nem supera barreiras estruturais à penetração do fármaco.</w:t>
      </w:r>
    </w:p>
    <w:p w14:paraId="2765ECA6"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Quando dois antibacterianos são administrados simultaneamente em níveis limítrofes de exposição, o resultado pode ser apenas prolongamento da fase de pressão seletiva intermediária, favorecendo a sobrevivência de subpopulações bacterianas menos suscetíveis.</w:t>
      </w:r>
    </w:p>
    <w:p w14:paraId="0C3459F9"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Por essa razão, antes de considerar a associação como estratégia de intensificação terapêutica, é necessário avaliar se o regime inicial está corretamente ajustado quanto à dose, intervalo de administração e via de administração.</w:t>
      </w:r>
    </w:p>
    <w:p w14:paraId="4F6C6BBD" w14:textId="77777777" w:rsidR="00A81A7D"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 otimização farmacocinética deve preceder a ampliação farmacológica.</w:t>
      </w:r>
    </w:p>
    <w:p w14:paraId="0D6E1A0A" w14:textId="77777777" w:rsidR="00A81A7D" w:rsidRDefault="00A81A7D" w:rsidP="00A81A7D">
      <w:pPr>
        <w:spacing w:after="0" w:line="360" w:lineRule="auto"/>
        <w:jc w:val="both"/>
        <w:rPr>
          <w:rFonts w:ascii="Arial" w:hAnsi="Arial" w:cs="Arial"/>
        </w:rPr>
      </w:pPr>
    </w:p>
    <w:p w14:paraId="53E9A615" w14:textId="6FB45D7A"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61</w:t>
      </w:r>
    </w:p>
    <w:p w14:paraId="4595532A" w14:textId="77777777" w:rsidR="00A81A7D" w:rsidRPr="000D275C" w:rsidRDefault="00A81A7D" w:rsidP="00A81A7D">
      <w:pPr>
        <w:spacing w:after="0" w:line="360" w:lineRule="auto"/>
        <w:jc w:val="both"/>
        <w:rPr>
          <w:rFonts w:ascii="Arial" w:hAnsi="Arial" w:cs="Arial"/>
          <w:b/>
          <w:bCs/>
        </w:rPr>
      </w:pPr>
    </w:p>
    <w:p w14:paraId="0CA43C71" w14:textId="77777777" w:rsidR="00A81A7D" w:rsidRPr="000D275C" w:rsidRDefault="00A81A7D" w:rsidP="00A81A7D">
      <w:pPr>
        <w:spacing w:after="0" w:line="360" w:lineRule="auto"/>
        <w:jc w:val="both"/>
        <w:rPr>
          <w:rFonts w:ascii="Arial" w:hAnsi="Arial" w:cs="Arial"/>
          <w:b/>
          <w:bCs/>
        </w:rPr>
      </w:pPr>
      <w:r w:rsidRPr="000D275C">
        <w:rPr>
          <w:rFonts w:ascii="Arial" w:hAnsi="Arial" w:cs="Arial"/>
          <w:b/>
          <w:bCs/>
        </w:rPr>
        <w:t>Consequências do uso indiscriminado de antibacterianos</w:t>
      </w:r>
    </w:p>
    <w:p w14:paraId="13AF67C9" w14:textId="77777777" w:rsidR="00A81A7D" w:rsidRPr="000D275C" w:rsidRDefault="00A81A7D" w:rsidP="00A81A7D">
      <w:pPr>
        <w:spacing w:after="0" w:line="360" w:lineRule="auto"/>
        <w:jc w:val="both"/>
        <w:rPr>
          <w:rFonts w:ascii="Arial" w:hAnsi="Arial" w:cs="Arial"/>
        </w:rPr>
      </w:pPr>
    </w:p>
    <w:p w14:paraId="4B2D4E5B" w14:textId="77777777" w:rsidR="00A81A7D" w:rsidRPr="000D275C" w:rsidRDefault="00A81A7D" w:rsidP="00A81A7D">
      <w:pPr>
        <w:spacing w:after="0" w:line="360" w:lineRule="auto"/>
        <w:ind w:firstLine="708"/>
        <w:jc w:val="both"/>
        <w:rPr>
          <w:rFonts w:ascii="Arial" w:hAnsi="Arial" w:cs="Arial"/>
        </w:rPr>
      </w:pPr>
      <w:r w:rsidRPr="000D275C">
        <w:rPr>
          <w:rFonts w:ascii="Arial" w:hAnsi="Arial" w:cs="Arial"/>
        </w:rPr>
        <w:t>A utilização simultânea de múltiplos antibacterianos amplia não apenas a pressão seletiva sobre o patógeno envolvido na infecção, mas também a exposição sistêmica e ecológica do paciente. Cada fármaco possui perfil próprio de toxicidade, metabolismo e interação com a microbiota; quando combinados, esses efeitos podem somar-se ou potencializar-se.</w:t>
      </w:r>
    </w:p>
    <w:p w14:paraId="2423C5B6"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 xml:space="preserve">Do ponto de vista orgânico, a associação pode aumentar o risco de eventos adversos como </w:t>
      </w:r>
      <w:proofErr w:type="spellStart"/>
      <w:r w:rsidRPr="000D275C">
        <w:rPr>
          <w:rFonts w:ascii="Arial" w:hAnsi="Arial" w:cs="Arial"/>
        </w:rPr>
        <w:t>nefrotoxicidade</w:t>
      </w:r>
      <w:proofErr w:type="spellEnd"/>
      <w:r w:rsidRPr="000D275C">
        <w:rPr>
          <w:rFonts w:ascii="Arial" w:hAnsi="Arial" w:cs="Arial"/>
        </w:rPr>
        <w:t xml:space="preserve">, hepatotoxicidade, alterações hematológicas ou efeitos cardiovasculares. Esse risco torna-se particularmente relevante quando os </w:t>
      </w:r>
      <w:r w:rsidRPr="000D275C">
        <w:rPr>
          <w:rFonts w:ascii="Arial" w:hAnsi="Arial" w:cs="Arial"/>
        </w:rPr>
        <w:lastRenderedPageBreak/>
        <w:t>antibacterianos utilizados compartilham vias de eliminação semelhantes ou apresentam perfis de toxicidade parcialmente sobrepostos.</w:t>
      </w:r>
    </w:p>
    <w:p w14:paraId="0B64A9FE"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Em pacientes com comorbidades ou em uso concomitante de múltiplas medicações, a exposição simultânea a diferentes antibacterianos também amplia a probabilidade de interações medicamentosas.</w:t>
      </w:r>
    </w:p>
    <w:p w14:paraId="2FDA24B4" w14:textId="319784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Além dos efeitos sistêmicos, há impacto importante sobre a microbiota comensal. O intestino humano abriga um ecossistema bacteriano complexo que desempenha funções metabólicas, imunológicas e de proteção contra colonização por microrganismos potencialmente patogênicos. A exposição a antibacterianos de amplo espectro pode reduzir significativamente a diversidade dessa microbiota</w:t>
      </w:r>
      <w:r>
        <w:rPr>
          <w:rFonts w:ascii="Arial" w:hAnsi="Arial" w:cs="Arial"/>
        </w:rPr>
        <w:t xml:space="preserve"> </w:t>
      </w:r>
      <w:sdt>
        <w:sdtPr>
          <w:rPr>
            <w:rFonts w:ascii="Arial" w:hAnsi="Arial" w:cs="Arial"/>
            <w:color w:val="000000"/>
          </w:rPr>
          <w:tag w:val="MENDELEY_CITATION_v3_eyJjaXRhdGlvbklEIjoiTUVOREVMRVlfQ0lUQVRJT05fMzI5OGVjNzMtZjM2Mi00MzJkLWJlNzQtOGMzZjIzYzhmMjBl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
          <w:id w:val="2122492022"/>
          <w:placeholder>
            <w:docPart w:val="5844B80D403148D2970562F589B7E38C"/>
          </w:placeholder>
        </w:sdtPr>
        <w:sdtEndPr/>
        <w:sdtContent>
          <w:r w:rsidRPr="00A81A7D">
            <w:rPr>
              <w:rFonts w:ascii="Arial" w:hAnsi="Arial" w:cs="Arial"/>
              <w:color w:val="000000"/>
            </w:rPr>
            <w:t>(1)</w:t>
          </w:r>
        </w:sdtContent>
      </w:sdt>
      <w:r w:rsidRPr="000D275C">
        <w:rPr>
          <w:rFonts w:ascii="Arial" w:hAnsi="Arial" w:cs="Arial"/>
        </w:rPr>
        <w:t>.</w:t>
      </w:r>
    </w:p>
    <w:p w14:paraId="5EBEE667"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Quando múltiplos agentes são utilizados simultaneamente, essa redução pode tornar-se mais intensa e prolongada. A diminuição da diversidade bacteriana favorece desequilíbrios ecológicos que permitem a expansão de microrganismos oportunistas previamente controlados pela flora normal.</w:t>
      </w:r>
    </w:p>
    <w:p w14:paraId="5C99F587" w14:textId="21179E75"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 xml:space="preserve">A infecção por </w:t>
      </w:r>
      <w:proofErr w:type="spellStart"/>
      <w:r w:rsidRPr="000D275C">
        <w:rPr>
          <w:rFonts w:ascii="Arial" w:hAnsi="Arial" w:cs="Arial"/>
        </w:rPr>
        <w:t>Clostridioides</w:t>
      </w:r>
      <w:proofErr w:type="spellEnd"/>
      <w:r w:rsidRPr="000D275C">
        <w:rPr>
          <w:rFonts w:ascii="Arial" w:hAnsi="Arial" w:cs="Arial"/>
        </w:rPr>
        <w:t xml:space="preserve"> </w:t>
      </w:r>
      <w:proofErr w:type="spellStart"/>
      <w:r w:rsidRPr="000D275C">
        <w:rPr>
          <w:rFonts w:ascii="Arial" w:hAnsi="Arial" w:cs="Arial"/>
        </w:rPr>
        <w:t>difficile</w:t>
      </w:r>
      <w:proofErr w:type="spellEnd"/>
      <w:r w:rsidRPr="000D275C">
        <w:rPr>
          <w:rFonts w:ascii="Arial" w:hAnsi="Arial" w:cs="Arial"/>
        </w:rPr>
        <w:t xml:space="preserve"> constitui um exemplo clássico desse processo. A supressão da microbiota intestinal protetora cria ambiente favorável para a proliferação da bactéria e produção de toxinas, resultando em colite associada ao uso de antibacterianos</w:t>
      </w:r>
      <w:r>
        <w:rPr>
          <w:rFonts w:ascii="Arial" w:hAnsi="Arial" w:cs="Arial"/>
        </w:rPr>
        <w:t xml:space="preserve"> </w:t>
      </w:r>
      <w:sdt>
        <w:sdtPr>
          <w:rPr>
            <w:rFonts w:ascii="Arial" w:hAnsi="Arial" w:cs="Arial"/>
            <w:color w:val="000000"/>
          </w:rPr>
          <w:tag w:val="MENDELEY_CITATION_v3_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"/>
          <w:id w:val="282006380"/>
          <w:placeholder>
            <w:docPart w:val="5844B80D403148D2970562F589B7E38C"/>
          </w:placeholder>
        </w:sdtPr>
        <w:sdtEndPr/>
        <w:sdtContent>
          <w:r w:rsidRPr="00A81A7D">
            <w:rPr>
              <w:rFonts w:ascii="Arial" w:hAnsi="Arial" w:cs="Arial"/>
              <w:color w:val="000000"/>
            </w:rPr>
            <w:t>(3)</w:t>
          </w:r>
        </w:sdtContent>
      </w:sdt>
      <w:r w:rsidRPr="000D275C">
        <w:rPr>
          <w:rFonts w:ascii="Arial" w:hAnsi="Arial" w:cs="Arial"/>
        </w:rPr>
        <w:t>.</w:t>
      </w:r>
    </w:p>
    <w:p w14:paraId="196D1C67" w14:textId="5EFB69D3"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Entretanto, as consequências do uso indiscriminado não se limitam ao indivíduo tratado. A exposição repetida a antibacterianos em ambientes hospitalares contribui para a seleção progressiva de microrganismos com múltiplos mecanismos de resistência</w:t>
      </w:r>
      <w:r>
        <w:rPr>
          <w:rFonts w:ascii="Arial" w:hAnsi="Arial" w:cs="Arial"/>
        </w:rPr>
        <w:t xml:space="preserve"> </w:t>
      </w:r>
      <w:sdt>
        <w:sdtPr>
          <w:rPr>
            <w:rFonts w:ascii="Arial" w:hAnsi="Arial" w:cs="Arial"/>
            <w:color w:val="000000"/>
          </w:rPr>
          <w:tag w:val="MENDELEY_CITATION_v3_eyJjaXRhdGlvbklEIjoiTUVOREVMRVlfQ0lUQVRJT05fMzNjZTBmYjItYWI0Yi00Yzc3LWEwYjktMzEzZTAxYWZkZTY5IiwicHJvcGVydGllcyI6eyJub3RlSW5kZXgiOjB9LCJpc0VkaXRlZCI6ZmFsc2UsIm1hbnVhbE92ZXJyaWRlIjp7ImlzTWFudWFsbHlPdmVycmlkZGVuIjpmYWxzZSwiY2l0ZXByb2NUZXh0IjoiKDI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
          <w:id w:val="-401522246"/>
          <w:placeholder>
            <w:docPart w:val="5844B80D403148D2970562F589B7E38C"/>
          </w:placeholder>
        </w:sdtPr>
        <w:sdtEndPr/>
        <w:sdtContent>
          <w:r w:rsidRPr="00A81A7D">
            <w:rPr>
              <w:rFonts w:ascii="Arial" w:hAnsi="Arial" w:cs="Arial"/>
              <w:color w:val="000000"/>
            </w:rPr>
            <w:t>(2)</w:t>
          </w:r>
        </w:sdtContent>
      </w:sdt>
      <w:r w:rsidRPr="000D275C">
        <w:rPr>
          <w:rFonts w:ascii="Arial" w:hAnsi="Arial" w:cs="Arial"/>
        </w:rPr>
        <w:t>.</w:t>
      </w:r>
    </w:p>
    <w:p w14:paraId="09E76587"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Quando diferentes classes antibacterianas são utilizadas simultaneamente de maneira frequente, a pressão seletiva exercida sobre a comunidade bacteriana do ambiente hospitalar favorece a sobrevivência de cepas capazes de resistir a múltiplos mecanismos de ação.</w:t>
      </w:r>
    </w:p>
    <w:p w14:paraId="0D2E91CF"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Com o tempo, esse processo contribui para o surgimento e a disseminação de microrganismos multirresistentes, reduzindo progressivamente as opções terapêuticas disponíveis.</w:t>
      </w:r>
    </w:p>
    <w:p w14:paraId="4E9C7AA8" w14:textId="77777777" w:rsidR="00A81A7D"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Essas consequências reforçam que a associação antibacteriana deve ser empregada quando existe justificativa biológica clara. Seu impacto ultrapassa o patógeno inicialmente tratado e pode produzir efeitos que persistem além do término da terapia.</w:t>
      </w:r>
    </w:p>
    <w:p w14:paraId="641A4B4E" w14:textId="77777777" w:rsidR="00A81A7D" w:rsidRDefault="00A81A7D" w:rsidP="00A81A7D">
      <w:pPr>
        <w:spacing w:after="0" w:line="360" w:lineRule="auto"/>
        <w:jc w:val="both"/>
        <w:rPr>
          <w:rFonts w:ascii="Arial" w:hAnsi="Arial" w:cs="Arial"/>
        </w:rPr>
      </w:pPr>
    </w:p>
    <w:p w14:paraId="5FC7EC17" w14:textId="15E61E8F"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62</w:t>
      </w:r>
    </w:p>
    <w:p w14:paraId="13B918C2" w14:textId="77777777" w:rsidR="00A81A7D" w:rsidRPr="000D275C" w:rsidRDefault="00A81A7D" w:rsidP="00A81A7D">
      <w:pPr>
        <w:spacing w:after="0" w:line="360" w:lineRule="auto"/>
        <w:jc w:val="both"/>
        <w:rPr>
          <w:rFonts w:ascii="Arial" w:hAnsi="Arial" w:cs="Arial"/>
        </w:rPr>
      </w:pPr>
    </w:p>
    <w:p w14:paraId="3EF77B41" w14:textId="77777777" w:rsidR="00A81A7D" w:rsidRPr="000D275C" w:rsidRDefault="00A81A7D" w:rsidP="00A81A7D">
      <w:pPr>
        <w:spacing w:after="0" w:line="360" w:lineRule="auto"/>
        <w:ind w:firstLine="708"/>
        <w:jc w:val="both"/>
        <w:rPr>
          <w:rFonts w:ascii="Arial" w:hAnsi="Arial" w:cs="Arial"/>
        </w:rPr>
      </w:pPr>
      <w:r w:rsidRPr="000D275C">
        <w:rPr>
          <w:rFonts w:ascii="Arial" w:hAnsi="Arial" w:cs="Arial"/>
        </w:rPr>
        <w:lastRenderedPageBreak/>
        <w:t>A decisão de associar antibacterianos deve basear-se em objetivos biológicos claros. Da mesma forma, reconhecer quando não associar faz parte da prescrição racional.</w:t>
      </w:r>
    </w:p>
    <w:p w14:paraId="37404FF8"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Em muitos cenários clínicos, a manutenção de dois antibacterianos ocorre mais por inércia terapêutica do que por necessidade microbiológica. Após o início de um esquema empírico ampliado, a ausência de reavaliação sistemática pode levar à continuidade de combinações que já não apresentam justificativa biológica.</w:t>
      </w:r>
    </w:p>
    <w:p w14:paraId="3948B164"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Não há indicação de associação quando o agente etiológico foi identificado e demonstra suscetibilidade inequívoca a um antibacteriano capaz de atingir exposição adequada no foco infeccioso. Quando a monoterapia alcança índices farmacodinâmicos suficientes para suprimir a população bacteriana, a sobreposição de espectros não aumenta proporcionalmente a probabilidade de erradicação.</w:t>
      </w:r>
    </w:p>
    <w:p w14:paraId="34CA0A11"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 xml:space="preserve">A combinação também não se justifica quando não existe evidência de infecção </w:t>
      </w:r>
      <w:proofErr w:type="spellStart"/>
      <w:r w:rsidRPr="000D275C">
        <w:rPr>
          <w:rFonts w:ascii="Arial" w:hAnsi="Arial" w:cs="Arial"/>
        </w:rPr>
        <w:t>polimicrobiana</w:t>
      </w:r>
      <w:proofErr w:type="spellEnd"/>
      <w:r w:rsidRPr="000D275C">
        <w:rPr>
          <w:rFonts w:ascii="Arial" w:hAnsi="Arial" w:cs="Arial"/>
        </w:rPr>
        <w:t xml:space="preserve"> plausível. A utilização simultânea de dois agentes ativos contra a mesma espécie bacteriana, sem objetivo de sinergismo ou prevenção de resistência em situações específicas, tende apenas a ampliar toxicidade e pressão seletiva.</w:t>
      </w:r>
    </w:p>
    <w:p w14:paraId="45F1059E"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Outro cenário frequente envolve a tentativa de compensar incerteza diagnóstica persistente. Quando o quadro clínico não é compatível com infecção ativa, ampliar cobertura antibacteriana não corrige a ausência de diagnóstico definido. Da mesma forma, a associação não substitui intervenções fundamentais como controle adequado do foco infeccioso.</w:t>
      </w:r>
    </w:p>
    <w:p w14:paraId="4A715743" w14:textId="77777777" w:rsidR="00A81A7D" w:rsidRPr="000D275C"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Em pacientes que apresentam evolução clínica favorável, com melhora dos parâmetros clínicos e laboratoriais, a continuidade de combinações iniciais deve ser revisada criticamente. O risco de retirar precocemente um antibacteriano muitas vezes é superestimado, enquanto os efeitos cumulativos da exposição prolongada tendem a ser subestimados.</w:t>
      </w:r>
    </w:p>
    <w:p w14:paraId="792D8F83" w14:textId="77777777" w:rsidR="00A81A7D" w:rsidRDefault="00A81A7D" w:rsidP="00A81A7D">
      <w:pPr>
        <w:spacing w:after="0" w:line="360" w:lineRule="auto"/>
        <w:jc w:val="both"/>
        <w:rPr>
          <w:rFonts w:ascii="Arial" w:hAnsi="Arial" w:cs="Arial"/>
        </w:rPr>
      </w:pPr>
      <w:r>
        <w:rPr>
          <w:rFonts w:ascii="Arial" w:hAnsi="Arial" w:cs="Arial"/>
        </w:rPr>
        <w:tab/>
      </w:r>
      <w:r w:rsidRPr="000D275C">
        <w:rPr>
          <w:rFonts w:ascii="Arial" w:hAnsi="Arial" w:cs="Arial"/>
        </w:rPr>
        <w:t>A racionalidade terapêutica exige reconhecer que a associação antibacteriana constitui uma estratégia específica, e não um padrão rotineiro de tratamento. Quando a monoterapia é suficiente sob critérios microbiológicos, farmacocinéticos e clínicos, sua manutenção representa a decisão tecnicamente mais consistente.</w:t>
      </w:r>
    </w:p>
    <w:p w14:paraId="63E77D30" w14:textId="77777777" w:rsidR="00A81A7D" w:rsidRDefault="00A81A7D" w:rsidP="00A81A7D">
      <w:pPr>
        <w:spacing w:after="0" w:line="360" w:lineRule="auto"/>
        <w:jc w:val="both"/>
        <w:rPr>
          <w:rFonts w:ascii="Arial" w:hAnsi="Arial" w:cs="Arial"/>
        </w:rPr>
      </w:pPr>
    </w:p>
    <w:p w14:paraId="42BA8A28" w14:textId="70D608C4" w:rsidR="00A81A7D" w:rsidRDefault="00A81A7D" w:rsidP="00A81A7D">
      <w:pPr>
        <w:spacing w:after="0" w:line="360" w:lineRule="auto"/>
        <w:jc w:val="right"/>
        <w:rPr>
          <w:rFonts w:ascii="Arial" w:hAnsi="Arial" w:cs="Arial"/>
        </w:rPr>
      </w:pPr>
      <w:r w:rsidRPr="0003129B">
        <w:rPr>
          <w:rFonts w:ascii="Arial" w:hAnsi="Arial" w:cs="Arial"/>
        </w:rPr>
        <w:t xml:space="preserve">Página </w:t>
      </w:r>
      <w:r w:rsidR="008D0A20">
        <w:rPr>
          <w:rFonts w:ascii="Arial" w:hAnsi="Arial" w:cs="Arial"/>
        </w:rPr>
        <w:t>63</w:t>
      </w:r>
    </w:p>
    <w:p w14:paraId="0952F3B5" w14:textId="77777777" w:rsidR="00A81A7D" w:rsidRPr="000D275C" w:rsidRDefault="00A81A7D" w:rsidP="00A81A7D">
      <w:pPr>
        <w:spacing w:after="0" w:line="360" w:lineRule="auto"/>
        <w:jc w:val="right"/>
        <w:rPr>
          <w:rFonts w:ascii="Arial" w:hAnsi="Arial" w:cs="Arial"/>
          <w:b/>
          <w:bCs/>
        </w:rPr>
      </w:pPr>
    </w:p>
    <w:p w14:paraId="4E5C0BB1" w14:textId="77777777" w:rsidR="00A81A7D" w:rsidRPr="000D275C" w:rsidRDefault="00A81A7D" w:rsidP="00A81A7D">
      <w:pPr>
        <w:spacing w:after="0" w:line="360" w:lineRule="auto"/>
        <w:jc w:val="both"/>
        <w:rPr>
          <w:rFonts w:ascii="Arial" w:hAnsi="Arial" w:cs="Arial"/>
          <w:b/>
          <w:bCs/>
        </w:rPr>
      </w:pPr>
      <w:r w:rsidRPr="000D275C">
        <w:rPr>
          <w:rFonts w:ascii="Arial" w:hAnsi="Arial" w:cs="Arial"/>
          <w:b/>
          <w:bCs/>
        </w:rPr>
        <w:t>Quiz de revisão</w:t>
      </w:r>
    </w:p>
    <w:p w14:paraId="3C397432" w14:textId="77777777" w:rsidR="00A81A7D" w:rsidRDefault="00A81A7D" w:rsidP="00A81A7D">
      <w:pPr>
        <w:spacing w:after="0" w:line="360" w:lineRule="auto"/>
        <w:jc w:val="both"/>
        <w:rPr>
          <w:rFonts w:ascii="Arial" w:hAnsi="Arial" w:cs="Arial"/>
        </w:rPr>
      </w:pPr>
    </w:p>
    <w:p w14:paraId="032B756A" w14:textId="77777777" w:rsidR="00A81A7D" w:rsidRPr="000D275C" w:rsidRDefault="00A81A7D" w:rsidP="00A81A7D">
      <w:pPr>
        <w:spacing w:after="0" w:line="360" w:lineRule="auto"/>
        <w:jc w:val="both"/>
        <w:rPr>
          <w:rFonts w:ascii="Arial" w:hAnsi="Arial" w:cs="Arial"/>
        </w:rPr>
      </w:pPr>
      <w:r w:rsidRPr="000D275C">
        <w:rPr>
          <w:rFonts w:ascii="Arial" w:hAnsi="Arial" w:cs="Arial"/>
        </w:rPr>
        <w:t>1)</w:t>
      </w:r>
      <w:r>
        <w:rPr>
          <w:rFonts w:ascii="Arial" w:hAnsi="Arial" w:cs="Arial"/>
        </w:rPr>
        <w:t xml:space="preserve"> </w:t>
      </w:r>
      <w:r w:rsidRPr="000D275C">
        <w:rPr>
          <w:rFonts w:ascii="Arial" w:hAnsi="Arial" w:cs="Arial"/>
        </w:rPr>
        <w:t xml:space="preserve">Um paciente inicia tratamento empírico com dois antibacterianos para ampliar cobertura microbiológica em um quadro infeccioso grave. Após alguns dias, o agente </w:t>
      </w:r>
      <w:r w:rsidRPr="000D275C">
        <w:rPr>
          <w:rFonts w:ascii="Arial" w:hAnsi="Arial" w:cs="Arial"/>
        </w:rPr>
        <w:lastRenderedPageBreak/>
        <w:t>etiológico é identificado e demonstra suscetibilidade inequívoca a um dos antibacterianos utilizados.</w:t>
      </w:r>
    </w:p>
    <w:p w14:paraId="35440F6B" w14:textId="77777777" w:rsidR="00A81A7D" w:rsidRPr="000D275C" w:rsidRDefault="00A81A7D" w:rsidP="00A81A7D">
      <w:pPr>
        <w:spacing w:after="0" w:line="360" w:lineRule="auto"/>
        <w:jc w:val="both"/>
        <w:rPr>
          <w:rFonts w:ascii="Arial" w:hAnsi="Arial" w:cs="Arial"/>
        </w:rPr>
      </w:pPr>
      <w:r w:rsidRPr="000D275C">
        <w:rPr>
          <w:rFonts w:ascii="Arial" w:hAnsi="Arial" w:cs="Arial"/>
        </w:rPr>
        <w:t>Qual princípio da antibioticoterapia orienta a reavaliação do esquema terapêutico nesse momento?</w:t>
      </w:r>
    </w:p>
    <w:p w14:paraId="0F104049" w14:textId="77777777" w:rsidR="00A81A7D" w:rsidRPr="000D275C" w:rsidRDefault="00A81A7D" w:rsidP="00A81A7D">
      <w:pPr>
        <w:spacing w:after="0" w:line="360" w:lineRule="auto"/>
        <w:jc w:val="both"/>
        <w:rPr>
          <w:rFonts w:ascii="Arial" w:hAnsi="Arial" w:cs="Arial"/>
        </w:rPr>
      </w:pPr>
    </w:p>
    <w:p w14:paraId="7D7EF4C7" w14:textId="77777777" w:rsidR="00A81A7D" w:rsidRPr="000D275C" w:rsidRDefault="00A81A7D" w:rsidP="00A81A7D">
      <w:pPr>
        <w:spacing w:after="0" w:line="360" w:lineRule="auto"/>
        <w:jc w:val="both"/>
        <w:rPr>
          <w:rFonts w:ascii="Arial" w:hAnsi="Arial" w:cs="Arial"/>
        </w:rPr>
      </w:pPr>
      <w:r w:rsidRPr="000D275C">
        <w:rPr>
          <w:rFonts w:ascii="Arial" w:hAnsi="Arial" w:cs="Arial"/>
        </w:rPr>
        <w:t>A) A associação deve ser mantida até o término completo do tratamento para garantir erradicação bacteriana</w:t>
      </w:r>
    </w:p>
    <w:p w14:paraId="0A816258" w14:textId="77777777" w:rsidR="00A81A7D" w:rsidRPr="000D275C" w:rsidRDefault="00A81A7D" w:rsidP="00A81A7D">
      <w:pPr>
        <w:spacing w:after="0" w:line="360" w:lineRule="auto"/>
        <w:jc w:val="both"/>
        <w:rPr>
          <w:rFonts w:ascii="Arial" w:hAnsi="Arial" w:cs="Arial"/>
        </w:rPr>
      </w:pPr>
      <w:r w:rsidRPr="000D275C">
        <w:rPr>
          <w:rFonts w:ascii="Arial" w:hAnsi="Arial" w:cs="Arial"/>
        </w:rPr>
        <w:t>B) A ampliação inicial de espectro deve ser revisada quando dados microbiológicos permitem direcionar o tratamento</w:t>
      </w:r>
    </w:p>
    <w:p w14:paraId="20A67AC0" w14:textId="77777777" w:rsidR="00A81A7D" w:rsidRPr="000D275C" w:rsidRDefault="00A81A7D" w:rsidP="00A81A7D">
      <w:pPr>
        <w:spacing w:after="0" w:line="360" w:lineRule="auto"/>
        <w:jc w:val="both"/>
        <w:rPr>
          <w:rFonts w:ascii="Arial" w:hAnsi="Arial" w:cs="Arial"/>
        </w:rPr>
      </w:pPr>
      <w:r w:rsidRPr="000D275C">
        <w:rPr>
          <w:rFonts w:ascii="Arial" w:hAnsi="Arial" w:cs="Arial"/>
        </w:rPr>
        <w:t>C) A combinação de antibacterianos reduz automaticamente a probabilidade de resistência durante todo o tratamento</w:t>
      </w:r>
    </w:p>
    <w:p w14:paraId="2DBFD4BE" w14:textId="77777777" w:rsidR="00A81A7D" w:rsidRPr="000D275C" w:rsidRDefault="00A81A7D" w:rsidP="00A81A7D">
      <w:pPr>
        <w:spacing w:after="0" w:line="360" w:lineRule="auto"/>
        <w:jc w:val="both"/>
        <w:rPr>
          <w:rFonts w:ascii="Arial" w:hAnsi="Arial" w:cs="Arial"/>
        </w:rPr>
      </w:pPr>
      <w:r w:rsidRPr="000D275C">
        <w:rPr>
          <w:rFonts w:ascii="Arial" w:hAnsi="Arial" w:cs="Arial"/>
        </w:rPr>
        <w:t>D) A presença de dois antibacterianos sempre aumenta a eficácia terapêutica</w:t>
      </w:r>
    </w:p>
    <w:p w14:paraId="33515152" w14:textId="77777777" w:rsidR="00A81A7D" w:rsidRPr="000D275C" w:rsidRDefault="00A81A7D" w:rsidP="00A81A7D">
      <w:pPr>
        <w:spacing w:after="0" w:line="360" w:lineRule="auto"/>
        <w:jc w:val="both"/>
        <w:rPr>
          <w:rFonts w:ascii="Arial" w:hAnsi="Arial" w:cs="Arial"/>
        </w:rPr>
      </w:pPr>
    </w:p>
    <w:p w14:paraId="51A97787" w14:textId="77777777" w:rsidR="00A81A7D" w:rsidRPr="000D275C" w:rsidRDefault="00A81A7D" w:rsidP="00A81A7D">
      <w:pPr>
        <w:spacing w:after="0" w:line="360" w:lineRule="auto"/>
        <w:jc w:val="both"/>
        <w:rPr>
          <w:rFonts w:ascii="Arial" w:hAnsi="Arial" w:cs="Arial"/>
        </w:rPr>
      </w:pPr>
      <w:r w:rsidRPr="000D275C">
        <w:rPr>
          <w:rFonts w:ascii="Arial" w:hAnsi="Arial" w:cs="Arial"/>
        </w:rPr>
        <w:t>Resposta correta: B) A ampliação inicial de espectro deve ser revisada quando dados microbiológicos permitem direcionar o tratamento</w:t>
      </w:r>
    </w:p>
    <w:p w14:paraId="6D5B4D7B" w14:textId="77777777" w:rsidR="00A81A7D" w:rsidRPr="000D275C" w:rsidRDefault="00A81A7D" w:rsidP="00A81A7D">
      <w:pPr>
        <w:spacing w:after="0" w:line="360" w:lineRule="auto"/>
        <w:jc w:val="both"/>
        <w:rPr>
          <w:rFonts w:ascii="Arial" w:hAnsi="Arial" w:cs="Arial"/>
        </w:rPr>
      </w:pPr>
    </w:p>
    <w:p w14:paraId="62B866E9" w14:textId="77777777" w:rsidR="00A81A7D" w:rsidRPr="000D275C" w:rsidRDefault="00A81A7D" w:rsidP="00A81A7D">
      <w:pPr>
        <w:spacing w:after="0" w:line="360" w:lineRule="auto"/>
        <w:jc w:val="both"/>
        <w:rPr>
          <w:rFonts w:ascii="Arial" w:hAnsi="Arial" w:cs="Arial"/>
        </w:rPr>
      </w:pPr>
      <w:r w:rsidRPr="000D275C">
        <w:rPr>
          <w:rFonts w:ascii="Arial" w:hAnsi="Arial" w:cs="Arial"/>
        </w:rPr>
        <w:t>Feedback</w:t>
      </w:r>
    </w:p>
    <w:p w14:paraId="5750E2F7" w14:textId="77777777" w:rsidR="00A81A7D" w:rsidRPr="000D275C" w:rsidRDefault="00A81A7D" w:rsidP="00A81A7D">
      <w:pPr>
        <w:spacing w:after="0" w:line="360" w:lineRule="auto"/>
        <w:jc w:val="both"/>
        <w:rPr>
          <w:rFonts w:ascii="Arial" w:hAnsi="Arial" w:cs="Arial"/>
        </w:rPr>
      </w:pPr>
      <w:r w:rsidRPr="000D275C">
        <w:rPr>
          <w:rFonts w:ascii="Arial" w:hAnsi="Arial" w:cs="Arial"/>
        </w:rPr>
        <w:t>A) Incorreta — A manutenção da associação sem justificativa biológica pode ampliar toxicidade e pressão seletiva desnecessária.</w:t>
      </w:r>
    </w:p>
    <w:p w14:paraId="55201444" w14:textId="77777777" w:rsidR="00A81A7D" w:rsidRPr="000D275C" w:rsidRDefault="00A81A7D" w:rsidP="00A81A7D">
      <w:pPr>
        <w:spacing w:after="0" w:line="360" w:lineRule="auto"/>
        <w:jc w:val="both"/>
        <w:rPr>
          <w:rFonts w:ascii="Arial" w:hAnsi="Arial" w:cs="Arial"/>
        </w:rPr>
      </w:pPr>
      <w:r w:rsidRPr="000D275C">
        <w:rPr>
          <w:rFonts w:ascii="Arial" w:hAnsi="Arial" w:cs="Arial"/>
        </w:rPr>
        <w:t>B) Correta — A ampliação empírica de espectro é estratégia inicial. Quando o agente causal e o perfil de suscetibilidade são conhecidos, o tratamento deve ser reavaliado para reduzir exposição antibacteriana desnecessária.</w:t>
      </w:r>
    </w:p>
    <w:p w14:paraId="4AB65C2E" w14:textId="77777777" w:rsidR="00A81A7D" w:rsidRPr="000D275C" w:rsidRDefault="00A81A7D" w:rsidP="00A81A7D">
      <w:pPr>
        <w:spacing w:after="0" w:line="360" w:lineRule="auto"/>
        <w:jc w:val="both"/>
        <w:rPr>
          <w:rFonts w:ascii="Arial" w:hAnsi="Arial" w:cs="Arial"/>
        </w:rPr>
      </w:pPr>
      <w:r w:rsidRPr="000D275C">
        <w:rPr>
          <w:rFonts w:ascii="Arial" w:hAnsi="Arial" w:cs="Arial"/>
        </w:rPr>
        <w:t>C) Incorreta — A associação pode reduzir a probabilidade de emergência de resistência em cenários específicos, mas esse efeito depende de múltiplos fatores microbiológicos e farmacodinâmicos.</w:t>
      </w:r>
    </w:p>
    <w:p w14:paraId="50FB24A1" w14:textId="77777777" w:rsidR="00A81A7D" w:rsidRPr="000D275C" w:rsidRDefault="00A81A7D" w:rsidP="00A81A7D">
      <w:pPr>
        <w:spacing w:after="0" w:line="360" w:lineRule="auto"/>
        <w:jc w:val="both"/>
        <w:rPr>
          <w:rFonts w:ascii="Arial" w:hAnsi="Arial" w:cs="Arial"/>
        </w:rPr>
      </w:pPr>
      <w:r w:rsidRPr="000D275C">
        <w:rPr>
          <w:rFonts w:ascii="Arial" w:hAnsi="Arial" w:cs="Arial"/>
        </w:rPr>
        <w:t>D) Incorreta — A presença de múltiplos antibacterianos não garante maior eficácia quando a monoterapia já alcança exposição adequada e atividade contra o patógeno.</w:t>
      </w:r>
    </w:p>
    <w:p w14:paraId="4DB91F1C" w14:textId="77777777" w:rsidR="00A81A7D" w:rsidRPr="000D275C" w:rsidRDefault="00A81A7D" w:rsidP="00A81A7D">
      <w:pPr>
        <w:spacing w:after="0" w:line="360" w:lineRule="auto"/>
        <w:jc w:val="both"/>
        <w:rPr>
          <w:rFonts w:ascii="Arial" w:hAnsi="Arial" w:cs="Arial"/>
        </w:rPr>
      </w:pPr>
    </w:p>
    <w:p w14:paraId="51EB6138" w14:textId="77777777" w:rsidR="00A81A7D" w:rsidRPr="000D275C" w:rsidRDefault="00A81A7D" w:rsidP="00A81A7D">
      <w:pPr>
        <w:spacing w:after="0" w:line="360" w:lineRule="auto"/>
        <w:jc w:val="both"/>
        <w:rPr>
          <w:rFonts w:ascii="Arial" w:hAnsi="Arial" w:cs="Arial"/>
        </w:rPr>
      </w:pPr>
      <w:r w:rsidRPr="000D275C">
        <w:rPr>
          <w:rFonts w:ascii="Arial" w:hAnsi="Arial" w:cs="Arial"/>
        </w:rPr>
        <w:t>2)</w:t>
      </w:r>
      <w:r>
        <w:rPr>
          <w:rFonts w:ascii="Arial" w:hAnsi="Arial" w:cs="Arial"/>
        </w:rPr>
        <w:t xml:space="preserve"> </w:t>
      </w:r>
      <w:r w:rsidRPr="000D275C">
        <w:rPr>
          <w:rFonts w:ascii="Arial" w:hAnsi="Arial" w:cs="Arial"/>
        </w:rPr>
        <w:t>Em um quadro infeccioso grave, um médico decide adicionar um segundo antibacteriano porque o paciente não apresenta melhora clínica inicial. Posteriormente, identifica-se que o regime inicial estava sendo administrado em dose abaixo da necessária para atingir exposição farmacodinâmica adequada.</w:t>
      </w:r>
    </w:p>
    <w:p w14:paraId="4DFD7856" w14:textId="77777777" w:rsidR="00A81A7D" w:rsidRPr="000D275C" w:rsidRDefault="00A81A7D" w:rsidP="00A81A7D">
      <w:pPr>
        <w:spacing w:after="0" w:line="360" w:lineRule="auto"/>
        <w:jc w:val="both"/>
        <w:rPr>
          <w:rFonts w:ascii="Arial" w:hAnsi="Arial" w:cs="Arial"/>
        </w:rPr>
      </w:pPr>
      <w:r w:rsidRPr="000D275C">
        <w:rPr>
          <w:rFonts w:ascii="Arial" w:hAnsi="Arial" w:cs="Arial"/>
        </w:rPr>
        <w:t>Qual conceito ajuda a explicar por que a associação não resolveu o problema terapêutico?</w:t>
      </w:r>
    </w:p>
    <w:p w14:paraId="0FFE50AA" w14:textId="77777777" w:rsidR="00A81A7D" w:rsidRPr="000D275C" w:rsidRDefault="00A81A7D" w:rsidP="00A81A7D">
      <w:pPr>
        <w:spacing w:after="0" w:line="360" w:lineRule="auto"/>
        <w:jc w:val="both"/>
        <w:rPr>
          <w:rFonts w:ascii="Arial" w:hAnsi="Arial" w:cs="Arial"/>
        </w:rPr>
      </w:pPr>
    </w:p>
    <w:p w14:paraId="2A693FEF" w14:textId="77777777" w:rsidR="00A81A7D" w:rsidRPr="000D275C" w:rsidRDefault="00A81A7D" w:rsidP="00A81A7D">
      <w:pPr>
        <w:spacing w:after="0" w:line="360" w:lineRule="auto"/>
        <w:jc w:val="both"/>
        <w:rPr>
          <w:rFonts w:ascii="Arial" w:hAnsi="Arial" w:cs="Arial"/>
        </w:rPr>
      </w:pPr>
      <w:r w:rsidRPr="000D275C">
        <w:rPr>
          <w:rFonts w:ascii="Arial" w:hAnsi="Arial" w:cs="Arial"/>
        </w:rPr>
        <w:t>A) A associação antibacteriana não corrige exposição farmacológica inadequada</w:t>
      </w:r>
    </w:p>
    <w:p w14:paraId="22C673D1" w14:textId="77777777" w:rsidR="00A81A7D" w:rsidRPr="000D275C" w:rsidRDefault="00A81A7D" w:rsidP="00A81A7D">
      <w:pPr>
        <w:spacing w:after="0" w:line="360" w:lineRule="auto"/>
        <w:jc w:val="both"/>
        <w:rPr>
          <w:rFonts w:ascii="Arial" w:hAnsi="Arial" w:cs="Arial"/>
        </w:rPr>
      </w:pPr>
      <w:r w:rsidRPr="000D275C">
        <w:rPr>
          <w:rFonts w:ascii="Arial" w:hAnsi="Arial" w:cs="Arial"/>
        </w:rPr>
        <w:t>B) A resistência bacteriana sempre surge após o início do tratamento</w:t>
      </w:r>
    </w:p>
    <w:p w14:paraId="3255D10C" w14:textId="77777777" w:rsidR="00A81A7D" w:rsidRPr="000D275C" w:rsidRDefault="00A81A7D" w:rsidP="00A81A7D">
      <w:pPr>
        <w:spacing w:after="0" w:line="360" w:lineRule="auto"/>
        <w:jc w:val="both"/>
        <w:rPr>
          <w:rFonts w:ascii="Arial" w:hAnsi="Arial" w:cs="Arial"/>
        </w:rPr>
      </w:pPr>
      <w:r w:rsidRPr="000D275C">
        <w:rPr>
          <w:rFonts w:ascii="Arial" w:hAnsi="Arial" w:cs="Arial"/>
        </w:rPr>
        <w:lastRenderedPageBreak/>
        <w:t>C) A concentração inibitória mínima varia entre diferentes pacientes</w:t>
      </w:r>
    </w:p>
    <w:p w14:paraId="21419513" w14:textId="77777777" w:rsidR="00A81A7D" w:rsidRPr="000D275C" w:rsidRDefault="00A81A7D" w:rsidP="00A81A7D">
      <w:pPr>
        <w:spacing w:after="0" w:line="360" w:lineRule="auto"/>
        <w:jc w:val="both"/>
        <w:rPr>
          <w:rFonts w:ascii="Arial" w:hAnsi="Arial" w:cs="Arial"/>
        </w:rPr>
      </w:pPr>
      <w:r w:rsidRPr="000D275C">
        <w:rPr>
          <w:rFonts w:ascii="Arial" w:hAnsi="Arial" w:cs="Arial"/>
        </w:rPr>
        <w:t>D) O mecanismo de ação do antibacteriano modifica-se durante o tratamento</w:t>
      </w:r>
    </w:p>
    <w:p w14:paraId="6C00B9F7" w14:textId="77777777" w:rsidR="00A81A7D" w:rsidRPr="000D275C" w:rsidRDefault="00A81A7D" w:rsidP="00A81A7D">
      <w:pPr>
        <w:spacing w:after="0" w:line="360" w:lineRule="auto"/>
        <w:jc w:val="both"/>
        <w:rPr>
          <w:rFonts w:ascii="Arial" w:hAnsi="Arial" w:cs="Arial"/>
        </w:rPr>
      </w:pPr>
    </w:p>
    <w:p w14:paraId="72EB1E2E" w14:textId="77777777" w:rsidR="00A81A7D" w:rsidRPr="000D275C" w:rsidRDefault="00A81A7D" w:rsidP="00A81A7D">
      <w:pPr>
        <w:spacing w:after="0" w:line="360" w:lineRule="auto"/>
        <w:jc w:val="both"/>
        <w:rPr>
          <w:rFonts w:ascii="Arial" w:hAnsi="Arial" w:cs="Arial"/>
        </w:rPr>
      </w:pPr>
      <w:r w:rsidRPr="000D275C">
        <w:rPr>
          <w:rFonts w:ascii="Arial" w:hAnsi="Arial" w:cs="Arial"/>
        </w:rPr>
        <w:t>Resposta correta: A) A associação antibacteriana não corrige exposição farmacológica inadequada</w:t>
      </w:r>
    </w:p>
    <w:p w14:paraId="40F1C8D1" w14:textId="77777777" w:rsidR="00A81A7D" w:rsidRPr="000D275C" w:rsidRDefault="00A81A7D" w:rsidP="00A81A7D">
      <w:pPr>
        <w:spacing w:after="0" w:line="360" w:lineRule="auto"/>
        <w:jc w:val="both"/>
        <w:rPr>
          <w:rFonts w:ascii="Arial" w:hAnsi="Arial" w:cs="Arial"/>
        </w:rPr>
      </w:pPr>
    </w:p>
    <w:p w14:paraId="16B1C861" w14:textId="77777777" w:rsidR="00A81A7D" w:rsidRPr="000D275C" w:rsidRDefault="00A81A7D" w:rsidP="00A81A7D">
      <w:pPr>
        <w:spacing w:after="0" w:line="360" w:lineRule="auto"/>
        <w:jc w:val="both"/>
        <w:rPr>
          <w:rFonts w:ascii="Arial" w:hAnsi="Arial" w:cs="Arial"/>
        </w:rPr>
      </w:pPr>
      <w:r w:rsidRPr="000D275C">
        <w:rPr>
          <w:rFonts w:ascii="Arial" w:hAnsi="Arial" w:cs="Arial"/>
        </w:rPr>
        <w:t>Feedback</w:t>
      </w:r>
    </w:p>
    <w:p w14:paraId="3D60EB88" w14:textId="77777777" w:rsidR="00A81A7D" w:rsidRPr="000D275C" w:rsidRDefault="00A81A7D" w:rsidP="00A81A7D">
      <w:pPr>
        <w:spacing w:after="0" w:line="360" w:lineRule="auto"/>
        <w:jc w:val="both"/>
        <w:rPr>
          <w:rFonts w:ascii="Arial" w:hAnsi="Arial" w:cs="Arial"/>
        </w:rPr>
      </w:pPr>
      <w:r w:rsidRPr="000D275C">
        <w:rPr>
          <w:rFonts w:ascii="Arial" w:hAnsi="Arial" w:cs="Arial"/>
        </w:rPr>
        <w:t>A) Correta — Quando a concentração do antibacteriano não atinge níveis adequados no foco infeccioso, adicionar outro agente não compensa a falha de exposição. A otimização do regime farmacocinético deve preceder a ampliação farmacológica.</w:t>
      </w:r>
    </w:p>
    <w:p w14:paraId="4A38A662" w14:textId="77777777" w:rsidR="00A81A7D" w:rsidRPr="000D275C" w:rsidRDefault="00A81A7D" w:rsidP="00A81A7D">
      <w:pPr>
        <w:spacing w:after="0" w:line="360" w:lineRule="auto"/>
        <w:jc w:val="both"/>
        <w:rPr>
          <w:rFonts w:ascii="Arial" w:hAnsi="Arial" w:cs="Arial"/>
        </w:rPr>
      </w:pPr>
      <w:r w:rsidRPr="000D275C">
        <w:rPr>
          <w:rFonts w:ascii="Arial" w:hAnsi="Arial" w:cs="Arial"/>
        </w:rPr>
        <w:t>B) Incorreta — A emergência de resistência pode ocorrer, mas não explica diretamente falha relacionada à exposição inadequada.</w:t>
      </w:r>
    </w:p>
    <w:p w14:paraId="7A53DF9B" w14:textId="77777777" w:rsidR="00A81A7D" w:rsidRPr="000D275C" w:rsidRDefault="00A81A7D" w:rsidP="00A81A7D">
      <w:pPr>
        <w:spacing w:after="0" w:line="360" w:lineRule="auto"/>
        <w:jc w:val="both"/>
        <w:rPr>
          <w:rFonts w:ascii="Arial" w:hAnsi="Arial" w:cs="Arial"/>
        </w:rPr>
      </w:pPr>
      <w:r w:rsidRPr="000D275C">
        <w:rPr>
          <w:rFonts w:ascii="Arial" w:hAnsi="Arial" w:cs="Arial"/>
        </w:rPr>
        <w:t>C) Incorreta — A CIM é determinada em laboratório sob condições padronizadas e não varia entre pacientes para o mesmo isolado bacteriano.</w:t>
      </w:r>
    </w:p>
    <w:p w14:paraId="7EB62D9F" w14:textId="77777777" w:rsidR="00A81A7D" w:rsidRPr="000D275C" w:rsidRDefault="00A81A7D" w:rsidP="00A81A7D">
      <w:pPr>
        <w:spacing w:after="0" w:line="360" w:lineRule="auto"/>
        <w:jc w:val="both"/>
        <w:rPr>
          <w:rFonts w:ascii="Arial" w:hAnsi="Arial" w:cs="Arial"/>
        </w:rPr>
      </w:pPr>
      <w:r w:rsidRPr="000D275C">
        <w:rPr>
          <w:rFonts w:ascii="Arial" w:hAnsi="Arial" w:cs="Arial"/>
        </w:rPr>
        <w:t>D) Incorreta — O mecanismo de ação do antibacteriano não se altera durante o tratamento.</w:t>
      </w:r>
    </w:p>
    <w:p w14:paraId="2E0137C1" w14:textId="77777777" w:rsidR="00A81A7D" w:rsidRPr="000D275C" w:rsidRDefault="00A81A7D" w:rsidP="00A81A7D">
      <w:pPr>
        <w:spacing w:after="0" w:line="360" w:lineRule="auto"/>
        <w:jc w:val="both"/>
        <w:rPr>
          <w:rFonts w:ascii="Arial" w:hAnsi="Arial" w:cs="Arial"/>
          <w:b/>
          <w:bCs/>
        </w:rPr>
      </w:pPr>
    </w:p>
    <w:p w14:paraId="7FC4BEDA" w14:textId="77777777" w:rsidR="00A81A7D" w:rsidRDefault="00A81A7D" w:rsidP="00A81A7D">
      <w:pPr>
        <w:spacing w:after="0" w:line="360" w:lineRule="auto"/>
        <w:jc w:val="both"/>
        <w:rPr>
          <w:rFonts w:ascii="Arial" w:hAnsi="Arial" w:cs="Arial"/>
          <w:b/>
          <w:bCs/>
        </w:rPr>
      </w:pPr>
      <w:r w:rsidRPr="000D275C">
        <w:rPr>
          <w:rFonts w:ascii="Arial" w:hAnsi="Arial" w:cs="Arial"/>
          <w:b/>
          <w:bCs/>
        </w:rPr>
        <w:t>Referências</w:t>
      </w:r>
    </w:p>
    <w:p w14:paraId="39DAA5EF" w14:textId="77777777" w:rsidR="00A81A7D" w:rsidRPr="000D275C" w:rsidRDefault="00A81A7D" w:rsidP="00A81A7D">
      <w:pPr>
        <w:spacing w:after="0" w:line="360" w:lineRule="auto"/>
        <w:jc w:val="both"/>
        <w:rPr>
          <w:rFonts w:ascii="Arial" w:hAnsi="Arial" w:cs="Arial"/>
          <w:b/>
          <w:bCs/>
        </w:rPr>
      </w:pPr>
    </w:p>
    <w:sdt>
      <w:sdtPr>
        <w:rPr>
          <w:rFonts w:ascii="Calibri" w:hAnsi="Calibri" w:cs="Calibri"/>
          <w:color w:val="000000"/>
        </w:rPr>
        <w:tag w:val="MENDELEY_BIBLIOGRAPHY"/>
        <w:id w:val="551818850"/>
        <w:placeholder>
          <w:docPart w:val="DefaultPlaceholder_-1854013440"/>
        </w:placeholder>
      </w:sdtPr>
      <w:sdtEndPr/>
      <w:sdtContent>
        <w:p w14:paraId="0ADA3922" w14:textId="77777777" w:rsidR="00A81A7D" w:rsidRPr="00A81A7D" w:rsidRDefault="00A81A7D">
          <w:pPr>
            <w:autoSpaceDE w:val="0"/>
            <w:autoSpaceDN w:val="0"/>
            <w:ind w:hanging="640"/>
            <w:divId w:val="1556090075"/>
            <w:rPr>
              <w:rFonts w:ascii="Calibri" w:eastAsia="Times New Roman" w:hAnsi="Calibri" w:cs="Calibri"/>
              <w:color w:val="000000"/>
              <w:szCs w:val="24"/>
            </w:rPr>
          </w:pPr>
          <w:r w:rsidRPr="00A81A7D">
            <w:rPr>
              <w:rFonts w:ascii="Calibri" w:eastAsia="Times New Roman" w:hAnsi="Calibri" w:cs="Calibri"/>
              <w:color w:val="000000"/>
            </w:rPr>
            <w:t>1.</w:t>
          </w:r>
          <w:r w:rsidRPr="00A81A7D">
            <w:rPr>
              <w:rFonts w:ascii="Calibri" w:eastAsia="Times New Roman" w:hAnsi="Calibri" w:cs="Calibri"/>
              <w:color w:val="000000"/>
            </w:rPr>
            <w:tab/>
          </w:r>
          <w:proofErr w:type="spellStart"/>
          <w:r w:rsidRPr="00A81A7D">
            <w:rPr>
              <w:rFonts w:ascii="Calibri" w:eastAsia="Times New Roman" w:hAnsi="Calibri" w:cs="Calibri"/>
              <w:color w:val="000000"/>
            </w:rPr>
            <w:t>Pamer</w:t>
          </w:r>
          <w:proofErr w:type="spellEnd"/>
          <w:r w:rsidRPr="00A81A7D">
            <w:rPr>
              <w:rFonts w:ascii="Calibri" w:eastAsia="Times New Roman" w:hAnsi="Calibri" w:cs="Calibri"/>
              <w:color w:val="000000"/>
            </w:rPr>
            <w:t xml:space="preserve"> EG. </w:t>
          </w:r>
          <w:proofErr w:type="spellStart"/>
          <w:r w:rsidRPr="00A81A7D">
            <w:rPr>
              <w:rFonts w:ascii="Calibri" w:eastAsia="Times New Roman" w:hAnsi="Calibri" w:cs="Calibri"/>
              <w:color w:val="000000"/>
            </w:rPr>
            <w:t>Resurrecting</w:t>
          </w:r>
          <w:proofErr w:type="spellEnd"/>
          <w:r w:rsidRPr="00A81A7D">
            <w:rPr>
              <w:rFonts w:ascii="Calibri" w:eastAsia="Times New Roman" w:hAnsi="Calibri" w:cs="Calibri"/>
              <w:color w:val="000000"/>
            </w:rPr>
            <w:t xml:space="preserve"> </w:t>
          </w:r>
          <w:proofErr w:type="spellStart"/>
          <w:r w:rsidRPr="00A81A7D">
            <w:rPr>
              <w:rFonts w:ascii="Calibri" w:eastAsia="Times New Roman" w:hAnsi="Calibri" w:cs="Calibri"/>
              <w:color w:val="000000"/>
            </w:rPr>
            <w:t>the</w:t>
          </w:r>
          <w:proofErr w:type="spellEnd"/>
          <w:r w:rsidRPr="00A81A7D">
            <w:rPr>
              <w:rFonts w:ascii="Calibri" w:eastAsia="Times New Roman" w:hAnsi="Calibri" w:cs="Calibri"/>
              <w:color w:val="000000"/>
            </w:rPr>
            <w:t xml:space="preserve"> intestinal microbiota </w:t>
          </w:r>
          <w:proofErr w:type="spellStart"/>
          <w:r w:rsidRPr="00A81A7D">
            <w:rPr>
              <w:rFonts w:ascii="Calibri" w:eastAsia="Times New Roman" w:hAnsi="Calibri" w:cs="Calibri"/>
              <w:color w:val="000000"/>
            </w:rPr>
            <w:t>to</w:t>
          </w:r>
          <w:proofErr w:type="spellEnd"/>
          <w:r w:rsidRPr="00A81A7D">
            <w:rPr>
              <w:rFonts w:ascii="Calibri" w:eastAsia="Times New Roman" w:hAnsi="Calibri" w:cs="Calibri"/>
              <w:color w:val="000000"/>
            </w:rPr>
            <w:t xml:space="preserve"> </w:t>
          </w:r>
          <w:proofErr w:type="spellStart"/>
          <w:r w:rsidRPr="00A81A7D">
            <w:rPr>
              <w:rFonts w:ascii="Calibri" w:eastAsia="Times New Roman" w:hAnsi="Calibri" w:cs="Calibri"/>
              <w:color w:val="000000"/>
            </w:rPr>
            <w:t>combat</w:t>
          </w:r>
          <w:proofErr w:type="spellEnd"/>
          <w:r w:rsidRPr="00A81A7D">
            <w:rPr>
              <w:rFonts w:ascii="Calibri" w:eastAsia="Times New Roman" w:hAnsi="Calibri" w:cs="Calibri"/>
              <w:color w:val="000000"/>
            </w:rPr>
            <w:t xml:space="preserve"> </w:t>
          </w:r>
          <w:proofErr w:type="spellStart"/>
          <w:r w:rsidRPr="00A81A7D">
            <w:rPr>
              <w:rFonts w:ascii="Calibri" w:eastAsia="Times New Roman" w:hAnsi="Calibri" w:cs="Calibri"/>
              <w:color w:val="000000"/>
            </w:rPr>
            <w:t>antibiotic-resistant</w:t>
          </w:r>
          <w:proofErr w:type="spellEnd"/>
          <w:r w:rsidRPr="00A81A7D">
            <w:rPr>
              <w:rFonts w:ascii="Calibri" w:eastAsia="Times New Roman" w:hAnsi="Calibri" w:cs="Calibri"/>
              <w:color w:val="000000"/>
            </w:rPr>
            <w:t xml:space="preserve"> </w:t>
          </w:r>
          <w:proofErr w:type="spellStart"/>
          <w:r w:rsidRPr="00A81A7D">
            <w:rPr>
              <w:rFonts w:ascii="Calibri" w:eastAsia="Times New Roman" w:hAnsi="Calibri" w:cs="Calibri"/>
              <w:color w:val="000000"/>
            </w:rPr>
            <w:t>pathogens</w:t>
          </w:r>
          <w:proofErr w:type="spellEnd"/>
          <w:r w:rsidRPr="00A81A7D">
            <w:rPr>
              <w:rFonts w:ascii="Calibri" w:eastAsia="Times New Roman" w:hAnsi="Calibri" w:cs="Calibri"/>
              <w:color w:val="000000"/>
            </w:rPr>
            <w:t xml:space="preserve">. Science (1979). 2016 </w:t>
          </w:r>
          <w:proofErr w:type="spellStart"/>
          <w:r w:rsidRPr="00A81A7D">
            <w:rPr>
              <w:rFonts w:ascii="Calibri" w:eastAsia="Times New Roman" w:hAnsi="Calibri" w:cs="Calibri"/>
              <w:color w:val="000000"/>
            </w:rPr>
            <w:t>Apr</w:t>
          </w:r>
          <w:proofErr w:type="spellEnd"/>
          <w:r w:rsidRPr="00A81A7D">
            <w:rPr>
              <w:rFonts w:ascii="Calibri" w:eastAsia="Times New Roman" w:hAnsi="Calibri" w:cs="Calibri"/>
              <w:color w:val="000000"/>
            </w:rPr>
            <w:t xml:space="preserve"> 29;352(6285):535–8. doi:10.1126/science.aad9382</w:t>
          </w:r>
        </w:p>
        <w:p w14:paraId="70CE853F" w14:textId="77777777" w:rsidR="00A81A7D" w:rsidRPr="008D0A20" w:rsidRDefault="00A81A7D">
          <w:pPr>
            <w:autoSpaceDE w:val="0"/>
            <w:autoSpaceDN w:val="0"/>
            <w:ind w:hanging="640"/>
            <w:divId w:val="861554664"/>
            <w:rPr>
              <w:rFonts w:ascii="Calibri" w:eastAsia="Times New Roman" w:hAnsi="Calibri" w:cs="Calibri"/>
              <w:color w:val="000000"/>
              <w:lang w:val="en-US"/>
            </w:rPr>
          </w:pPr>
          <w:r w:rsidRPr="00A81A7D">
            <w:rPr>
              <w:rFonts w:ascii="Calibri" w:eastAsia="Times New Roman" w:hAnsi="Calibri" w:cs="Calibri"/>
              <w:color w:val="000000"/>
            </w:rPr>
            <w:t>2.</w:t>
          </w:r>
          <w:r w:rsidRPr="00A81A7D">
            <w:rPr>
              <w:rFonts w:ascii="Calibri" w:eastAsia="Times New Roman" w:hAnsi="Calibri" w:cs="Calibri"/>
              <w:color w:val="000000"/>
            </w:rPr>
            <w:tab/>
            <w:t xml:space="preserve">Bush K, Bradford PA. </w:t>
          </w:r>
          <w:r w:rsidRPr="008D0A20">
            <w:rPr>
              <w:rFonts w:ascii="Calibri" w:eastAsia="Times New Roman" w:hAnsi="Calibri" w:cs="Calibri"/>
              <w:color w:val="000000"/>
              <w:lang w:val="en-US"/>
            </w:rPr>
            <w:t xml:space="preserve">Epidemiology of </w:t>
          </w:r>
          <w:r w:rsidRPr="00A81A7D">
            <w:rPr>
              <w:rFonts w:ascii="Calibri" w:eastAsia="Times New Roman" w:hAnsi="Calibri" w:cs="Calibri"/>
              <w:color w:val="000000"/>
            </w:rPr>
            <w:t>β</w:t>
          </w:r>
          <w:r w:rsidRPr="008D0A20">
            <w:rPr>
              <w:rFonts w:ascii="Calibri" w:eastAsia="Times New Roman" w:hAnsi="Calibri" w:cs="Calibri"/>
              <w:color w:val="000000"/>
              <w:lang w:val="en-US"/>
            </w:rPr>
            <w:t>-Lactamase-Producing Pathogens. Clin Microbiol Rev. 2020 Mar 18;33(2). doi:10.1128/CMR.00047-19</w:t>
          </w:r>
        </w:p>
        <w:p w14:paraId="3DDAAF0F" w14:textId="77777777" w:rsidR="00A81A7D" w:rsidRPr="008D0A20" w:rsidRDefault="00A81A7D">
          <w:pPr>
            <w:autoSpaceDE w:val="0"/>
            <w:autoSpaceDN w:val="0"/>
            <w:ind w:hanging="640"/>
            <w:divId w:val="792286159"/>
            <w:rPr>
              <w:rFonts w:ascii="Calibri" w:eastAsia="Times New Roman" w:hAnsi="Calibri" w:cs="Calibri"/>
              <w:color w:val="000000"/>
              <w:lang w:val="en-US"/>
            </w:rPr>
          </w:pPr>
          <w:r w:rsidRPr="008D0A20">
            <w:rPr>
              <w:rFonts w:ascii="Calibri" w:eastAsia="Times New Roman" w:hAnsi="Calibri" w:cs="Calibri"/>
              <w:color w:val="000000"/>
              <w:lang w:val="en-US"/>
            </w:rPr>
            <w:t>3.</w:t>
          </w:r>
          <w:r w:rsidRPr="008D0A20">
            <w:rPr>
              <w:rFonts w:ascii="Calibri" w:eastAsia="Times New Roman" w:hAnsi="Calibri" w:cs="Calibri"/>
              <w:color w:val="000000"/>
              <w:lang w:val="en-US"/>
            </w:rPr>
            <w:tab/>
            <w:t xml:space="preserve">McDonald LC, </w:t>
          </w:r>
          <w:proofErr w:type="spellStart"/>
          <w:r w:rsidRPr="008D0A20">
            <w:rPr>
              <w:rFonts w:ascii="Calibri" w:eastAsia="Times New Roman" w:hAnsi="Calibri" w:cs="Calibri"/>
              <w:color w:val="000000"/>
              <w:lang w:val="en-US"/>
            </w:rPr>
            <w:t>Gerding</w:t>
          </w:r>
          <w:proofErr w:type="spellEnd"/>
          <w:r w:rsidRPr="008D0A20">
            <w:rPr>
              <w:rFonts w:ascii="Calibri" w:eastAsia="Times New Roman" w:hAnsi="Calibri" w:cs="Calibri"/>
              <w:color w:val="000000"/>
              <w:lang w:val="en-US"/>
            </w:rPr>
            <w:t xml:space="preserve"> DN, Johnson S, Bakken JS, Carroll KC, Coffin SE, et al. Clinical Practice Guidelines for Clostridium difficile Infection in Adults and Children: 2017 Update by the Infectious Diseases Society of America (IDSA) and Society for Healthcare Epidemiology of America (SHEA). Clinical Infectious Diseases. 2018 Mar 19;66(7):987–94. doi:10.1093/</w:t>
          </w:r>
          <w:proofErr w:type="spellStart"/>
          <w:r w:rsidRPr="008D0A20">
            <w:rPr>
              <w:rFonts w:ascii="Calibri" w:eastAsia="Times New Roman" w:hAnsi="Calibri" w:cs="Calibri"/>
              <w:color w:val="000000"/>
              <w:lang w:val="en-US"/>
            </w:rPr>
            <w:t>cid</w:t>
          </w:r>
          <w:proofErr w:type="spellEnd"/>
          <w:r w:rsidRPr="008D0A20">
            <w:rPr>
              <w:rFonts w:ascii="Calibri" w:eastAsia="Times New Roman" w:hAnsi="Calibri" w:cs="Calibri"/>
              <w:color w:val="000000"/>
              <w:lang w:val="en-US"/>
            </w:rPr>
            <w:t>/ciy149</w:t>
          </w:r>
        </w:p>
        <w:p w14:paraId="097A9EF4" w14:textId="77777777" w:rsidR="00A81A7D" w:rsidRPr="008D0A20" w:rsidRDefault="00A81A7D">
          <w:pPr>
            <w:autoSpaceDE w:val="0"/>
            <w:autoSpaceDN w:val="0"/>
            <w:ind w:hanging="640"/>
            <w:divId w:val="1002119866"/>
            <w:rPr>
              <w:rFonts w:ascii="Calibri" w:eastAsia="Times New Roman" w:hAnsi="Calibri" w:cs="Calibri"/>
              <w:color w:val="000000"/>
              <w:lang w:val="en-US"/>
            </w:rPr>
          </w:pPr>
          <w:r w:rsidRPr="008D0A20">
            <w:rPr>
              <w:rFonts w:ascii="Calibri" w:eastAsia="Times New Roman" w:hAnsi="Calibri" w:cs="Calibri"/>
              <w:color w:val="000000"/>
              <w:lang w:val="en-US"/>
            </w:rPr>
            <w:t>4.</w:t>
          </w:r>
          <w:r w:rsidRPr="008D0A20">
            <w:rPr>
              <w:rFonts w:ascii="Calibri" w:eastAsia="Times New Roman" w:hAnsi="Calibri" w:cs="Calibri"/>
              <w:color w:val="000000"/>
              <w:lang w:val="en-US"/>
            </w:rPr>
            <w:tab/>
            <w:t xml:space="preserve">Albin OR, Pogue JM, </w:t>
          </w:r>
          <w:proofErr w:type="spellStart"/>
          <w:r w:rsidRPr="008D0A20">
            <w:rPr>
              <w:rFonts w:ascii="Calibri" w:eastAsia="Times New Roman" w:hAnsi="Calibri" w:cs="Calibri"/>
              <w:color w:val="000000"/>
              <w:lang w:val="en-US"/>
            </w:rPr>
            <w:t>Wunderink</w:t>
          </w:r>
          <w:proofErr w:type="spellEnd"/>
          <w:r w:rsidRPr="008D0A20">
            <w:rPr>
              <w:rFonts w:ascii="Calibri" w:eastAsia="Times New Roman" w:hAnsi="Calibri" w:cs="Calibri"/>
              <w:color w:val="000000"/>
              <w:lang w:val="en-US"/>
            </w:rPr>
            <w:t xml:space="preserve"> RG, Kaye KS. Which trial do we need? Combination antimicrobial therapy for hospital-acquired bacterial pneumonia caused by Pseudomonas aeruginosa. Clinical Microbiology and Infection. 2024 Feb;30(2):162–4. doi:10.1016/j.cmi.2023.07.007</w:t>
          </w:r>
        </w:p>
        <w:p w14:paraId="4030BB93" w14:textId="77777777" w:rsidR="00A81A7D" w:rsidRPr="008D0A20" w:rsidRDefault="00A81A7D">
          <w:pPr>
            <w:autoSpaceDE w:val="0"/>
            <w:autoSpaceDN w:val="0"/>
            <w:ind w:hanging="640"/>
            <w:divId w:val="1245802380"/>
            <w:rPr>
              <w:rFonts w:ascii="Calibri" w:eastAsia="Times New Roman" w:hAnsi="Calibri" w:cs="Calibri"/>
              <w:color w:val="000000"/>
              <w:lang w:val="en-US"/>
            </w:rPr>
          </w:pPr>
          <w:r w:rsidRPr="008D0A20">
            <w:rPr>
              <w:rFonts w:ascii="Calibri" w:eastAsia="Times New Roman" w:hAnsi="Calibri" w:cs="Calibri"/>
              <w:color w:val="000000"/>
              <w:lang w:val="en-US"/>
            </w:rPr>
            <w:t>5.</w:t>
          </w:r>
          <w:r w:rsidRPr="008D0A20">
            <w:rPr>
              <w:rFonts w:ascii="Calibri" w:eastAsia="Times New Roman" w:hAnsi="Calibri" w:cs="Calibri"/>
              <w:color w:val="000000"/>
              <w:lang w:val="en-US"/>
            </w:rPr>
            <w:tab/>
          </w:r>
          <w:proofErr w:type="spellStart"/>
          <w:r w:rsidRPr="008D0A20">
            <w:rPr>
              <w:rFonts w:ascii="Calibri" w:eastAsia="Times New Roman" w:hAnsi="Calibri" w:cs="Calibri"/>
              <w:color w:val="000000"/>
              <w:lang w:val="en-US"/>
            </w:rPr>
            <w:t>Tamma</w:t>
          </w:r>
          <w:proofErr w:type="spellEnd"/>
          <w:r w:rsidRPr="008D0A20">
            <w:rPr>
              <w:rFonts w:ascii="Calibri" w:eastAsia="Times New Roman" w:hAnsi="Calibri" w:cs="Calibri"/>
              <w:color w:val="000000"/>
              <w:lang w:val="en-US"/>
            </w:rPr>
            <w:t xml:space="preserve"> PD, Aitken SL, </w:t>
          </w:r>
          <w:proofErr w:type="spellStart"/>
          <w:r w:rsidRPr="008D0A20">
            <w:rPr>
              <w:rFonts w:ascii="Calibri" w:eastAsia="Times New Roman" w:hAnsi="Calibri" w:cs="Calibri"/>
              <w:color w:val="000000"/>
              <w:lang w:val="en-US"/>
            </w:rPr>
            <w:t>Bonomo</w:t>
          </w:r>
          <w:proofErr w:type="spellEnd"/>
          <w:r w:rsidRPr="008D0A20">
            <w:rPr>
              <w:rFonts w:ascii="Calibri" w:eastAsia="Times New Roman" w:hAnsi="Calibri" w:cs="Calibri"/>
              <w:color w:val="000000"/>
              <w:lang w:val="en-US"/>
            </w:rPr>
            <w:t xml:space="preserve"> RA, Mathers AJ, van </w:t>
          </w:r>
          <w:proofErr w:type="spellStart"/>
          <w:r w:rsidRPr="008D0A20">
            <w:rPr>
              <w:rFonts w:ascii="Calibri" w:eastAsia="Times New Roman" w:hAnsi="Calibri" w:cs="Calibri"/>
              <w:color w:val="000000"/>
              <w:lang w:val="en-US"/>
            </w:rPr>
            <w:t>Duin</w:t>
          </w:r>
          <w:proofErr w:type="spellEnd"/>
          <w:r w:rsidRPr="008D0A20">
            <w:rPr>
              <w:rFonts w:ascii="Calibri" w:eastAsia="Times New Roman" w:hAnsi="Calibri" w:cs="Calibri"/>
              <w:color w:val="000000"/>
              <w:lang w:val="en-US"/>
            </w:rPr>
            <w:t xml:space="preserve"> D, Clancy CJ. Infectious Diseases Society of America Guidance on the Treatment of Extended-Spectrum </w:t>
          </w:r>
          <w:r w:rsidRPr="00A81A7D">
            <w:rPr>
              <w:rFonts w:ascii="Calibri" w:eastAsia="Times New Roman" w:hAnsi="Calibri" w:cs="Calibri"/>
              <w:color w:val="000000"/>
            </w:rPr>
            <w:t>β</w:t>
          </w:r>
          <w:r w:rsidRPr="008D0A20">
            <w:rPr>
              <w:rFonts w:ascii="Calibri" w:eastAsia="Times New Roman" w:hAnsi="Calibri" w:cs="Calibri"/>
              <w:color w:val="000000"/>
              <w:lang w:val="en-US"/>
            </w:rPr>
            <w:t xml:space="preserve">-lactamase Producing </w:t>
          </w:r>
          <w:proofErr w:type="spellStart"/>
          <w:r w:rsidRPr="008D0A20">
            <w:rPr>
              <w:rFonts w:ascii="Calibri" w:eastAsia="Times New Roman" w:hAnsi="Calibri" w:cs="Calibri"/>
              <w:color w:val="000000"/>
              <w:lang w:val="en-US"/>
            </w:rPr>
            <w:t>Enterobacterales</w:t>
          </w:r>
          <w:proofErr w:type="spellEnd"/>
          <w:r w:rsidRPr="008D0A20">
            <w:rPr>
              <w:rFonts w:ascii="Calibri" w:eastAsia="Times New Roman" w:hAnsi="Calibri" w:cs="Calibri"/>
              <w:color w:val="000000"/>
              <w:lang w:val="en-US"/>
            </w:rPr>
            <w:t xml:space="preserve"> (ESBL-E), Carbapenem-Resistant </w:t>
          </w:r>
          <w:proofErr w:type="spellStart"/>
          <w:r w:rsidRPr="008D0A20">
            <w:rPr>
              <w:rFonts w:ascii="Calibri" w:eastAsia="Times New Roman" w:hAnsi="Calibri" w:cs="Calibri"/>
              <w:color w:val="000000"/>
              <w:lang w:val="en-US"/>
            </w:rPr>
            <w:t>Enterobacterales</w:t>
          </w:r>
          <w:proofErr w:type="spellEnd"/>
          <w:r w:rsidRPr="008D0A20">
            <w:rPr>
              <w:rFonts w:ascii="Calibri" w:eastAsia="Times New Roman" w:hAnsi="Calibri" w:cs="Calibri"/>
              <w:color w:val="000000"/>
              <w:lang w:val="en-US"/>
            </w:rPr>
            <w:t xml:space="preserve"> (CRE), and </w:t>
          </w:r>
          <w:r w:rsidRPr="008D0A20">
            <w:rPr>
              <w:rFonts w:ascii="Calibri" w:eastAsia="Times New Roman" w:hAnsi="Calibri" w:cs="Calibri"/>
              <w:i/>
              <w:iCs/>
              <w:color w:val="000000"/>
              <w:lang w:val="en-US"/>
            </w:rPr>
            <w:t>Pseudomonas aeruginosa</w:t>
          </w:r>
          <w:r w:rsidRPr="008D0A20">
            <w:rPr>
              <w:rFonts w:ascii="Calibri" w:eastAsia="Times New Roman" w:hAnsi="Calibri" w:cs="Calibri"/>
              <w:color w:val="000000"/>
              <w:lang w:val="en-US"/>
            </w:rPr>
            <w:t xml:space="preserve"> with Difficult-to-Treat Resistance (DTR- </w:t>
          </w:r>
          <w:r w:rsidRPr="008D0A20">
            <w:rPr>
              <w:rFonts w:ascii="Calibri" w:eastAsia="Times New Roman" w:hAnsi="Calibri" w:cs="Calibri"/>
              <w:i/>
              <w:iCs/>
              <w:color w:val="000000"/>
              <w:lang w:val="en-US"/>
            </w:rPr>
            <w:t>P. aeruginosa</w:t>
          </w:r>
          <w:r w:rsidRPr="008D0A20">
            <w:rPr>
              <w:rFonts w:ascii="Calibri" w:eastAsia="Times New Roman" w:hAnsi="Calibri" w:cs="Calibri"/>
              <w:color w:val="000000"/>
              <w:lang w:val="en-US"/>
            </w:rPr>
            <w:t xml:space="preserve"> ). Clinical Infectious Diseases. 2021 Apr 8;72(7):e169–83. doi:10.1093/</w:t>
          </w:r>
          <w:proofErr w:type="spellStart"/>
          <w:r w:rsidRPr="008D0A20">
            <w:rPr>
              <w:rFonts w:ascii="Calibri" w:eastAsia="Times New Roman" w:hAnsi="Calibri" w:cs="Calibri"/>
              <w:color w:val="000000"/>
              <w:lang w:val="en-US"/>
            </w:rPr>
            <w:t>cid</w:t>
          </w:r>
          <w:proofErr w:type="spellEnd"/>
          <w:r w:rsidRPr="008D0A20">
            <w:rPr>
              <w:rFonts w:ascii="Calibri" w:eastAsia="Times New Roman" w:hAnsi="Calibri" w:cs="Calibri"/>
              <w:color w:val="000000"/>
              <w:lang w:val="en-US"/>
            </w:rPr>
            <w:t>/ciaa1478</w:t>
          </w:r>
        </w:p>
        <w:p w14:paraId="2898D470" w14:textId="77777777" w:rsidR="00A81A7D" w:rsidRPr="00A81A7D" w:rsidRDefault="00A81A7D">
          <w:pPr>
            <w:autoSpaceDE w:val="0"/>
            <w:autoSpaceDN w:val="0"/>
            <w:ind w:hanging="640"/>
            <w:divId w:val="111478735"/>
            <w:rPr>
              <w:rFonts w:ascii="Calibri" w:eastAsia="Times New Roman" w:hAnsi="Calibri" w:cs="Calibri"/>
              <w:color w:val="000000"/>
            </w:rPr>
          </w:pPr>
          <w:r w:rsidRPr="008D0A20">
            <w:rPr>
              <w:rFonts w:ascii="Calibri" w:eastAsia="Times New Roman" w:hAnsi="Calibri" w:cs="Calibri"/>
              <w:color w:val="000000"/>
              <w:lang w:val="en-US"/>
            </w:rPr>
            <w:lastRenderedPageBreak/>
            <w:t>6.</w:t>
          </w:r>
          <w:r w:rsidRPr="008D0A20">
            <w:rPr>
              <w:rFonts w:ascii="Calibri" w:eastAsia="Times New Roman" w:hAnsi="Calibri" w:cs="Calibri"/>
              <w:color w:val="000000"/>
              <w:lang w:val="en-US"/>
            </w:rPr>
            <w:tab/>
            <w:t xml:space="preserve">Roberts JA, Abdul-Aziz MH, Lipman J, Mouton JW, </w:t>
          </w:r>
          <w:proofErr w:type="spellStart"/>
          <w:r w:rsidRPr="008D0A20">
            <w:rPr>
              <w:rFonts w:ascii="Calibri" w:eastAsia="Times New Roman" w:hAnsi="Calibri" w:cs="Calibri"/>
              <w:color w:val="000000"/>
              <w:lang w:val="en-US"/>
            </w:rPr>
            <w:t>Vinks</w:t>
          </w:r>
          <w:proofErr w:type="spellEnd"/>
          <w:r w:rsidRPr="008D0A20">
            <w:rPr>
              <w:rFonts w:ascii="Calibri" w:eastAsia="Times New Roman" w:hAnsi="Calibri" w:cs="Calibri"/>
              <w:color w:val="000000"/>
              <w:lang w:val="en-US"/>
            </w:rPr>
            <w:t xml:space="preserve"> AA, Felton TW, et al. </w:t>
          </w:r>
          <w:proofErr w:type="spellStart"/>
          <w:r w:rsidRPr="008D0A20">
            <w:rPr>
              <w:rFonts w:ascii="Calibri" w:eastAsia="Times New Roman" w:hAnsi="Calibri" w:cs="Calibri"/>
              <w:color w:val="000000"/>
              <w:lang w:val="en-US"/>
            </w:rPr>
            <w:t>Individualised</w:t>
          </w:r>
          <w:proofErr w:type="spellEnd"/>
          <w:r w:rsidRPr="008D0A20">
            <w:rPr>
              <w:rFonts w:ascii="Calibri" w:eastAsia="Times New Roman" w:hAnsi="Calibri" w:cs="Calibri"/>
              <w:color w:val="000000"/>
              <w:lang w:val="en-US"/>
            </w:rPr>
            <w:t xml:space="preserve"> antibiotic dosing for patients who are critically ill: challenges and potential solutions. </w:t>
          </w:r>
          <w:r w:rsidRPr="00A81A7D">
            <w:rPr>
              <w:rFonts w:ascii="Calibri" w:eastAsia="Times New Roman" w:hAnsi="Calibri" w:cs="Calibri"/>
              <w:color w:val="000000"/>
            </w:rPr>
            <w:t xml:space="preserve">Lancet </w:t>
          </w:r>
          <w:proofErr w:type="spellStart"/>
          <w:r w:rsidRPr="00A81A7D">
            <w:rPr>
              <w:rFonts w:ascii="Calibri" w:eastAsia="Times New Roman" w:hAnsi="Calibri" w:cs="Calibri"/>
              <w:color w:val="000000"/>
            </w:rPr>
            <w:t>Infect</w:t>
          </w:r>
          <w:proofErr w:type="spellEnd"/>
          <w:r w:rsidRPr="00A81A7D">
            <w:rPr>
              <w:rFonts w:ascii="Calibri" w:eastAsia="Times New Roman" w:hAnsi="Calibri" w:cs="Calibri"/>
              <w:color w:val="000000"/>
            </w:rPr>
            <w:t xml:space="preserve"> </w:t>
          </w:r>
          <w:proofErr w:type="spellStart"/>
          <w:r w:rsidRPr="00A81A7D">
            <w:rPr>
              <w:rFonts w:ascii="Calibri" w:eastAsia="Times New Roman" w:hAnsi="Calibri" w:cs="Calibri"/>
              <w:color w:val="000000"/>
            </w:rPr>
            <w:t>Dis</w:t>
          </w:r>
          <w:proofErr w:type="spellEnd"/>
          <w:r w:rsidRPr="00A81A7D">
            <w:rPr>
              <w:rFonts w:ascii="Calibri" w:eastAsia="Times New Roman" w:hAnsi="Calibri" w:cs="Calibri"/>
              <w:color w:val="000000"/>
            </w:rPr>
            <w:t>. 2014 Jun;14(6):498–509. doi:10.1016/S1473-3099(14)70036-2</w:t>
          </w:r>
        </w:p>
        <w:p w14:paraId="15179A7F" w14:textId="0A1AA4F5" w:rsidR="00775D1C" w:rsidRDefault="00A81A7D">
          <w:r w:rsidRPr="00A81A7D">
            <w:rPr>
              <w:rFonts w:ascii="Calibri" w:eastAsia="Times New Roman" w:hAnsi="Calibri" w:cs="Calibri"/>
              <w:color w:val="000000"/>
            </w:rPr>
            <w:t> </w:t>
          </w:r>
        </w:p>
      </w:sdtContent>
    </w:sdt>
    <w:sectPr w:rsidR="00775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7D"/>
    <w:rsid w:val="00775D1C"/>
    <w:rsid w:val="008D0A20"/>
    <w:rsid w:val="009933CE"/>
    <w:rsid w:val="00A81A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FAD2"/>
  <w15:chartTrackingRefBased/>
  <w15:docId w15:val="{EF99E4F3-04C8-41AF-9742-6C895516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A7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81A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24024">
      <w:bodyDiv w:val="1"/>
      <w:marLeft w:val="0"/>
      <w:marRight w:val="0"/>
      <w:marTop w:val="0"/>
      <w:marBottom w:val="0"/>
      <w:divBdr>
        <w:top w:val="none" w:sz="0" w:space="0" w:color="auto"/>
        <w:left w:val="none" w:sz="0" w:space="0" w:color="auto"/>
        <w:bottom w:val="none" w:sz="0" w:space="0" w:color="auto"/>
        <w:right w:val="none" w:sz="0" w:space="0" w:color="auto"/>
      </w:divBdr>
      <w:divsChild>
        <w:div w:id="1556090075">
          <w:marLeft w:val="640"/>
          <w:marRight w:val="0"/>
          <w:marTop w:val="0"/>
          <w:marBottom w:val="0"/>
          <w:divBdr>
            <w:top w:val="none" w:sz="0" w:space="0" w:color="auto"/>
            <w:left w:val="none" w:sz="0" w:space="0" w:color="auto"/>
            <w:bottom w:val="none" w:sz="0" w:space="0" w:color="auto"/>
            <w:right w:val="none" w:sz="0" w:space="0" w:color="auto"/>
          </w:divBdr>
        </w:div>
        <w:div w:id="861554664">
          <w:marLeft w:val="640"/>
          <w:marRight w:val="0"/>
          <w:marTop w:val="0"/>
          <w:marBottom w:val="0"/>
          <w:divBdr>
            <w:top w:val="none" w:sz="0" w:space="0" w:color="auto"/>
            <w:left w:val="none" w:sz="0" w:space="0" w:color="auto"/>
            <w:bottom w:val="none" w:sz="0" w:space="0" w:color="auto"/>
            <w:right w:val="none" w:sz="0" w:space="0" w:color="auto"/>
          </w:divBdr>
        </w:div>
        <w:div w:id="792286159">
          <w:marLeft w:val="640"/>
          <w:marRight w:val="0"/>
          <w:marTop w:val="0"/>
          <w:marBottom w:val="0"/>
          <w:divBdr>
            <w:top w:val="none" w:sz="0" w:space="0" w:color="auto"/>
            <w:left w:val="none" w:sz="0" w:space="0" w:color="auto"/>
            <w:bottom w:val="none" w:sz="0" w:space="0" w:color="auto"/>
            <w:right w:val="none" w:sz="0" w:space="0" w:color="auto"/>
          </w:divBdr>
        </w:div>
        <w:div w:id="1002119866">
          <w:marLeft w:val="640"/>
          <w:marRight w:val="0"/>
          <w:marTop w:val="0"/>
          <w:marBottom w:val="0"/>
          <w:divBdr>
            <w:top w:val="none" w:sz="0" w:space="0" w:color="auto"/>
            <w:left w:val="none" w:sz="0" w:space="0" w:color="auto"/>
            <w:bottom w:val="none" w:sz="0" w:space="0" w:color="auto"/>
            <w:right w:val="none" w:sz="0" w:space="0" w:color="auto"/>
          </w:divBdr>
        </w:div>
        <w:div w:id="1245802380">
          <w:marLeft w:val="640"/>
          <w:marRight w:val="0"/>
          <w:marTop w:val="0"/>
          <w:marBottom w:val="0"/>
          <w:divBdr>
            <w:top w:val="none" w:sz="0" w:space="0" w:color="auto"/>
            <w:left w:val="none" w:sz="0" w:space="0" w:color="auto"/>
            <w:bottom w:val="none" w:sz="0" w:space="0" w:color="auto"/>
            <w:right w:val="none" w:sz="0" w:space="0" w:color="auto"/>
          </w:divBdr>
        </w:div>
        <w:div w:id="11147873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44B80D403148D2970562F589B7E38C"/>
        <w:category>
          <w:name w:val="Geral"/>
          <w:gallery w:val="placeholder"/>
        </w:category>
        <w:types>
          <w:type w:val="bbPlcHdr"/>
        </w:types>
        <w:behaviors>
          <w:behavior w:val="content"/>
        </w:behaviors>
        <w:guid w:val="{D6811441-E8CF-4EAF-AC98-6593413ED86C}"/>
      </w:docPartPr>
      <w:docPartBody>
        <w:p w:rsidR="006C48B9" w:rsidRDefault="00696351" w:rsidP="00696351">
          <w:pPr>
            <w:pStyle w:val="5844B80D403148D2970562F589B7E38C"/>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CE9CDAC4-CC4E-43E4-8328-DB4171BF8D97}"/>
      </w:docPartPr>
      <w:docPartBody>
        <w:p w:rsidR="006C48B9" w:rsidRDefault="00696351">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51"/>
    <w:rsid w:val="00696351"/>
    <w:rsid w:val="006C48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96351"/>
    <w:rPr>
      <w:color w:val="808080"/>
    </w:rPr>
  </w:style>
  <w:style w:type="paragraph" w:customStyle="1" w:styleId="5844B80D403148D2970562F589B7E38C">
    <w:name w:val="5844B80D403148D2970562F589B7E38C"/>
    <w:rsid w:val="006963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7F212C-D021-4668-9F96-9EEF68F18CD0}">
  <we:reference id="wa104382081" version="1.55.1.0" store="en-US" storeType="OMEX"/>
  <we:alternateReferences>
    <we:reference id="WA104382081" version="1.55.1.0" store="" storeType="OMEX"/>
  </we:alternateReferences>
  <we:properties>
    <we:property name="MENDELEY_CITATIONS" value="[{&quot;citationID&quot;:&quot;MENDELEY_CITATION_12702598-118e-40e3-a803-da570273aa76&quot;,&quot;properties&quot;:{&quot;noteIndex&quot;:0},&quot;isEdited&quot;:false,&quot;manualOverride&quot;:{&quot;isManuallyOverridden&quot;:false,&quot;citeprocText&quot;:&quot;(1,2)&quot;,&quot;manualOverrideText&quot;:&quot;&quot;},&quot;citationTag&quot;:&quot;MENDELEY_CITATION_v3_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3d040750-8a65-351f-b644-3094dde37782&quot;,&quot;itemData&quot;:{&quot;type&quot;:&quot;article-journal&quot;,&quot;id&quot;:&quot;3d040750-8a65-351f-b644-3094dde37782&quot;,&quot;title&quot;:&quot;Resurrecting the intestinal microbiota to combat antibiotic-resistant pathogens&quot;,&quot;author&quot;:[{&quot;family&quot;:&quot;Pamer&quot;,&quot;given&quot;:&quot;Eric G.&quot;,&quot;parse-names&quot;:false,&quot;dropping-particle&quot;:&quot;&quot;,&quot;non-dropping-particle&quot;:&quot;&quot;}],&quot;container-title&quot;:&quot;Science&quot;,&quot;container-title-short&quot;:&quot;Science (1979).&quot;,&quot;DOI&quot;:&quot;10.1126/science.aad9382&quot;,&quot;ISSN&quot;:&quot;0036-8075&quot;,&quot;issued&quot;:{&quot;date-parts&quot;:[[2016,4,29]]},&quot;page&quot;:&quot;535-538&quot;,&quot;abstract&quot;:&quot;&lt;p&gt;The intestinal microbiota, which is composed of diverse populations of commensal bacterial species, provides resistance against colonization and invasion by pathogens. Antibiotic treatment can damage the intestinal microbiota and, paradoxically, increase susceptibility to infections. Reestablishing microbiota-mediated colonization resistance after antibiotic treatment could markedly reduce infections, particularly those caused by antibiotic-resistant bacteria. Ongoing studies are identifying commensal bacterial species that can be developed into next-generation probiotics to reestablish or enhance colonization resistance. These live medicines are at various stages of discovery, testing, and production and are being subjected to existing regulatory gauntlets for eventual introduction into clinical practice. The development of next-generation probiotics to reestablish colonization resistance and eliminate potential pathogens from the gut is warranted and will reduce health care–associated infections caused by highly antibiotic-resistant bacteria.&lt;/p&gt;&quot;,&quot;issue&quot;:&quot;6285&quot;,&quot;volume&quot;:&quot;352&quot;},&quot;isTemporary&quot;:false},{&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0b0058f4-81f7-49d3-8588-536b90c2cef7&quot;,&quot;properties&quot;:{&quot;noteIndex&quot;:0},&quot;isEdited&quot;:false,&quot;manualOverride&quot;:{&quot;isManuallyOverridden&quot;:false,&quot;citeprocText&quot;:&quot;(1)&quot;,&quot;manualOverrideText&quot;:&quot;&quot;},&quot;citationTag&quot;:&quot;MENDELEY_CITATION_v3_eyJjaXRhdGlvbklEIjoiTUVOREVMRVlfQ0lUQVRJT05fMGIwMDU4ZjQtODFmNy00OWQzLTg1ODgtNTM2YjkwYzJjZWY3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quot;,&quot;citationItems&quot;:[{&quot;id&quot;:&quot;3d040750-8a65-351f-b644-3094dde37782&quot;,&quot;itemData&quot;:{&quot;type&quot;:&quot;article-journal&quot;,&quot;id&quot;:&quot;3d040750-8a65-351f-b644-3094dde37782&quot;,&quot;title&quot;:&quot;Resurrecting the intestinal microbiota to combat antibiotic-resistant pathogens&quot;,&quot;author&quot;:[{&quot;family&quot;:&quot;Pamer&quot;,&quot;given&quot;:&quot;Eric G.&quot;,&quot;parse-names&quot;:false,&quot;dropping-particle&quot;:&quot;&quot;,&quot;non-dropping-particle&quot;:&quot;&quot;}],&quot;container-title&quot;:&quot;Science&quot;,&quot;container-title-short&quot;:&quot;Science (1979).&quot;,&quot;DOI&quot;:&quot;10.1126/science.aad9382&quot;,&quot;ISSN&quot;:&quot;0036-8075&quot;,&quot;issued&quot;:{&quot;date-parts&quot;:[[2016,4,29]]},&quot;page&quot;:&quot;535-538&quot;,&quot;abstract&quot;:&quot;&lt;p&gt;The intestinal microbiota, which is composed of diverse populations of commensal bacterial species, provides resistance against colonization and invasion by pathogens. Antibiotic treatment can damage the intestinal microbiota and, paradoxically, increase susceptibility to infections. Reestablishing microbiota-mediated colonization resistance after antibiotic treatment could markedly reduce infections, particularly those caused by antibiotic-resistant bacteria. Ongoing studies are identifying commensal bacterial species that can be developed into next-generation probiotics to reestablish or enhance colonization resistance. These live medicines are at various stages of discovery, testing, and production and are being subjected to existing regulatory gauntlets for eventual introduction into clinical practice. The development of next-generation probiotics to reestablish colonization resistance and eliminate potential pathogens from the gut is warranted and will reduce health care–associated infections caused by highly antibiotic-resistant bacteria.&lt;/p&gt;&quot;,&quot;issue&quot;:&quot;6285&quot;,&quot;volume&quot;:&quot;352&quot;},&quot;isTemporary&quot;:false}]},{&quot;citationID&quot;:&quot;MENDELEY_CITATION_4371e7c5-e9a8-4b75-8dc9-9a2a2cf364b0&quot;,&quot;properties&quot;:{&quot;noteIndex&quot;:0},&quot;isEdited&quot;:false,&quot;manualOverride&quot;:{&quot;isManuallyOverridden&quot;:false,&quot;citeprocText&quot;:&quot;(1)&quot;,&quot;manualOverrideText&quot;:&quot;&quot;},&quot;citationTag&quot;:&quot;MENDELEY_CITATION_v3_eyJjaXRhdGlvbklEIjoiTUVOREVMRVlfQ0lUQVRJT05fNDM3MWU3YzUtZTlhOC00Yjc1LThkYzktOWEyYTJjZjM2NGIw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quot;,&quot;citationItems&quot;:[{&quot;id&quot;:&quot;3d040750-8a65-351f-b644-3094dde37782&quot;,&quot;itemData&quot;:{&quot;type&quot;:&quot;article-journal&quot;,&quot;id&quot;:&quot;3d040750-8a65-351f-b644-3094dde37782&quot;,&quot;title&quot;:&quot;Resurrecting the intestinal microbiota to combat antibiotic-resistant pathogens&quot;,&quot;author&quot;:[{&quot;family&quot;:&quot;Pamer&quot;,&quot;given&quot;:&quot;Eric G.&quot;,&quot;parse-names&quot;:false,&quot;dropping-particle&quot;:&quot;&quot;,&quot;non-dropping-particle&quot;:&quot;&quot;}],&quot;container-title&quot;:&quot;Science&quot;,&quot;container-title-short&quot;:&quot;Science (1979).&quot;,&quot;DOI&quot;:&quot;10.1126/science.aad9382&quot;,&quot;ISSN&quot;:&quot;0036-8075&quot;,&quot;issued&quot;:{&quot;date-parts&quot;:[[2016,4,29]]},&quot;page&quot;:&quot;535-538&quot;,&quot;abstract&quot;:&quot;&lt;p&gt;The intestinal microbiota, which is composed of diverse populations of commensal bacterial species, provides resistance against colonization and invasion by pathogens. Antibiotic treatment can damage the intestinal microbiota and, paradoxically, increase susceptibility to infections. Reestablishing microbiota-mediated colonization resistance after antibiotic treatment could markedly reduce infections, particularly those caused by antibiotic-resistant bacteria. Ongoing studies are identifying commensal bacterial species that can be developed into next-generation probiotics to reestablish or enhance colonization resistance. These live medicines are at various stages of discovery, testing, and production and are being subjected to existing regulatory gauntlets for eventual introduction into clinical practice. The development of next-generation probiotics to reestablish colonization resistance and eliminate potential pathogens from the gut is warranted and will reduce health care–associated infections caused by highly antibiotic-resistant bacteria.&lt;/p&gt;&quot;,&quot;issue&quot;:&quot;6285&quot;,&quot;volume&quot;:&quot;352&quot;},&quot;isTemporary&quot;:false}]},{&quot;citationID&quot;:&quot;MENDELEY_CITATION_91c6a6c5-7caf-4c38-9538-d5e5fd84f94a&quot;,&quot;properties&quot;:{&quot;noteIndex&quot;:0},&quot;isEdited&quot;:false,&quot;manualOverride&quot;:{&quot;isManuallyOverridden&quot;:false,&quot;citeprocText&quot;:&quot;(1)&quot;,&quot;manualOverrideText&quot;:&quot;&quot;},&quot;citationTag&quot;:&quot;MENDELEY_CITATION_v3_eyJjaXRhdGlvbklEIjoiTUVOREVMRVlfQ0lUQVRJT05fOTFjNmE2YzUtN2NhZi00YzM4LTk1MzgtZDVlNWZkODRmOTRh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quot;,&quot;citationItems&quot;:[{&quot;id&quot;:&quot;3d040750-8a65-351f-b644-3094dde37782&quot;,&quot;itemData&quot;:{&quot;type&quot;:&quot;article-journal&quot;,&quot;id&quot;:&quot;3d040750-8a65-351f-b644-3094dde37782&quot;,&quot;title&quot;:&quot;Resurrecting the intestinal microbiota to combat antibiotic-resistant pathogens&quot;,&quot;author&quot;:[{&quot;family&quot;:&quot;Pamer&quot;,&quot;given&quot;:&quot;Eric G.&quot;,&quot;parse-names&quot;:false,&quot;dropping-particle&quot;:&quot;&quot;,&quot;non-dropping-particle&quot;:&quot;&quot;}],&quot;container-title&quot;:&quot;Science&quot;,&quot;container-title-short&quot;:&quot;Science (1979).&quot;,&quot;DOI&quot;:&quot;10.1126/science.aad9382&quot;,&quot;ISSN&quot;:&quot;0036-8075&quot;,&quot;issued&quot;:{&quot;date-parts&quot;:[[2016,4,29]]},&quot;page&quot;:&quot;535-538&quot;,&quot;abstract&quot;:&quot;&lt;p&gt;The intestinal microbiota, which is composed of diverse populations of commensal bacterial species, provides resistance against colonization and invasion by pathogens. Antibiotic treatment can damage the intestinal microbiota and, paradoxically, increase susceptibility to infections. Reestablishing microbiota-mediated colonization resistance after antibiotic treatment could markedly reduce infections, particularly those caused by antibiotic-resistant bacteria. Ongoing studies are identifying commensal bacterial species that can be developed into next-generation probiotics to reestablish or enhance colonization resistance. These live medicines are at various stages of discovery, testing, and production and are being subjected to existing regulatory gauntlets for eventual introduction into clinical practice. The development of next-generation probiotics to reestablish colonization resistance and eliminate potential pathogens from the gut is warranted and will reduce health care–associated infections caused by highly antibiotic-resistant bacteria.&lt;/p&gt;&quot;,&quot;issue&quot;:&quot;6285&quot;,&quot;volume&quot;:&quot;352&quot;},&quot;isTemporary&quot;:false}]},{&quot;citationID&quot;:&quot;MENDELEY_CITATION_d573baac-75b9-412c-b9eb-6216d8fb6cad&quot;,&quot;properties&quot;:{&quot;noteIndex&quot;:0},&quot;isEdited&quot;:false,&quot;manualOverride&quot;:{&quot;isManuallyOverridden&quot;:false,&quot;citeprocText&quot;:&quot;(3)&quot;,&quot;manualOverrideText&quot;:&quot;&quot;},&quot;citationTag&quot;:&quot;MENDELEY_CITATION_v3_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&quot;,&quot;citationItems&quot;:[{&quot;id&quot;:&quot;7b2ab41d-c4f3-3dd3-a62c-ce5b0ef1e7ed&quot;,&quot;itemData&quot;:{&quot;type&quot;:&quot;article-journal&quot;,&quot;id&quot;:&quot;7b2ab41d-c4f3-3dd3-a62c-ce5b0ef1e7ed&quot;,&quot;title&quot;:&quot;Clinical Practice Guidelines for Clostridium difficile Infection in Adults and Children: 2017 Update by the Infectious Diseases Society of America (IDSA) and Society for Healthcare Epidemiology of America (SHEA)&quot;,&quot;author&quot;:[{&quot;family&quot;:&quot;McDonald&quot;,&quot;given&quot;:&quot;L Clifford&quot;,&quot;parse-names&quot;:false,&quot;dropping-particle&quot;:&quot;&quot;,&quot;non-dropping-particle&quot;:&quot;&quot;},{&quot;family&quot;:&quot;Gerding&quot;,&quot;given&quot;:&quot;Dale N&quot;,&quot;parse-names&quot;:false,&quot;dropping-particle&quot;:&quot;&quot;,&quot;non-dropping-particle&quot;:&quot;&quot;},{&quot;family&quot;:&quot;Johnson&quot;,&quot;given&quot;:&quot;Stuart&quot;,&quot;parse-names&quot;:false,&quot;dropping-particle&quot;:&quot;&quot;,&quot;non-dropping-particle&quot;:&quot;&quot;},{&quot;family&quot;:&quot;Bakken&quot;,&quot;given&quot;:&quot;Johan S&quot;,&quot;parse-names&quot;:false,&quot;dropping-particle&quot;:&quot;&quot;,&quot;non-dropping-particle&quot;:&quot;&quot;},{&quot;family&quot;:&quot;Carroll&quot;,&quot;given&quot;:&quot;Karen C&quot;,&quot;parse-names&quot;:false,&quot;dropping-particle&quot;:&quot;&quot;,&quot;non-dropping-particle&quot;:&quot;&quot;},{&quot;family&quot;:&quot;Coffin&quot;,&quot;given&quot;:&quot;Susan E&quot;,&quot;parse-names&quot;:false,&quot;dropping-particle&quot;:&quot;&quot;,&quot;non-dropping-particle&quot;:&quot;&quot;},{&quot;family&quot;:&quot;Dubberke&quot;,&quot;given&quot;:&quot;Erik R&quot;,&quot;parse-names&quot;:false,&quot;dropping-particle&quot;:&quot;&quot;,&quot;non-dropping-particle&quot;:&quot;&quot;},{&quot;family&quot;:&quot;Garey&quot;,&quot;given&quot;:&quot;Kevin W&quot;,&quot;parse-names&quot;:false,&quot;dropping-particle&quot;:&quot;&quot;,&quot;non-dropping-particle&quot;:&quot;&quot;},{&quot;family&quot;:&quot;Gould&quot;,&quot;given&quot;:&quot;Carolyn&quot;,&quot;parse-names&quot;:false,&quot;dropping-particle&quot;:&quot;V&quot;,&quot;non-dropping-particle&quot;:&quot;&quot;},{&quot;family&quot;:&quot;Kelly&quot;,&quot;given&quot;:&quot;Ciaran&quot;,&quot;parse-names&quot;:false,&quot;dropping-particle&quot;:&quot;&quot;,&quot;non-dropping-particle&quot;:&quot;&quot;},{&quot;family&quot;:&quot;Loo&quot;,&quot;given&quot;:&quot;Vivian&quot;,&quot;parse-names&quot;:false,&quot;dropping-particle&quot;:&quot;&quot;,&quot;non-dropping-particle&quot;:&quot;&quot;},{&quot;family&quot;:&quot;Shaklee Sammons&quot;,&quot;given&quot;:&quot;Julia&quot;,&quot;parse-names&quot;:false,&quot;dropping-particle&quot;:&quot;&quot;,&quot;non-dropping-particle&quot;:&quot;&quot;},{&quot;family&quot;:&quot;Sandora&quot;,&quot;given&quot;:&quot;Thomas J&quot;,&quot;parse-names&quot;:false,&quot;dropping-particle&quot;:&quot;&quot;,&quot;non-dropping-particle&quot;:&quot;&quot;},{&quot;family&quot;:&quot;Wilcox&quot;,&quot;given&quot;:&quot;Mark H&quot;,&quot;parse-names&quot;:false,&quot;dropping-particle&quot;:&quot;&quot;,&quot;non-dropping-particle&quot;:&quot;&quot;}],&quot;container-title&quot;:&quot;Clinical Infectious Diseases&quot;,&quot;DOI&quot;:&quot;10.1093/cid/ciy149&quot;,&quot;ISSN&quot;:&quot;1058-4838&quot;,&quot;issued&quot;:{&quot;date-parts&quot;:[[2018,3,19]]},&quot;page&quot;:&quot;987-994&quot;,&quot;abstract&quot;:&quot;&lt;p&gt;A panel of experts was convened by the Infectious Diseases Society of America (IDSA) and Society for Healthcare Epidemiology of America (SHEA) to update the 2010 clinical practice guideline on Clostridium difficile infection (CDI) in adults. The update, which has incorporated recommendations for children (following the adult recommendations for epidemiology, diagnosis, and treatment), includes significant changes in the management of this infection and reflects the evolving controversy over best methods for diagnosis. Clostridium difficile remains the most important cause of healthcare-associated diarrhea and has become the most commonly identified cause of healthcare-associated infection in adults in the United States. Moreover, C. difficile has established itself as an important community pathogen. Although the prevalence of the epidemic and virulent ribotype 027 strain has declined markedly along with overall CDI rates in parts of Europe, it remains one of the most commonly identified strains in the United States where it causes a sizable minority of CDIs, especially healthcare-associated CDIs. This guideline updates recommendations regarding epidemiology, diagnosis, treatment, infection prevention, and environmental management.&lt;/p&gt;&quot;,&quot;issue&quot;:&quot;7&quot;,&quot;volume&quot;:&quot;66&quot;,&quot;container-title-short&quot;:&quot;&quot;},&quot;isTemporary&quot;:false}]},{&quot;citationID&quot;:&quot;MENDELEY_CITATION_3b6a5a35-6a21-4aa1-85fd-9472dc15d80c&quot;,&quot;properties&quot;:{&quot;noteIndex&quot;:0},&quot;isEdited&quot;:false,&quot;manualOverride&quot;:{&quot;isManuallyOverridden&quot;:false,&quot;citeprocText&quot;:&quot;(4)&quot;,&quot;manualOverrideText&quot;:&quot;&quot;},&quot;citationTag&quot;:&quot;MENDELEY_CITATION_v3_eyJjaXRhdGlvbklEIjoiTUVOREVMRVlfQ0lUQVRJT05fM2I2YTVhMzUtNmEyMS00YWExLTg1ZmQtOTQ3MmRjMTVkODBj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quot;,&quot;citationItems&quot;:[{&quot;id&quot;:&quot;28259d86-501d-3429-a35e-0a8b4f80415f&quot;,&quot;itemData&quot;:{&quot;type&quot;:&quot;article-journal&quot;,&quot;id&quot;:&quot;28259d86-501d-3429-a35e-0a8b4f80415f&quot;,&quot;title&quot;:&quot;Which trial do we need? Combination antimicrobial therapy for hospital-acquired bacterial pneumonia caused by Pseudomonas aeruginosa&quot;,&quot;author&quot;:[{&quot;family&quot;:&quot;Albin&quot;,&quot;given&quot;:&quot;Owen R.&quot;,&quot;parse-names&quot;:false,&quot;dropping-particle&quot;:&quot;&quot;,&quot;non-dropping-particle&quot;:&quot;&quot;},{&quot;family&quot;:&quot;Pogue&quot;,&quot;given&quot;:&quot;Jason M.&quot;,&quot;parse-names&quot;:false,&quot;dropping-particle&quot;:&quot;&quot;,&quot;non-dropping-particle&quot;:&quot;&quot;},{&quot;family&quot;:&quot;Wunderink&quot;,&quot;given&quot;:&quot;Richard G.&quot;,&quot;parse-names&quot;:false,&quot;dropping-particle&quot;:&quot;&quot;,&quot;non-dropping-particle&quot;:&quot;&quot;},{&quot;family&quot;:&quot;Kaye&quot;,&quot;given&quot;:&quot;Keith S.&quot;,&quot;parse-names&quot;:false,&quot;dropping-particle&quot;:&quot;&quot;,&quot;non-dropping-particle&quot;:&quot;&quot;}],&quot;container-title&quot;:&quot;Clinical Microbiology and Infection&quot;,&quot;DOI&quot;:&quot;10.1016/j.cmi.2023.07.007&quot;,&quot;ISSN&quot;:&quot;1198743X&quot;,&quot;issued&quot;:{&quot;date-parts&quot;:[[2024,2]]},&quot;page&quot;:&quot;162-164&quot;,&quot;issue&quot;:&quot;2&quot;,&quot;volume&quot;:&quot;30&quot;,&quot;container-title-short&quot;:&quot;&quot;},&quot;isTemporary&quot;:false}]},{&quot;citationID&quot;:&quot;MENDELEY_CITATION_6c62dce6-70db-4b7f-8591-e234684e54b5&quot;,&quot;properties&quot;:{&quot;noteIndex&quot;:0},&quot;isEdited&quot;:false,&quot;manualOverride&quot;:{&quot;isManuallyOverridden&quot;:false,&quot;citeprocText&quot;:&quot;(4)&quot;,&quot;manualOverrideText&quot;:&quot;&quot;},&quot;citationTag&quot;:&quot;MENDELEY_CITATION_v3_eyJjaXRhdGlvbklEIjoiTUVOREVMRVlfQ0lUQVRJT05fNmM2MmRjZTYtNzBkYi00YjdmLTg1OTEtZTIzNDY4NGU1NGI1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quot;,&quot;citationItems&quot;:[{&quot;id&quot;:&quot;28259d86-501d-3429-a35e-0a8b4f80415f&quot;,&quot;itemData&quot;:{&quot;type&quot;:&quot;article-journal&quot;,&quot;id&quot;:&quot;28259d86-501d-3429-a35e-0a8b4f80415f&quot;,&quot;title&quot;:&quot;Which trial do we need? Combination antimicrobial therapy for hospital-acquired bacterial pneumonia caused by Pseudomonas aeruginosa&quot;,&quot;author&quot;:[{&quot;family&quot;:&quot;Albin&quot;,&quot;given&quot;:&quot;Owen R.&quot;,&quot;parse-names&quot;:false,&quot;dropping-particle&quot;:&quot;&quot;,&quot;non-dropping-particle&quot;:&quot;&quot;},{&quot;family&quot;:&quot;Pogue&quot;,&quot;given&quot;:&quot;Jason M.&quot;,&quot;parse-names&quot;:false,&quot;dropping-particle&quot;:&quot;&quot;,&quot;non-dropping-particle&quot;:&quot;&quot;},{&quot;family&quot;:&quot;Wunderink&quot;,&quot;given&quot;:&quot;Richard G.&quot;,&quot;parse-names&quot;:false,&quot;dropping-particle&quot;:&quot;&quot;,&quot;non-dropping-particle&quot;:&quot;&quot;},{&quot;family&quot;:&quot;Kaye&quot;,&quot;given&quot;:&quot;Keith S.&quot;,&quot;parse-names&quot;:false,&quot;dropping-particle&quot;:&quot;&quot;,&quot;non-dropping-particle&quot;:&quot;&quot;}],&quot;container-title&quot;:&quot;Clinical Microbiology and Infection&quot;,&quot;DOI&quot;:&quot;10.1016/j.cmi.2023.07.007&quot;,&quot;ISSN&quot;:&quot;1198743X&quot;,&quot;issued&quot;:{&quot;date-parts&quot;:[[2024,2]]},&quot;page&quot;:&quot;162-164&quot;,&quot;issue&quot;:&quot;2&quot;,&quot;volume&quot;:&quot;30&quot;,&quot;container-title-short&quot;:&quot;&quot;},&quot;isTemporary&quot;:false}]},{&quot;citationID&quot;:&quot;MENDELEY_CITATION_3448ebbd-3b9b-47e3-9a1b-6aaab0eb7338&quot;,&quot;properties&quot;:{&quot;noteIndex&quot;:0},&quot;isEdited&quot;:false,&quot;manualOverride&quot;:{&quot;isManuallyOverridden&quot;:false,&quot;citeprocText&quot;:&quot;(4)&quot;,&quot;manualOverrideText&quot;:&quot;&quot;},&quot;citationTag&quot;:&quot;MENDELEY_CITATION_v3_eyJjaXRhdGlvbklEIjoiTUVOREVMRVlfQ0lUQVRJT05fMzQ0OGViYmQtM2I5Yi00N2UzLTlhMWItNmFhYWIwZWI3MzM4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quot;,&quot;citationItems&quot;:[{&quot;id&quot;:&quot;28259d86-501d-3429-a35e-0a8b4f80415f&quot;,&quot;itemData&quot;:{&quot;type&quot;:&quot;article-journal&quot;,&quot;id&quot;:&quot;28259d86-501d-3429-a35e-0a8b4f80415f&quot;,&quot;title&quot;:&quot;Which trial do we need? Combination antimicrobial therapy for hospital-acquired bacterial pneumonia caused by Pseudomonas aeruginosa&quot;,&quot;author&quot;:[{&quot;family&quot;:&quot;Albin&quot;,&quot;given&quot;:&quot;Owen R.&quot;,&quot;parse-names&quot;:false,&quot;dropping-particle&quot;:&quot;&quot;,&quot;non-dropping-particle&quot;:&quot;&quot;},{&quot;family&quot;:&quot;Pogue&quot;,&quot;given&quot;:&quot;Jason M.&quot;,&quot;parse-names&quot;:false,&quot;dropping-particle&quot;:&quot;&quot;,&quot;non-dropping-particle&quot;:&quot;&quot;},{&quot;family&quot;:&quot;Wunderink&quot;,&quot;given&quot;:&quot;Richard G.&quot;,&quot;parse-names&quot;:false,&quot;dropping-particle&quot;:&quot;&quot;,&quot;non-dropping-particle&quot;:&quot;&quot;},{&quot;family&quot;:&quot;Kaye&quot;,&quot;given&quot;:&quot;Keith S.&quot;,&quot;parse-names&quot;:false,&quot;dropping-particle&quot;:&quot;&quot;,&quot;non-dropping-particle&quot;:&quot;&quot;}],&quot;container-title&quot;:&quot;Clinical Microbiology and Infection&quot;,&quot;DOI&quot;:&quot;10.1016/j.cmi.2023.07.007&quot;,&quot;ISSN&quot;:&quot;1198743X&quot;,&quot;issued&quot;:{&quot;date-parts&quot;:[[2024,2]]},&quot;page&quot;:&quot;162-164&quot;,&quot;issue&quot;:&quot;2&quot;,&quot;volume&quot;:&quot;30&quot;,&quot;container-title-short&quot;:&quot;&quot;},&quot;isTemporary&quot;:false}]},{&quot;citationID&quot;:&quot;MENDELEY_CITATION_3ec9ca8c-c743-4673-8b93-b7fde1c23bb4&quot;,&quot;properties&quot;:{&quot;noteIndex&quot;:0},&quot;isEdited&quot;:false,&quot;manualOverride&quot;:{&quot;isManuallyOverridden&quot;:false,&quot;citeprocText&quot;:&quot;(4,5)&quot;,&quot;manualOverrideText&quot;:&quot;&quot;},&quot;citationTag&quot;:&quot;MENDELEY_CITATION_v3_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&quot;,&quot;citationItems&quot;:[{&quot;id&quot;:&quot;28259d86-501d-3429-a35e-0a8b4f80415f&quot;,&quot;itemData&quot;:{&quot;type&quot;:&quot;article-journal&quot;,&quot;id&quot;:&quot;28259d86-501d-3429-a35e-0a8b4f80415f&quot;,&quot;title&quot;:&quot;Which trial do we need? Combination antimicrobial therapy for hospital-acquired bacterial pneumonia caused by Pseudomonas aeruginosa&quot;,&quot;author&quot;:[{&quot;family&quot;:&quot;Albin&quot;,&quot;given&quot;:&quot;Owen R.&quot;,&quot;parse-names&quot;:false,&quot;dropping-particle&quot;:&quot;&quot;,&quot;non-dropping-particle&quot;:&quot;&quot;},{&quot;family&quot;:&quot;Pogue&quot;,&quot;given&quot;:&quot;Jason M.&quot;,&quot;parse-names&quot;:false,&quot;dropping-particle&quot;:&quot;&quot;,&quot;non-dropping-particle&quot;:&quot;&quot;},{&quot;family&quot;:&quot;Wunderink&quot;,&quot;given&quot;:&quot;Richard G.&quot;,&quot;parse-names&quot;:false,&quot;dropping-particle&quot;:&quot;&quot;,&quot;non-dropping-particle&quot;:&quot;&quot;},{&quot;family&quot;:&quot;Kaye&quot;,&quot;given&quot;:&quot;Keith S.&quot;,&quot;parse-names&quot;:false,&quot;dropping-particle&quot;:&quot;&quot;,&quot;non-dropping-particle&quot;:&quot;&quot;}],&quot;container-title&quot;:&quot;Clinical Microbiology and Infection&quot;,&quot;DOI&quot;:&quot;10.1016/j.cmi.2023.07.007&quot;,&quot;ISSN&quot;:&quot;1198743X&quot;,&quot;issued&quot;:{&quot;date-parts&quot;:[[2024,2]]},&quot;page&quot;:&quot;162-164&quot;,&quot;issue&quot;:&quot;2&quot;,&quot;volume&quot;:&quot;30&quot;,&quot;container-title-short&quot;:&quot;&quot;},&quot;isTemporary&quot;:false},{&quot;id&quot;:&quot;08b1ebd0-6df6-3e72-a6f0-82755d284876&quot;,&quot;itemData&quot;:{&quot;type&quot;:&quot;article-journal&quot;,&quot;id&quot;:&quot;08b1ebd0-6df6-3e72-a6f0-82755d284876&quot;,&quot;title&quot;:&quot;Infectious Diseases Society of America Guidance on the Treatment of Extended-Spectrum β-lactamase Producing Enterobacterales (ESBL-E), Carbapenem-Resistant Enterobacterales (CRE), and &lt;i&gt;Pseudomonas aeruginosa&lt;/i&gt; with Difficult-to-Treat Resistance (DTR- &lt;i&gt;P. aeruginosa&lt;/i&gt; )&quot;,&quot;author&quot;:[{&quot;family&quot;:&quot;Tamma&quot;,&quot;given&quot;:&quot;Pranita D&quot;,&quot;parse-names&quot;:false,&quot;dropping-particle&quot;:&quot;&quot;,&quot;non-dropping-particle&quot;:&quot;&quot;},{&quot;family&quot;:&quot;Aitken&quot;,&quot;given&quot;:&quot;Samuel L&quot;,&quot;parse-names&quot;:false,&quot;dropping-particle&quot;:&quot;&quot;,&quot;non-dropping-particle&quot;:&quot;&quot;},{&quot;family&quot;:&quot;Bonomo&quot;,&quot;given&quot;:&quot;Robert A&quot;,&quot;parse-names&quot;:false,&quot;dropping-particle&quot;:&quot;&quot;,&quot;non-dropping-particle&quot;:&quot;&quot;},{&quot;family&quot;:&quot;Mathers&quot;,&quot;given&quot;:&quot;Amy J&quot;,&quot;parse-names&quot;:false,&quot;dropping-particle&quot;:&quot;&quot;,&quot;non-dropping-particle&quot;:&quot;&quot;},{&quot;family&quot;:&quot;Duin&quot;,&quot;given&quot;:&quot;David&quot;,&quot;parse-names&quot;:false,&quot;dropping-particle&quot;:&quot;&quot;,&quot;non-dropping-particle&quot;:&quot;van&quot;},{&quot;family&quot;:&quot;Clancy&quot;,&quot;given&quot;:&quot;Cornelius J&quot;,&quot;parse-names&quot;:false,&quot;dropping-particle&quot;:&quot;&quot;,&quot;non-dropping-particle&quot;:&quot;&quot;}],&quot;container-title&quot;:&quot;Clinical Infectious Diseases&quot;,&quot;DOI&quot;:&quot;10.1093/cid/ciaa1478&quot;,&quot;ISSN&quot;:&quot;1058-4838&quot;,&quot;issued&quot;:{&quot;date-parts&quot;:[[2021,4,8]]},&quot;page&quot;:&quot;e169-e183&quot;,&quot;issue&quot;:&quot;7&quot;,&quot;volume&quot;:&quot;72&quot;,&quot;container-title-short&quot;:&quot;&quot;},&quot;isTemporary&quot;:false}]},{&quot;citationID&quot;:&quot;MENDELEY_CITATION_faa5dc2f-8960-45a2-acb1-a9e228a97781&quot;,&quot;properties&quot;:{&quot;noteIndex&quot;:0},&quot;isEdited&quot;:false,&quot;manualOverride&quot;:{&quot;isManuallyOverridden&quot;:false,&quot;citeprocText&quot;:&quot;(4)&quot;,&quot;manualOverrideText&quot;:&quot;&quot;},&quot;citationTag&quot;:&quot;MENDELEY_CITATION_v3_eyJjaXRhdGlvbklEIjoiTUVOREVMRVlfQ0lUQVRJT05fZmFhNWRjMmYtODk2MC00NWEyLWFjYjEtYTllMjI4YTk3Nzgx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quot;,&quot;citationItems&quot;:[{&quot;id&quot;:&quot;28259d86-501d-3429-a35e-0a8b4f80415f&quot;,&quot;itemData&quot;:{&quot;type&quot;:&quot;article-journal&quot;,&quot;id&quot;:&quot;28259d86-501d-3429-a35e-0a8b4f80415f&quot;,&quot;title&quot;:&quot;Which trial do we need? Combination antimicrobial therapy for hospital-acquired bacterial pneumonia caused by Pseudomonas aeruginosa&quot;,&quot;author&quot;:[{&quot;family&quot;:&quot;Albin&quot;,&quot;given&quot;:&quot;Owen R.&quot;,&quot;parse-names&quot;:false,&quot;dropping-particle&quot;:&quot;&quot;,&quot;non-dropping-particle&quot;:&quot;&quot;},{&quot;family&quot;:&quot;Pogue&quot;,&quot;given&quot;:&quot;Jason M.&quot;,&quot;parse-names&quot;:false,&quot;dropping-particle&quot;:&quot;&quot;,&quot;non-dropping-particle&quot;:&quot;&quot;},{&quot;family&quot;:&quot;Wunderink&quot;,&quot;given&quot;:&quot;Richard G.&quot;,&quot;parse-names&quot;:false,&quot;dropping-particle&quot;:&quot;&quot;,&quot;non-dropping-particle&quot;:&quot;&quot;},{&quot;family&quot;:&quot;Kaye&quot;,&quot;given&quot;:&quot;Keith S.&quot;,&quot;parse-names&quot;:false,&quot;dropping-particle&quot;:&quot;&quot;,&quot;non-dropping-particle&quot;:&quot;&quot;}],&quot;container-title&quot;:&quot;Clinical Microbiology and Infection&quot;,&quot;DOI&quot;:&quot;10.1016/j.cmi.2023.07.007&quot;,&quot;ISSN&quot;:&quot;1198743X&quot;,&quot;issued&quot;:{&quot;date-parts&quot;:[[2024,2]]},&quot;page&quot;:&quot;162-164&quot;,&quot;issue&quot;:&quot;2&quot;,&quot;volume&quot;:&quot;30&quot;,&quot;container-title-short&quot;:&quot;&quot;},&quot;isTemporary&quot;:false}]},{&quot;citationID&quot;:&quot;MENDELEY_CITATION_117b829f-75a3-4510-99cd-ceda4544d3c3&quot;,&quot;properties&quot;:{&quot;noteIndex&quot;:0},&quot;isEdited&quot;:false,&quot;manualOverride&quot;:{&quot;isManuallyOverridden&quot;:false,&quot;citeprocText&quot;:&quot;(2)&quot;,&quot;manualOverrideText&quot;:&quot;&quot;},&quot;citationTag&quot;:&quot;MENDELEY_CITATION_v3_eyJjaXRhdGlvbklEIjoiTUVOREVMRVlfQ0lUQVRJT05fMTE3YjgyOWYtNzVhMy00NTEwLTk5Y2QtY2VkYTQ1NDRkM2MzIiwicHJvcGVydGllcyI6eyJub3RlSW5kZXgiOjB9LCJpc0VkaXRlZCI6ZmFsc2UsIm1hbnVhbE92ZXJyaWRlIjp7ImlzTWFudWFsbHlPdmVycmlkZGVuIjpmYWxzZSwiY2l0ZXByb2NUZXh0IjoiKDI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quot;citationID&quot;:&quot;MENDELEY_CITATION_903e6952-b808-460e-aa6a-79338a286f5f&quot;,&quot;properties&quot;:{&quot;noteIndex&quot;:0},&quot;isEdited&quot;:false,&quot;manualOverride&quot;:{&quot;isManuallyOverridden&quot;:false,&quot;citeprocText&quot;:&quot;(4)&quot;,&quot;manualOverrideText&quot;:&quot;&quot;},&quot;citationTag&quot;:&quot;MENDELEY_CITATION_v3_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&quot;,&quot;citationItems&quot;:[{&quot;id&quot;:&quot;28259d86-501d-3429-a35e-0a8b4f80415f&quot;,&quot;itemData&quot;:{&quot;type&quot;:&quot;article-journal&quot;,&quot;id&quot;:&quot;28259d86-501d-3429-a35e-0a8b4f80415f&quot;,&quot;title&quot;:&quot;Which trial do we need? Combination antimicrobial therapy for hospital-acquired bacterial pneumonia caused by Pseudomonas aeruginosa&quot;,&quot;author&quot;:[{&quot;family&quot;:&quot;Albin&quot;,&quot;given&quot;:&quot;Owen R.&quot;,&quot;parse-names&quot;:false,&quot;dropping-particle&quot;:&quot;&quot;,&quot;non-dropping-particle&quot;:&quot;&quot;},{&quot;family&quot;:&quot;Pogue&quot;,&quot;given&quot;:&quot;Jason M.&quot;,&quot;parse-names&quot;:false,&quot;dropping-particle&quot;:&quot;&quot;,&quot;non-dropping-particle&quot;:&quot;&quot;},{&quot;family&quot;:&quot;Wunderink&quot;,&quot;given&quot;:&quot;Richard G.&quot;,&quot;parse-names&quot;:false,&quot;dropping-particle&quot;:&quot;&quot;,&quot;non-dropping-particle&quot;:&quot;&quot;},{&quot;family&quot;:&quot;Kaye&quot;,&quot;given&quot;:&quot;Keith S.&quot;,&quot;parse-names&quot;:false,&quot;dropping-particle&quot;:&quot;&quot;,&quot;non-dropping-particle&quot;:&quot;&quot;}],&quot;container-title&quot;:&quot;Clinical Microbiology and Infection&quot;,&quot;DOI&quot;:&quot;10.1016/j.cmi.2023.07.007&quot;,&quot;ISSN&quot;:&quot;1198743X&quot;,&quot;issued&quot;:{&quot;date-parts&quot;:[[2024,2]]},&quot;page&quot;:&quot;162-164&quot;,&quot;issue&quot;:&quot;2&quot;,&quot;volume&quot;:&quot;30&quot;,&quot;container-title-short&quot;:&quot;&quot;},&quot;isTemporary&quot;:false}]},{&quot;citationID&quot;:&quot;MENDELEY_CITATION_1be44b4f-5bc8-45be-af98-2c91ec4e313b&quot;,&quot;properties&quot;:{&quot;noteIndex&quot;:0},&quot;isEdited&quot;:false,&quot;manualOverride&quot;:{&quot;isManuallyOverridden&quot;:false,&quot;citeprocText&quot;:&quot;(6)&quot;,&quot;manualOverrideText&quot;:&quot;&quot;},&quot;citationTag&quot;:&quot;MENDELEY_CITATION_v3_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&quot;,&quot;citationItems&quot;:[{&quot;id&quot;:&quot;59ae00db-c5c2-3abb-95da-677d248be032&quot;,&quot;itemData&quot;:{&quot;type&quot;:&quot;article-journal&quot;,&quot;id&quot;:&quot;59ae00db-c5c2-3abb-95da-677d248be032&quot;,&quot;title&quot;:&quot;Individualised antibiotic dosing for patients who are critically ill: challenges and potential solutions&quot;,&quot;author&quot;:[{&quot;family&quot;:&quot;Roberts&quot;,&quot;given&quot;:&quot;Jason A&quot;,&quot;parse-names&quot;:false,&quot;dropping-particle&quot;:&quot;&quot;,&quot;non-dropping-particle&quot;:&quot;&quot;},{&quot;family&quot;:&quot;Abdul-Aziz&quot;,&quot;given&quot;:&quot;Mohd H&quot;,&quot;parse-names&quot;:false,&quot;dropping-particle&quot;:&quot;&quot;,&quot;non-dropping-particle&quot;:&quot;&quot;},{&quot;family&quot;:&quot;Lipman&quot;,&quot;given&quot;:&quot;Jeffrey&quot;,&quot;parse-names&quot;:false,&quot;dropping-particle&quot;:&quot;&quot;,&quot;non-dropping-particle&quot;:&quot;&quot;},{&quot;family&quot;:&quot;Mouton&quot;,&quot;given&quot;:&quot;Johan W&quot;,&quot;parse-names&quot;:false,&quot;dropping-particle&quot;:&quot;&quot;,&quot;non-dropping-particle&quot;:&quot;&quot;},{&quot;family&quot;:&quot;Vinks&quot;,&quot;given&quot;:&quot;Alexander A&quot;,&quot;parse-names&quot;:false,&quot;dropping-particle&quot;:&quot;&quot;,&quot;non-dropping-particle&quot;:&quot;&quot;},{&quot;family&quot;:&quot;Felton&quot;,&quot;given&quot;:&quot;Timothy W&quot;,&quot;parse-names&quot;:false,&quot;dropping-particle&quot;:&quot;&quot;,&quot;non-dropping-particle&quot;:&quot;&quot;},{&quot;family&quot;:&quot;Hope&quot;,&quot;given&quot;:&quot;William W&quot;,&quot;parse-names&quot;:false,&quot;dropping-particle&quot;:&quot;&quot;,&quot;non-dropping-particle&quot;:&quot;&quot;},{&quot;family&quot;:&quot;Farkas&quot;,&quot;given&quot;:&quot;Andras&quot;,&quot;parse-names&quot;:false,&quot;dropping-particle&quot;:&quot;&quot;,&quot;non-dropping-particle&quot;:&quot;&quot;},{&quot;family&quot;:&quot;Neely&quot;,&quot;given&quot;:&quot;Michael N&quot;,&quot;parse-names&quot;:false,&quot;dropping-particle&quot;:&quot;&quot;,&quot;non-dropping-particle&quot;:&quot;&quot;},{&quot;family&quot;:&quot;Schentag&quot;,&quot;given&quot;:&quot;Jerome J&quot;,&quot;parse-names&quot;:false,&quot;dropping-particle&quot;:&quot;&quot;,&quot;non-dropping-particle&quot;:&quot;&quot;},{&quot;family&quot;:&quot;Drusano&quot;,&quot;given&quot;:&quot;George&quot;,&quot;parse-names&quot;:false,&quot;dropping-particle&quot;:&quot;&quot;,&quot;non-dropping-particle&quot;:&quot;&quot;},{&quot;family&quot;:&quot;Frey&quot;,&quot;given&quot;:&quot;Otto R&quot;,&quot;parse-names&quot;:false,&quot;dropping-particle&quot;:&quot;&quot;,&quot;non-dropping-particle&quot;:&quot;&quot;},{&quot;family&quot;:&quot;Theuretzbacher&quot;,&quot;given&quot;:&quot;Ursula&quot;,&quot;parse-names&quot;:false,&quot;dropping-particle&quot;:&quot;&quot;,&quot;non-dropping-particle&quot;:&quot;&quot;},{&quot;family&quot;:&quot;Kuti&quot;,&quot;given&quot;:&quot;Joseph L&quot;,&quot;parse-names&quot;:false,&quot;dropping-particle&quot;:&quot;&quot;,&quot;non-dropping-particle&quot;:&quot;&quot;}],&quot;container-title&quot;:&quot;The Lancet Infectious Diseases&quot;,&quot;container-title-short&quot;:&quot;Lancet Infect. Dis.&quot;,&quot;DOI&quot;:&quot;10.1016/S1473-3099(14)70036-2&quot;,&quot;ISSN&quot;:&quot;14733099&quot;,&quot;issued&quot;:{&quot;date-parts&quot;:[[2014,6]]},&quot;page&quot;:&quot;498-509&quot;,&quot;issue&quot;:&quot;6&quot;,&quot;volume&quot;:&quot;14&quot;},&quot;isTemporary&quot;:false}]},{&quot;citationID&quot;:&quot;MENDELEY_CITATION_8cfdd8b1-2ca6-4f78-9158-f2f796d009b3&quot;,&quot;properties&quot;:{&quot;noteIndex&quot;:0},&quot;isEdited&quot;:false,&quot;manualOverride&quot;:{&quot;isManuallyOverridden&quot;:false,&quot;citeprocText&quot;:&quot;(6)&quot;,&quot;manualOverrideText&quot;:&quot;&quot;},&quot;citationTag&quot;:&quot;MENDELEY_CITATION_v3_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&quot;,&quot;citationItems&quot;:[{&quot;id&quot;:&quot;59ae00db-c5c2-3abb-95da-677d248be032&quot;,&quot;itemData&quot;:{&quot;type&quot;:&quot;article-journal&quot;,&quot;id&quot;:&quot;59ae00db-c5c2-3abb-95da-677d248be032&quot;,&quot;title&quot;:&quot;Individualised antibiotic dosing for patients who are critically ill: challenges and potential solutions&quot;,&quot;author&quot;:[{&quot;family&quot;:&quot;Roberts&quot;,&quot;given&quot;:&quot;Jason A&quot;,&quot;parse-names&quot;:false,&quot;dropping-particle&quot;:&quot;&quot;,&quot;non-dropping-particle&quot;:&quot;&quot;},{&quot;family&quot;:&quot;Abdul-Aziz&quot;,&quot;given&quot;:&quot;Mohd H&quot;,&quot;parse-names&quot;:false,&quot;dropping-particle&quot;:&quot;&quot;,&quot;non-dropping-particle&quot;:&quot;&quot;},{&quot;family&quot;:&quot;Lipman&quot;,&quot;given&quot;:&quot;Jeffrey&quot;,&quot;parse-names&quot;:false,&quot;dropping-particle&quot;:&quot;&quot;,&quot;non-dropping-particle&quot;:&quot;&quot;},{&quot;family&quot;:&quot;Mouton&quot;,&quot;given&quot;:&quot;Johan W&quot;,&quot;parse-names&quot;:false,&quot;dropping-particle&quot;:&quot;&quot;,&quot;non-dropping-particle&quot;:&quot;&quot;},{&quot;family&quot;:&quot;Vinks&quot;,&quot;given&quot;:&quot;Alexander A&quot;,&quot;parse-names&quot;:false,&quot;dropping-particle&quot;:&quot;&quot;,&quot;non-dropping-particle&quot;:&quot;&quot;},{&quot;family&quot;:&quot;Felton&quot;,&quot;given&quot;:&quot;Timothy W&quot;,&quot;parse-names&quot;:false,&quot;dropping-particle&quot;:&quot;&quot;,&quot;non-dropping-particle&quot;:&quot;&quot;},{&quot;family&quot;:&quot;Hope&quot;,&quot;given&quot;:&quot;William W&quot;,&quot;parse-names&quot;:false,&quot;dropping-particle&quot;:&quot;&quot;,&quot;non-dropping-particle&quot;:&quot;&quot;},{&quot;family&quot;:&quot;Farkas&quot;,&quot;given&quot;:&quot;Andras&quot;,&quot;parse-names&quot;:false,&quot;dropping-particle&quot;:&quot;&quot;,&quot;non-dropping-particle&quot;:&quot;&quot;},{&quot;family&quot;:&quot;Neely&quot;,&quot;given&quot;:&quot;Michael N&quot;,&quot;parse-names&quot;:false,&quot;dropping-particle&quot;:&quot;&quot;,&quot;non-dropping-particle&quot;:&quot;&quot;},{&quot;family&quot;:&quot;Schentag&quot;,&quot;given&quot;:&quot;Jerome J&quot;,&quot;parse-names&quot;:false,&quot;dropping-particle&quot;:&quot;&quot;,&quot;non-dropping-particle&quot;:&quot;&quot;},{&quot;family&quot;:&quot;Drusano&quot;,&quot;given&quot;:&quot;George&quot;,&quot;parse-names&quot;:false,&quot;dropping-particle&quot;:&quot;&quot;,&quot;non-dropping-particle&quot;:&quot;&quot;},{&quot;family&quot;:&quot;Frey&quot;,&quot;given&quot;:&quot;Otto R&quot;,&quot;parse-names&quot;:false,&quot;dropping-particle&quot;:&quot;&quot;,&quot;non-dropping-particle&quot;:&quot;&quot;},{&quot;family&quot;:&quot;Theuretzbacher&quot;,&quot;given&quot;:&quot;Ursula&quot;,&quot;parse-names&quot;:false,&quot;dropping-particle&quot;:&quot;&quot;,&quot;non-dropping-particle&quot;:&quot;&quot;},{&quot;family&quot;:&quot;Kuti&quot;,&quot;given&quot;:&quot;Joseph L&quot;,&quot;parse-names&quot;:false,&quot;dropping-particle&quot;:&quot;&quot;,&quot;non-dropping-particle&quot;:&quot;&quot;}],&quot;container-title&quot;:&quot;The Lancet Infectious Diseases&quot;,&quot;container-title-short&quot;:&quot;Lancet Infect. Dis.&quot;,&quot;DOI&quot;:&quot;10.1016/S1473-3099(14)70036-2&quot;,&quot;ISSN&quot;:&quot;14733099&quot;,&quot;issued&quot;:{&quot;date-parts&quot;:[[2014,6]]},&quot;page&quot;:&quot;498-509&quot;,&quot;issue&quot;:&quot;6&quot;,&quot;volume&quot;:&quot;14&quot;},&quot;isTemporary&quot;:false}]},{&quot;citationID&quot;:&quot;MENDELEY_CITATION_56707d72-fa09-48a7-be10-da15ccaab331&quot;,&quot;properties&quot;:{&quot;noteIndex&quot;:0},&quot;isEdited&quot;:false,&quot;manualOverride&quot;:{&quot;isManuallyOverridden&quot;:false,&quot;citeprocText&quot;:&quot;(6)&quot;,&quot;manualOverrideText&quot;:&quot;&quot;},&quot;citationTag&quot;:&quot;MENDELEY_CITATION_v3_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&quot;,&quot;citationItems&quot;:[{&quot;id&quot;:&quot;59ae00db-c5c2-3abb-95da-677d248be032&quot;,&quot;itemData&quot;:{&quot;type&quot;:&quot;article-journal&quot;,&quot;id&quot;:&quot;59ae00db-c5c2-3abb-95da-677d248be032&quot;,&quot;title&quot;:&quot;Individualised antibiotic dosing for patients who are critically ill: challenges and potential solutions&quot;,&quot;author&quot;:[{&quot;family&quot;:&quot;Roberts&quot;,&quot;given&quot;:&quot;Jason A&quot;,&quot;parse-names&quot;:false,&quot;dropping-particle&quot;:&quot;&quot;,&quot;non-dropping-particle&quot;:&quot;&quot;},{&quot;family&quot;:&quot;Abdul-Aziz&quot;,&quot;given&quot;:&quot;Mohd H&quot;,&quot;parse-names&quot;:false,&quot;dropping-particle&quot;:&quot;&quot;,&quot;non-dropping-particle&quot;:&quot;&quot;},{&quot;family&quot;:&quot;Lipman&quot;,&quot;given&quot;:&quot;Jeffrey&quot;,&quot;parse-names&quot;:false,&quot;dropping-particle&quot;:&quot;&quot;,&quot;non-dropping-particle&quot;:&quot;&quot;},{&quot;family&quot;:&quot;Mouton&quot;,&quot;given&quot;:&quot;Johan W&quot;,&quot;parse-names&quot;:false,&quot;dropping-particle&quot;:&quot;&quot;,&quot;non-dropping-particle&quot;:&quot;&quot;},{&quot;family&quot;:&quot;Vinks&quot;,&quot;given&quot;:&quot;Alexander A&quot;,&quot;parse-names&quot;:false,&quot;dropping-particle&quot;:&quot;&quot;,&quot;non-dropping-particle&quot;:&quot;&quot;},{&quot;family&quot;:&quot;Felton&quot;,&quot;given&quot;:&quot;Timothy W&quot;,&quot;parse-names&quot;:false,&quot;dropping-particle&quot;:&quot;&quot;,&quot;non-dropping-particle&quot;:&quot;&quot;},{&quot;family&quot;:&quot;Hope&quot;,&quot;given&quot;:&quot;William W&quot;,&quot;parse-names&quot;:false,&quot;dropping-particle&quot;:&quot;&quot;,&quot;non-dropping-particle&quot;:&quot;&quot;},{&quot;family&quot;:&quot;Farkas&quot;,&quot;given&quot;:&quot;Andras&quot;,&quot;parse-names&quot;:false,&quot;dropping-particle&quot;:&quot;&quot;,&quot;non-dropping-particle&quot;:&quot;&quot;},{&quot;family&quot;:&quot;Neely&quot;,&quot;given&quot;:&quot;Michael N&quot;,&quot;parse-names&quot;:false,&quot;dropping-particle&quot;:&quot;&quot;,&quot;non-dropping-particle&quot;:&quot;&quot;},{&quot;family&quot;:&quot;Schentag&quot;,&quot;given&quot;:&quot;Jerome J&quot;,&quot;parse-names&quot;:false,&quot;dropping-particle&quot;:&quot;&quot;,&quot;non-dropping-particle&quot;:&quot;&quot;},{&quot;family&quot;:&quot;Drusano&quot;,&quot;given&quot;:&quot;George&quot;,&quot;parse-names&quot;:false,&quot;dropping-particle&quot;:&quot;&quot;,&quot;non-dropping-particle&quot;:&quot;&quot;},{&quot;family&quot;:&quot;Frey&quot;,&quot;given&quot;:&quot;Otto R&quot;,&quot;parse-names&quot;:false,&quot;dropping-particle&quot;:&quot;&quot;,&quot;non-dropping-particle&quot;:&quot;&quot;},{&quot;family&quot;:&quot;Theuretzbacher&quot;,&quot;given&quot;:&quot;Ursula&quot;,&quot;parse-names&quot;:false,&quot;dropping-particle&quot;:&quot;&quot;,&quot;non-dropping-particle&quot;:&quot;&quot;},{&quot;family&quot;:&quot;Kuti&quot;,&quot;given&quot;:&quot;Joseph L&quot;,&quot;parse-names&quot;:false,&quot;dropping-particle&quot;:&quot;&quot;,&quot;non-dropping-particle&quot;:&quot;&quot;}],&quot;container-title&quot;:&quot;The Lancet Infectious Diseases&quot;,&quot;container-title-short&quot;:&quot;Lancet Infect. Dis.&quot;,&quot;DOI&quot;:&quot;10.1016/S1473-3099(14)70036-2&quot;,&quot;ISSN&quot;:&quot;14733099&quot;,&quot;issued&quot;:{&quot;date-parts&quot;:[[2014,6]]},&quot;page&quot;:&quot;498-509&quot;,&quot;issue&quot;:&quot;6&quot;,&quot;volume&quot;:&quot;14&quot;},&quot;isTemporary&quot;:false}]},{&quot;citationID&quot;:&quot;MENDELEY_CITATION_3298ec73-f362-432d-be74-8c3f23c8f20e&quot;,&quot;properties&quot;:{&quot;noteIndex&quot;:0},&quot;isEdited&quot;:false,&quot;manualOverride&quot;:{&quot;isManuallyOverridden&quot;:false,&quot;citeprocText&quot;:&quot;(1)&quot;,&quot;manualOverrideText&quot;:&quot;&quot;},&quot;citationTag&quot;:&quot;MENDELEY_CITATION_v3_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&quot;,&quot;citationItems&quot;:[{&quot;id&quot;:&quot;3d040750-8a65-351f-b644-3094dde37782&quot;,&quot;itemData&quot;:{&quot;type&quot;:&quot;article-journal&quot;,&quot;id&quot;:&quot;3d040750-8a65-351f-b644-3094dde37782&quot;,&quot;title&quot;:&quot;Resurrecting the intestinal microbiota to combat antibiotic-resistant pathogens&quot;,&quot;author&quot;:[{&quot;family&quot;:&quot;Pamer&quot;,&quot;given&quot;:&quot;Eric G.&quot;,&quot;parse-names&quot;:false,&quot;dropping-particle&quot;:&quot;&quot;,&quot;non-dropping-particle&quot;:&quot;&quot;}],&quot;container-title&quot;:&quot;Science&quot;,&quot;container-title-short&quot;:&quot;Science (1979).&quot;,&quot;DOI&quot;:&quot;10.1126/science.aad9382&quot;,&quot;ISSN&quot;:&quot;0036-8075&quot;,&quot;issued&quot;:{&quot;date-parts&quot;:[[2016,4,29]]},&quot;page&quot;:&quot;535-538&quot;,&quot;abstract&quot;:&quot;&lt;p&gt;The intestinal microbiota, which is composed of diverse populations of commensal bacterial species, provides resistance against colonization and invasion by pathogens. Antibiotic treatment can damage the intestinal microbiota and, paradoxically, increase susceptibility to infections. Reestablishing microbiota-mediated colonization resistance after antibiotic treatment could markedly reduce infections, particularly those caused by antibiotic-resistant bacteria. Ongoing studies are identifying commensal bacterial species that can be developed into next-generation probiotics to reestablish or enhance colonization resistance. These live medicines are at various stages of discovery, testing, and production and are being subjected to existing regulatory gauntlets for eventual introduction into clinical practice. The development of next-generation probiotics to reestablish colonization resistance and eliminate potential pathogens from the gut is warranted and will reduce health care–associated infections caused by highly antibiotic-resistant bacteria.&lt;/p&gt;&quot;,&quot;issue&quot;:&quot;6285&quot;,&quot;volume&quot;:&quot;352&quot;},&quot;isTemporary&quot;:false}]},{&quot;citationID&quot;:&quot;MENDELEY_CITATION_72851584-94a8-4d8a-a419-2b0968ad2c19&quot;,&quot;properties&quot;:{&quot;noteIndex&quot;:0},&quot;isEdited&quot;:false,&quot;manualOverride&quot;:{&quot;isManuallyOverridden&quot;:false,&quot;citeprocText&quot;:&quot;(3)&quot;,&quot;manualOverrideText&quot;:&quot;&quot;},&quot;citationTag&quot;:&quot;MENDELEY_CITATION_v3_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&quot;,&quot;citationItems&quot;:[{&quot;id&quot;:&quot;7b2ab41d-c4f3-3dd3-a62c-ce5b0ef1e7ed&quot;,&quot;itemData&quot;:{&quot;type&quot;:&quot;article-journal&quot;,&quot;id&quot;:&quot;7b2ab41d-c4f3-3dd3-a62c-ce5b0ef1e7ed&quot;,&quot;title&quot;:&quot;Clinical Practice Guidelines for Clostridium difficile Infection in Adults and Children: 2017 Update by the Infectious Diseases Society of America (IDSA) and Society for Healthcare Epidemiology of America (SHEA)&quot;,&quot;author&quot;:[{&quot;family&quot;:&quot;McDonald&quot;,&quot;given&quot;:&quot;L Clifford&quot;,&quot;parse-names&quot;:false,&quot;dropping-particle&quot;:&quot;&quot;,&quot;non-dropping-particle&quot;:&quot;&quot;},{&quot;family&quot;:&quot;Gerding&quot;,&quot;given&quot;:&quot;Dale N&quot;,&quot;parse-names&quot;:false,&quot;dropping-particle&quot;:&quot;&quot;,&quot;non-dropping-particle&quot;:&quot;&quot;},{&quot;family&quot;:&quot;Johnson&quot;,&quot;given&quot;:&quot;Stuart&quot;,&quot;parse-names&quot;:false,&quot;dropping-particle&quot;:&quot;&quot;,&quot;non-dropping-particle&quot;:&quot;&quot;},{&quot;family&quot;:&quot;Bakken&quot;,&quot;given&quot;:&quot;Johan S&quot;,&quot;parse-names&quot;:false,&quot;dropping-particle&quot;:&quot;&quot;,&quot;non-dropping-particle&quot;:&quot;&quot;},{&quot;family&quot;:&quot;Carroll&quot;,&quot;given&quot;:&quot;Karen C&quot;,&quot;parse-names&quot;:false,&quot;dropping-particle&quot;:&quot;&quot;,&quot;non-dropping-particle&quot;:&quot;&quot;},{&quot;family&quot;:&quot;Coffin&quot;,&quot;given&quot;:&quot;Susan E&quot;,&quot;parse-names&quot;:false,&quot;dropping-particle&quot;:&quot;&quot;,&quot;non-dropping-particle&quot;:&quot;&quot;},{&quot;family&quot;:&quot;Dubberke&quot;,&quot;given&quot;:&quot;Erik R&quot;,&quot;parse-names&quot;:false,&quot;dropping-particle&quot;:&quot;&quot;,&quot;non-dropping-particle&quot;:&quot;&quot;},{&quot;family&quot;:&quot;Garey&quot;,&quot;given&quot;:&quot;Kevin W&quot;,&quot;parse-names&quot;:false,&quot;dropping-particle&quot;:&quot;&quot;,&quot;non-dropping-particle&quot;:&quot;&quot;},{&quot;family&quot;:&quot;Gould&quot;,&quot;given&quot;:&quot;Carolyn&quot;,&quot;parse-names&quot;:false,&quot;dropping-particle&quot;:&quot;V&quot;,&quot;non-dropping-particle&quot;:&quot;&quot;},{&quot;family&quot;:&quot;Kelly&quot;,&quot;given&quot;:&quot;Ciaran&quot;,&quot;parse-names&quot;:false,&quot;dropping-particle&quot;:&quot;&quot;,&quot;non-dropping-particle&quot;:&quot;&quot;},{&quot;family&quot;:&quot;Loo&quot;,&quot;given&quot;:&quot;Vivian&quot;,&quot;parse-names&quot;:false,&quot;dropping-particle&quot;:&quot;&quot;,&quot;non-dropping-particle&quot;:&quot;&quot;},{&quot;family&quot;:&quot;Shaklee Sammons&quot;,&quot;given&quot;:&quot;Julia&quot;,&quot;parse-names&quot;:false,&quot;dropping-particle&quot;:&quot;&quot;,&quot;non-dropping-particle&quot;:&quot;&quot;},{&quot;family&quot;:&quot;Sandora&quot;,&quot;given&quot;:&quot;Thomas J&quot;,&quot;parse-names&quot;:false,&quot;dropping-particle&quot;:&quot;&quot;,&quot;non-dropping-particle&quot;:&quot;&quot;},{&quot;family&quot;:&quot;Wilcox&quot;,&quot;given&quot;:&quot;Mark H&quot;,&quot;parse-names&quot;:false,&quot;dropping-particle&quot;:&quot;&quot;,&quot;non-dropping-particle&quot;:&quot;&quot;}],&quot;container-title&quot;:&quot;Clinical Infectious Diseases&quot;,&quot;DOI&quot;:&quot;10.1093/cid/ciy149&quot;,&quot;ISSN&quot;:&quot;1058-4838&quot;,&quot;issued&quot;:{&quot;date-parts&quot;:[[2018,3,19]]},&quot;page&quot;:&quot;987-994&quot;,&quot;abstract&quot;:&quot;&lt;p&gt;A panel of experts was convened by the Infectious Diseases Society of America (IDSA) and Society for Healthcare Epidemiology of America (SHEA) to update the 2010 clinical practice guideline on Clostridium difficile infection (CDI) in adults. The update, which has incorporated recommendations for children (following the adult recommendations for epidemiology, diagnosis, and treatment), includes significant changes in the management of this infection and reflects the evolving controversy over best methods for diagnosis. Clostridium difficile remains the most important cause of healthcare-associated diarrhea and has become the most commonly identified cause of healthcare-associated infection in adults in the United States. Moreover, C. difficile has established itself as an important community pathogen. Although the prevalence of the epidemic and virulent ribotype 027 strain has declined markedly along with overall CDI rates in parts of Europe, it remains one of the most commonly identified strains in the United States where it causes a sizable minority of CDIs, especially healthcare-associated CDIs. This guideline updates recommendations regarding epidemiology, diagnosis, treatment, infection prevention, and environmental management.&lt;/p&gt;&quot;,&quot;issue&quot;:&quot;7&quot;,&quot;volume&quot;:&quot;66&quot;,&quot;container-title-short&quot;:&quot;&quot;},&quot;isTemporary&quot;:false}]},{&quot;citationID&quot;:&quot;MENDELEY_CITATION_33ce0fb2-ab4b-4c77-a0b9-313e01afde69&quot;,&quot;properties&quot;:{&quot;noteIndex&quot;:0},&quot;isEdited&quot;:false,&quot;manualOverride&quot;:{&quot;isManuallyOverridden&quot;:false,&quot;citeprocText&quot;:&quot;(2)&quot;,&quot;manualOverrideText&quot;:&quot;&quot;},&quot;citationTag&quot;:&quot;MENDELEY_CITATION_v3_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&quot;,&quot;citationItems&quot;:[{&quot;id&quot;:&quot;c44334bf-795c-35bf-b6e8-e40420bbc394&quot;,&quot;itemData&quot;:{&quot;type&quot;:&quot;article-journal&quot;,&quot;id&quot;:&quot;c44334bf-795c-35bf-b6e8-e40420bbc394&quot;,&quot;title&quot;:&quot;Epidemiology of β-Lactamase-Producing Pathogens&quot;,&quot;author&quot;:[{&quot;family&quot;:&quot;Bush&quot;,&quot;given&quot;:&quot;Karen&quot;,&quot;parse-names&quot;:false,&quot;dropping-particle&quot;:&quot;&quot;,&quot;non-dropping-particle&quot;:&quot;&quot;},{&quot;family&quot;:&quot;Bradford&quot;,&quot;given&quot;:&quot;Patricia A.&quot;,&quot;parse-names&quot;:false,&quot;dropping-particle&quot;:&quot;&quot;,&quot;non-dropping-particle&quot;:&quot;&quot;}],&quot;container-title&quot;:&quot;Clinical Microbiology Reviews&quot;,&quot;container-title-short&quot;:&quot;Clin. Microbiol. Rev.&quot;,&quot;DOI&quot;:&quot;10.1128/CMR.00047-19&quot;,&quot;ISSN&quot;:&quot;0893-8512&quot;,&quot;issued&quot;:{&quot;date-parts&quot;:[[2020,3,18]]},&quot;abstract&quot;:&quot;&lt;p&gt; β-Lactam antibiotics have been widely used as therapeutic agents for the past 70 years, resulting in emergence of an abundance of β-lactam-inactivating β-lactamases. Although penicillinases in &lt;named-content content-type=\&quot;genus-species\&quot;&gt;Staphylococcus aureus&lt;/named-content&gt; challenged the initial uses of penicillin, β-lactamases are most important in Gram-negative bacteria, particularly in enteric and nonfermentative pathogens, where collectively they confer resistance to all β-lactam-containing antibiotics. &lt;/p&gt;&quot;,&quot;issue&quot;:&quot;2&quot;,&quot;volume&quot;:&quot;33&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false"/>
    <we:property name="MENDELEY_BIBLIOGRAPHY_LAST_MODIFIED" value="177363334665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007F2-EF27-4EA3-8DA4-F445FB21D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11</Pages>
  <Words>3634</Words>
  <Characters>19627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2</cp:revision>
  <dcterms:created xsi:type="dcterms:W3CDTF">2026-03-16T03:55:00Z</dcterms:created>
  <dcterms:modified xsi:type="dcterms:W3CDTF">2026-03-24T20:26:00Z</dcterms:modified>
</cp:coreProperties>
</file>