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2760B" w14:textId="77777777" w:rsidR="007068B1" w:rsidRDefault="007068B1" w:rsidP="007068B1">
      <w:pPr>
        <w:spacing w:after="0" w:line="360" w:lineRule="auto"/>
        <w:jc w:val="center"/>
        <w:rPr>
          <w:rFonts w:ascii="Arial" w:hAnsi="Arial" w:cs="Arial"/>
          <w:b/>
          <w:bCs/>
        </w:rPr>
      </w:pPr>
      <w:r w:rsidRPr="000D275C">
        <w:rPr>
          <w:rFonts w:ascii="Arial" w:hAnsi="Arial" w:cs="Arial"/>
          <w:b/>
          <w:bCs/>
        </w:rPr>
        <w:t>CAPÍTULO 7 - Principais Efeitos Adversos por Classe</w:t>
      </w:r>
    </w:p>
    <w:p w14:paraId="00E75380" w14:textId="77777777" w:rsidR="007068B1" w:rsidRPr="00474766" w:rsidRDefault="007068B1" w:rsidP="007068B1">
      <w:pPr>
        <w:spacing w:after="0" w:line="360" w:lineRule="auto"/>
        <w:jc w:val="both"/>
        <w:rPr>
          <w:rFonts w:ascii="Arial" w:hAnsi="Arial" w:cs="Arial"/>
          <w:b/>
          <w:bCs/>
        </w:rPr>
      </w:pPr>
    </w:p>
    <w:p w14:paraId="457AFE43" w14:textId="77777777" w:rsidR="007068B1" w:rsidRDefault="007068B1" w:rsidP="007068B1">
      <w:pPr>
        <w:spacing w:after="0" w:line="360" w:lineRule="auto"/>
        <w:jc w:val="right"/>
        <w:rPr>
          <w:rFonts w:ascii="Arial" w:hAnsi="Arial" w:cs="Arial"/>
        </w:rPr>
      </w:pPr>
      <w:r w:rsidRPr="0003129B">
        <w:rPr>
          <w:rFonts w:ascii="Arial" w:hAnsi="Arial" w:cs="Arial"/>
        </w:rPr>
        <w:t xml:space="preserve">Página </w:t>
      </w:r>
      <w:r>
        <w:rPr>
          <w:rFonts w:ascii="Arial" w:hAnsi="Arial" w:cs="Arial"/>
        </w:rPr>
        <w:t>55</w:t>
      </w:r>
    </w:p>
    <w:p w14:paraId="1A7922FD" w14:textId="77777777" w:rsidR="007068B1" w:rsidRDefault="007068B1" w:rsidP="007068B1">
      <w:pPr>
        <w:spacing w:after="0" w:line="360" w:lineRule="auto"/>
        <w:jc w:val="right"/>
        <w:rPr>
          <w:rFonts w:ascii="Arial" w:hAnsi="Arial" w:cs="Arial"/>
        </w:rPr>
      </w:pPr>
    </w:p>
    <w:p w14:paraId="34401043" w14:textId="77777777" w:rsidR="007068B1" w:rsidRPr="006458AB" w:rsidRDefault="007068B1" w:rsidP="007068B1">
      <w:pPr>
        <w:spacing w:after="0" w:line="360" w:lineRule="auto"/>
        <w:rPr>
          <w:rFonts w:ascii="Arial" w:hAnsi="Arial" w:cs="Arial"/>
          <w:b/>
          <w:bCs/>
        </w:rPr>
      </w:pPr>
      <w:r w:rsidRPr="006458AB">
        <w:rPr>
          <w:rFonts w:ascii="Arial" w:hAnsi="Arial" w:cs="Arial"/>
          <w:b/>
          <w:bCs/>
        </w:rPr>
        <w:t>Como os efeitos adversos dos antibacterianos se relacionam ao mecanismo de ação</w:t>
      </w:r>
    </w:p>
    <w:p w14:paraId="18BCB7B4" w14:textId="77777777" w:rsidR="007068B1" w:rsidRPr="006458AB" w:rsidRDefault="007068B1" w:rsidP="007068B1">
      <w:pPr>
        <w:spacing w:after="0" w:line="360" w:lineRule="auto"/>
        <w:jc w:val="both"/>
        <w:rPr>
          <w:rFonts w:ascii="Arial" w:hAnsi="Arial" w:cs="Arial"/>
        </w:rPr>
      </w:pPr>
    </w:p>
    <w:p w14:paraId="1AE0344F" w14:textId="4BB221CA" w:rsidR="007068B1" w:rsidRPr="006458AB" w:rsidRDefault="007068B1" w:rsidP="007068B1">
      <w:pPr>
        <w:spacing w:after="0" w:line="360" w:lineRule="auto"/>
        <w:ind w:firstLine="708"/>
        <w:jc w:val="both"/>
        <w:rPr>
          <w:rFonts w:ascii="Arial" w:hAnsi="Arial" w:cs="Arial"/>
        </w:rPr>
      </w:pPr>
      <w:r w:rsidRPr="006458AB">
        <w:rPr>
          <w:rFonts w:ascii="Arial" w:hAnsi="Arial" w:cs="Arial"/>
        </w:rPr>
        <w:t xml:space="preserve">A escolha de um antibacteriano não envolve apenas atividade microbiológica contra o patógeno. Toda prescrição implica também uma avaliação de risco previsível para o paciente. O princípio da toxicidade seletiva, fundamento da antibioticoterapia, </w:t>
      </w:r>
      <w:proofErr w:type="spellStart"/>
      <w:r w:rsidRPr="006458AB">
        <w:rPr>
          <w:rFonts w:ascii="Arial" w:hAnsi="Arial" w:cs="Arial"/>
        </w:rPr>
        <w:t>é</w:t>
      </w:r>
      <w:proofErr w:type="spellEnd"/>
      <w:r w:rsidRPr="006458AB">
        <w:rPr>
          <w:rFonts w:ascii="Arial" w:hAnsi="Arial" w:cs="Arial"/>
        </w:rPr>
        <w:t xml:space="preserve"> inerentemente relativo. </w:t>
      </w:r>
      <w:r w:rsidRPr="001455EC">
        <w:rPr>
          <w:rFonts w:ascii="Arial" w:hAnsi="Arial" w:cs="Arial"/>
        </w:rPr>
        <w:t>A diferença estrutural e bioquímica entre bactérias e células humanas amplia a margem terapêutica</w:t>
      </w:r>
      <w:r w:rsidRPr="006458AB">
        <w:rPr>
          <w:rFonts w:ascii="Arial" w:hAnsi="Arial" w:cs="Arial"/>
        </w:rPr>
        <w:t>, mas não elimina a possibilidade de dano ao hospedeiro</w:t>
      </w:r>
      <w:r>
        <w:rPr>
          <w:rFonts w:ascii="Arial" w:hAnsi="Arial" w:cs="Arial"/>
        </w:rPr>
        <w:t xml:space="preserve"> </w:t>
      </w:r>
      <w:sdt>
        <w:sdtPr>
          <w:rPr>
            <w:rFonts w:ascii="Arial" w:hAnsi="Arial" w:cs="Arial"/>
            <w:color w:val="000000"/>
          </w:rPr>
          <w:tag w:val="MENDELEY_CITATION_v3_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9sZCBTcHJpbmcgSGFyYm9yIFBlcnNwZWN0aXZlcyBpbiBNZWRpY2luZSIsImNvbnRhaW5lci10aXRsZS1zaG9ydCI6IkNvbGQgU3ByaW5nIEhhcmIuIFBlcnNwZWN0LiBNZWQuIiwiRE9JIjoiMTAuMTEwMS9jc2hwZXJzcGVjdC5hMDI1MjQ3IiwiSVNTTiI6IjIxNTctMTQyMiIsImlzc3VlZCI6eyJkYXRlLXBhcnRzIjpbWzIwMTYsOF1dfSwicGFnZSI6ImEwMjUyNDciLCJpc3N1ZSI6IjgiLCJ2b2x1bWUiOiI2In0sImlzVGVtcG9yYXJ5IjpmYWxzZX1dfQ=="/>
          <w:id w:val="1409650223"/>
          <w:placeholder>
            <w:docPart w:val="C85A98FD20CA4E59B1CEDF91272EB461"/>
          </w:placeholder>
        </w:sdtPr>
        <w:sdtContent>
          <w:r w:rsidRPr="007068B1">
            <w:rPr>
              <w:rFonts w:ascii="Arial" w:hAnsi="Arial" w:cs="Arial"/>
              <w:color w:val="000000"/>
            </w:rPr>
            <w:t>(1)</w:t>
          </w:r>
        </w:sdtContent>
      </w:sdt>
      <w:r w:rsidRPr="006458AB">
        <w:rPr>
          <w:rFonts w:ascii="Arial" w:hAnsi="Arial" w:cs="Arial"/>
        </w:rPr>
        <w:t>.</w:t>
      </w:r>
    </w:p>
    <w:p w14:paraId="26436BDB" w14:textId="6FA5FB12"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Os efeitos adversos dos antibacterianos podem surgir por diferentes mecanismos biológicos. Em alguns casos, decorrem da proximidade funcional entre estruturas bacterianas e componentes celulares humanos. Em outros, resultam de respostas imunológicas ao fármaco, interferência em organelas celulares, especialmente mitocôndrias, ou da alteração do equilíbrio da microbiota comensal</w:t>
      </w:r>
      <w:r>
        <w:rPr>
          <w:rFonts w:ascii="Arial" w:hAnsi="Arial" w:cs="Arial"/>
        </w:rPr>
        <w:t xml:space="preserve"> </w:t>
      </w:r>
      <w:sdt>
        <w:sdtPr>
          <w:rPr>
            <w:rFonts w:ascii="Arial" w:hAnsi="Arial" w:cs="Arial"/>
            <w:color w:val="000000"/>
          </w:rPr>
          <w:tag w:val="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"/>
          <w:id w:val="-1813784074"/>
          <w:placeholder>
            <w:docPart w:val="C85A98FD20CA4E59B1CEDF91272EB461"/>
          </w:placeholder>
        </w:sdtPr>
        <w:sdtContent>
          <w:r w:rsidRPr="007068B1">
            <w:rPr>
              <w:rFonts w:ascii="Arial" w:hAnsi="Arial" w:cs="Arial"/>
              <w:color w:val="000000"/>
            </w:rPr>
            <w:t>(2)</w:t>
          </w:r>
        </w:sdtContent>
      </w:sdt>
      <w:r w:rsidRPr="006458AB">
        <w:rPr>
          <w:rFonts w:ascii="Arial" w:hAnsi="Arial" w:cs="Arial"/>
        </w:rPr>
        <w:t>.</w:t>
      </w:r>
    </w:p>
    <w:p w14:paraId="038D6A08"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 xml:space="preserve">Na prática clínica, esses eventos não se manifestam como conceitos farmacológicos abstratos, mas como complicações concretas que influenciam diretamente a evolução do paciente. Podem incluir insuficiência renal associada a fármacos nefrotóxicos, manifestações cutâneas relacionadas a reações de hipersensibilidade, alterações hematológicas durante terapias prolongadas ou diarreia associada à </w:t>
      </w:r>
      <w:proofErr w:type="spellStart"/>
      <w:r w:rsidRPr="006458AB">
        <w:rPr>
          <w:rFonts w:ascii="Arial" w:hAnsi="Arial" w:cs="Arial"/>
        </w:rPr>
        <w:t>disbiose</w:t>
      </w:r>
      <w:proofErr w:type="spellEnd"/>
      <w:r w:rsidRPr="006458AB">
        <w:rPr>
          <w:rFonts w:ascii="Arial" w:hAnsi="Arial" w:cs="Arial"/>
        </w:rPr>
        <w:t xml:space="preserve"> intestinal e ao risco de infecção por </w:t>
      </w:r>
      <w:proofErr w:type="spellStart"/>
      <w:r w:rsidRPr="006458AB">
        <w:rPr>
          <w:rFonts w:ascii="Arial" w:hAnsi="Arial" w:cs="Arial"/>
        </w:rPr>
        <w:t>Clostridioides</w:t>
      </w:r>
      <w:proofErr w:type="spellEnd"/>
      <w:r w:rsidRPr="006458AB">
        <w:rPr>
          <w:rFonts w:ascii="Arial" w:hAnsi="Arial" w:cs="Arial"/>
        </w:rPr>
        <w:t xml:space="preserve"> </w:t>
      </w:r>
      <w:proofErr w:type="spellStart"/>
      <w:r w:rsidRPr="006458AB">
        <w:rPr>
          <w:rFonts w:ascii="Arial" w:hAnsi="Arial" w:cs="Arial"/>
        </w:rPr>
        <w:t>difficile</w:t>
      </w:r>
      <w:proofErr w:type="spellEnd"/>
      <w:r w:rsidRPr="006458AB">
        <w:rPr>
          <w:rFonts w:ascii="Arial" w:hAnsi="Arial" w:cs="Arial"/>
        </w:rPr>
        <w:t>.</w:t>
      </w:r>
    </w:p>
    <w:p w14:paraId="63297498"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 xml:space="preserve">Nos últimos anos, revisões regulatórias e dados de farmacovigilância reforçaram a importância da avaliação individual de risco. </w:t>
      </w:r>
      <w:proofErr w:type="spellStart"/>
      <w:r w:rsidRPr="006458AB">
        <w:rPr>
          <w:rFonts w:ascii="Arial" w:hAnsi="Arial" w:cs="Arial"/>
        </w:rPr>
        <w:t>Fluoroquinolonas</w:t>
      </w:r>
      <w:proofErr w:type="spellEnd"/>
      <w:r w:rsidRPr="006458AB">
        <w:rPr>
          <w:rFonts w:ascii="Arial" w:hAnsi="Arial" w:cs="Arial"/>
        </w:rPr>
        <w:t xml:space="preserve">, por exemplo, passaram a ter seu uso mais restrito após evidências de associação com neuropatia periférica, </w:t>
      </w:r>
      <w:proofErr w:type="spellStart"/>
      <w:r w:rsidRPr="006458AB">
        <w:rPr>
          <w:rFonts w:ascii="Arial" w:hAnsi="Arial" w:cs="Arial"/>
        </w:rPr>
        <w:t>tendinopatia</w:t>
      </w:r>
      <w:proofErr w:type="spellEnd"/>
      <w:r w:rsidRPr="006458AB">
        <w:rPr>
          <w:rFonts w:ascii="Arial" w:hAnsi="Arial" w:cs="Arial"/>
        </w:rPr>
        <w:t xml:space="preserve"> e possíveis eventos cardiovasculares em determinadas populações. De forma semelhante, a </w:t>
      </w:r>
      <w:proofErr w:type="spellStart"/>
      <w:r w:rsidRPr="006458AB">
        <w:rPr>
          <w:rFonts w:ascii="Arial" w:hAnsi="Arial" w:cs="Arial"/>
        </w:rPr>
        <w:t>nefrotoxicidade</w:t>
      </w:r>
      <w:proofErr w:type="spellEnd"/>
      <w:r w:rsidRPr="006458AB">
        <w:rPr>
          <w:rFonts w:ascii="Arial" w:hAnsi="Arial" w:cs="Arial"/>
        </w:rPr>
        <w:t xml:space="preserve"> associada a </w:t>
      </w:r>
      <w:proofErr w:type="spellStart"/>
      <w:r w:rsidRPr="006458AB">
        <w:rPr>
          <w:rFonts w:ascii="Arial" w:hAnsi="Arial" w:cs="Arial"/>
        </w:rPr>
        <w:t>polimixinas</w:t>
      </w:r>
      <w:proofErr w:type="spellEnd"/>
      <w:r w:rsidRPr="006458AB">
        <w:rPr>
          <w:rFonts w:ascii="Arial" w:hAnsi="Arial" w:cs="Arial"/>
        </w:rPr>
        <w:t xml:space="preserve"> tornou-se elemento central na decisão terapêutica em infecções causadas por microrganismos multirresistentes.</w:t>
      </w:r>
    </w:p>
    <w:p w14:paraId="486AD431" w14:textId="44B431C8"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Estudos de farmacovigilância indicam que reações adversas relacionadas a antibacterianos permanecem causa frequente de notificação e hospitalização. Parte desses eventos pode ser evitada por seleção adequada da classe, ajuste de dose, duração apropriada do tratamento e monitorização dirigida</w:t>
      </w:r>
      <w:r>
        <w:rPr>
          <w:rFonts w:ascii="Arial" w:hAnsi="Arial" w:cs="Arial"/>
        </w:rPr>
        <w:t xml:space="preserve"> </w:t>
      </w:r>
      <w:sdt>
        <w:sdtPr>
          <w:rPr>
            <w:rFonts w:ascii="Arial" w:hAnsi="Arial" w:cs="Arial"/>
            <w:color w:val="000000"/>
          </w:rPr>
          <w:tag w:val="MENDELEY_CITATION_v3_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"/>
          <w:id w:val="1701519555"/>
          <w:placeholder>
            <w:docPart w:val="C85A98FD20CA4E59B1CEDF91272EB461"/>
          </w:placeholder>
        </w:sdtPr>
        <w:sdtContent>
          <w:r w:rsidRPr="007068B1">
            <w:rPr>
              <w:rFonts w:ascii="Arial" w:hAnsi="Arial" w:cs="Arial"/>
              <w:color w:val="000000"/>
            </w:rPr>
            <w:t>(3)</w:t>
          </w:r>
        </w:sdtContent>
      </w:sdt>
      <w:r w:rsidRPr="006458AB">
        <w:rPr>
          <w:rFonts w:ascii="Arial" w:hAnsi="Arial" w:cs="Arial"/>
        </w:rPr>
        <w:t>.</w:t>
      </w:r>
    </w:p>
    <w:p w14:paraId="455B47FF"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 xml:space="preserve">A compreensão dos efeitos adversos torna-se mais clara quando analisada a partir do mecanismo de ação do fármaco. Em vez de memorizar listas extensas de </w:t>
      </w:r>
      <w:r w:rsidRPr="006458AB">
        <w:rPr>
          <w:rFonts w:ascii="Arial" w:hAnsi="Arial" w:cs="Arial"/>
        </w:rPr>
        <w:lastRenderedPageBreak/>
        <w:t>toxicidades, é possível antecipar riscos ao reconhecer a relação entre o alvo bacteriano e estruturas humanas biologicamente relacionadas.</w:t>
      </w:r>
    </w:p>
    <w:p w14:paraId="59E5E690"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De forma simplificada, o raciocínio pode ser organizado da seguinte maneira:</w:t>
      </w:r>
    </w:p>
    <w:p w14:paraId="63CB15DA" w14:textId="77777777" w:rsidR="007068B1" w:rsidRPr="006458AB" w:rsidRDefault="007068B1" w:rsidP="007068B1">
      <w:pPr>
        <w:spacing w:after="0" w:line="360" w:lineRule="auto"/>
        <w:jc w:val="both"/>
        <w:rPr>
          <w:rFonts w:ascii="Arial" w:hAnsi="Arial" w:cs="Arial"/>
        </w:rPr>
      </w:pPr>
    </w:p>
    <w:p w14:paraId="0112297C" w14:textId="77777777" w:rsidR="007068B1" w:rsidRPr="006458AB" w:rsidRDefault="007068B1" w:rsidP="007068B1">
      <w:pPr>
        <w:spacing w:after="0" w:line="360" w:lineRule="auto"/>
        <w:jc w:val="both"/>
        <w:rPr>
          <w:rFonts w:ascii="Arial" w:hAnsi="Arial" w:cs="Arial"/>
        </w:rPr>
      </w:pPr>
      <w:r w:rsidRPr="006458AB">
        <w:rPr>
          <w:rFonts w:ascii="Arial" w:hAnsi="Arial" w:cs="Arial"/>
        </w:rPr>
        <w:t>Mecanismo bacteriano → estrutura humana correlata → manifestação clínica previsível</w:t>
      </w:r>
    </w:p>
    <w:p w14:paraId="30CE32FE" w14:textId="77777777" w:rsidR="007068B1" w:rsidRPr="006458AB" w:rsidRDefault="007068B1" w:rsidP="007068B1">
      <w:pPr>
        <w:spacing w:after="0" w:line="360" w:lineRule="auto"/>
        <w:jc w:val="both"/>
        <w:rPr>
          <w:rFonts w:ascii="Arial" w:hAnsi="Arial" w:cs="Arial"/>
        </w:rPr>
      </w:pPr>
    </w:p>
    <w:p w14:paraId="718715E9" w14:textId="77777777" w:rsidR="007068B1" w:rsidRDefault="007068B1" w:rsidP="007068B1">
      <w:pPr>
        <w:spacing w:after="0" w:line="360" w:lineRule="auto"/>
        <w:jc w:val="right"/>
      </w:pPr>
      <w:r w:rsidRPr="0003129B">
        <w:rPr>
          <w:rFonts w:ascii="Arial" w:hAnsi="Arial" w:cs="Arial"/>
        </w:rPr>
        <w:t xml:space="preserve">Página </w:t>
      </w:r>
      <w:r>
        <w:rPr>
          <w:rFonts w:ascii="Arial" w:hAnsi="Arial" w:cs="Arial"/>
        </w:rPr>
        <w:t>56</w:t>
      </w:r>
      <w:r w:rsidRPr="006458AB">
        <w:t xml:space="preserve"> </w:t>
      </w:r>
    </w:p>
    <w:p w14:paraId="6660769A" w14:textId="77777777" w:rsidR="007068B1" w:rsidRPr="006458AB" w:rsidRDefault="007068B1" w:rsidP="007068B1">
      <w:pPr>
        <w:spacing w:after="0" w:line="360" w:lineRule="auto"/>
        <w:jc w:val="right"/>
        <w:rPr>
          <w:b/>
          <w:bCs/>
        </w:rPr>
      </w:pPr>
    </w:p>
    <w:p w14:paraId="1DB2EA35" w14:textId="77777777" w:rsidR="007068B1" w:rsidRPr="006458AB" w:rsidRDefault="007068B1" w:rsidP="007068B1">
      <w:pPr>
        <w:spacing w:after="0" w:line="360" w:lineRule="auto"/>
        <w:jc w:val="both"/>
        <w:rPr>
          <w:rFonts w:ascii="Arial" w:hAnsi="Arial" w:cs="Arial"/>
          <w:b/>
          <w:bCs/>
        </w:rPr>
      </w:pPr>
      <w:r w:rsidRPr="006458AB">
        <w:rPr>
          <w:rFonts w:ascii="Arial" w:hAnsi="Arial" w:cs="Arial"/>
          <w:b/>
          <w:bCs/>
        </w:rPr>
        <w:t>Inibidores da síntese da parede celular</w:t>
      </w:r>
    </w:p>
    <w:p w14:paraId="73CFBB2F" w14:textId="77777777" w:rsidR="007068B1" w:rsidRPr="006458AB" w:rsidRDefault="007068B1" w:rsidP="007068B1">
      <w:pPr>
        <w:spacing w:after="0" w:line="360" w:lineRule="auto"/>
        <w:jc w:val="both"/>
        <w:rPr>
          <w:rFonts w:ascii="Arial" w:hAnsi="Arial" w:cs="Arial"/>
        </w:rPr>
      </w:pPr>
    </w:p>
    <w:p w14:paraId="034CE24E" w14:textId="77BFDC88" w:rsidR="007068B1" w:rsidRPr="006458AB" w:rsidRDefault="007068B1" w:rsidP="007068B1">
      <w:pPr>
        <w:spacing w:after="0" w:line="360" w:lineRule="auto"/>
        <w:ind w:firstLine="708"/>
        <w:jc w:val="both"/>
        <w:rPr>
          <w:rFonts w:ascii="Arial" w:hAnsi="Arial" w:cs="Arial"/>
        </w:rPr>
      </w:pPr>
      <w:r w:rsidRPr="006458AB">
        <w:rPr>
          <w:rFonts w:ascii="Arial" w:hAnsi="Arial" w:cs="Arial"/>
        </w:rPr>
        <w:t xml:space="preserve">Os antibacterianos que inibem a síntese da parede celular apresentam, em geral, ampla margem terapêutica. O principal alvo estrutural dessa classe, o </w:t>
      </w:r>
      <w:proofErr w:type="spellStart"/>
      <w:r w:rsidRPr="006458AB">
        <w:rPr>
          <w:rFonts w:ascii="Arial" w:hAnsi="Arial" w:cs="Arial"/>
        </w:rPr>
        <w:t>peptidoglicano</w:t>
      </w:r>
      <w:proofErr w:type="spellEnd"/>
      <w:r w:rsidRPr="006458AB">
        <w:rPr>
          <w:rFonts w:ascii="Arial" w:hAnsi="Arial" w:cs="Arial"/>
        </w:rPr>
        <w:t>, não possui equivalente direto nas células humanas, o que explica a elevada seletividade farmacológica dos β-lactâmicos e de outros agentes com mecanismo semelhante</w:t>
      </w:r>
      <w:r>
        <w:rPr>
          <w:rFonts w:ascii="Arial" w:hAnsi="Arial" w:cs="Arial"/>
        </w:rPr>
        <w:t xml:space="preserve"> </w:t>
      </w:r>
      <w:sdt>
        <w:sdtPr>
          <w:rPr>
            <w:rFonts w:ascii="Arial" w:hAnsi="Arial" w:cs="Arial"/>
            <w:color w:val="000000"/>
          </w:rPr>
          <w:tag w:val="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"/>
          <w:id w:val="-913617347"/>
          <w:placeholder>
            <w:docPart w:val="C85A98FD20CA4E59B1CEDF91272EB461"/>
          </w:placeholder>
        </w:sdtPr>
        <w:sdtContent>
          <w:r w:rsidRPr="007068B1">
            <w:rPr>
              <w:rFonts w:ascii="Arial" w:hAnsi="Arial" w:cs="Arial"/>
              <w:color w:val="000000"/>
            </w:rPr>
            <w:t>(2)</w:t>
          </w:r>
        </w:sdtContent>
      </w:sdt>
      <w:r w:rsidRPr="006458AB">
        <w:rPr>
          <w:rFonts w:ascii="Arial" w:hAnsi="Arial" w:cs="Arial"/>
        </w:rPr>
        <w:t>.</w:t>
      </w:r>
    </w:p>
    <w:p w14:paraId="379270ED"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Entretanto, os efeitos adversos mais relevantes dessa classe não resultam de toxicidade estrutural direta sobre tecidos humanos. Na maioria das vezes, eles decorrem da interação entre o fármaco e o sistema imunológico do hospedeiro.</w:t>
      </w:r>
    </w:p>
    <w:p w14:paraId="0802FC7C" w14:textId="1505D6FC"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 xml:space="preserve">Os β-lactâmicos podem atuar como </w:t>
      </w:r>
      <w:proofErr w:type="spellStart"/>
      <w:r w:rsidRPr="006458AB">
        <w:rPr>
          <w:rFonts w:ascii="Arial" w:hAnsi="Arial" w:cs="Arial"/>
        </w:rPr>
        <w:t>haptenos</w:t>
      </w:r>
      <w:proofErr w:type="spellEnd"/>
      <w:r w:rsidRPr="006458AB">
        <w:rPr>
          <w:rFonts w:ascii="Arial" w:hAnsi="Arial" w:cs="Arial"/>
        </w:rPr>
        <w:t>, ligando-se a proteínas humanas e formando complexos capazes de desencadear resposta imunológica. As manifestações clínicas variam amplamente, desde exantemas cutâneos autolimitados até reações imediatas graves, como anafilaxia. O tipo de manifestação depende do mecanismo imunológico envolvido e do histórico de exposição prévia ao medicamento</w:t>
      </w:r>
      <w:r>
        <w:rPr>
          <w:rFonts w:ascii="Arial" w:hAnsi="Arial" w:cs="Arial"/>
        </w:rPr>
        <w:t xml:space="preserve"> </w:t>
      </w:r>
      <w:sdt>
        <w:sdtPr>
          <w:rPr>
            <w:rFonts w:ascii="Arial" w:hAnsi="Arial" w:cs="Arial"/>
            <w:color w:val="000000"/>
          </w:rPr>
          <w:tag w:val="MENDELEY_CITATION_v3_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9sZCBTcHJpbmcgSGFyYm9yIFBlcnNwZWN0aXZlcyBpbiBNZWRpY2luZSIsImNvbnRhaW5lci10aXRsZS1zaG9ydCI6IkNvbGQgU3ByaW5nIEhhcmIuIFBlcnNwZWN0LiBNZWQuIiwiRE9JIjoiMTAuMTEwMS9jc2hwZXJzcGVjdC5hMDI1MjQ3IiwiSVNTTiI6IjIxNTctMTQyMiIsImlzc3VlZCI6eyJkYXRlLXBhcnRzIjpbWzIwMTYsOF1dfSwicGFnZSI6ImEwMjUyNDciLCJpc3N1ZSI6IjgiLCJ2b2x1bWUiOiI2In0sImlzVGVtcG9yYXJ5IjpmYWxzZX1dfQ=="/>
          <w:id w:val="704451798"/>
          <w:placeholder>
            <w:docPart w:val="C85A98FD20CA4E59B1CEDF91272EB461"/>
          </w:placeholder>
        </w:sdtPr>
        <w:sdtContent>
          <w:r w:rsidRPr="007068B1">
            <w:rPr>
              <w:rFonts w:ascii="Arial" w:hAnsi="Arial" w:cs="Arial"/>
              <w:color w:val="000000"/>
            </w:rPr>
            <w:t>(1)</w:t>
          </w:r>
        </w:sdtContent>
      </w:sdt>
      <w:r w:rsidRPr="006458AB">
        <w:rPr>
          <w:rFonts w:ascii="Arial" w:hAnsi="Arial" w:cs="Arial"/>
        </w:rPr>
        <w:t>.</w:t>
      </w:r>
    </w:p>
    <w:p w14:paraId="759CD6FE" w14:textId="2D8FF5FC"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Um aspecto particularmente relevante na prática clínica é a rotulagem de alergia à penicilina. Estudos demonstram que a maioria dos pacientes que apresentam esse registro em prontuário não possui hipersensibilidade confirmada quando submetida a investigação adequada. Esse rótulo impreciso frequentemente leva à exclusão desnecessária de β-lactâmicos de primeira linha e à substituição por classes alternativas de espectro mais amplo</w:t>
      </w:r>
      <w:r>
        <w:rPr>
          <w:rFonts w:ascii="Arial" w:hAnsi="Arial" w:cs="Arial"/>
        </w:rPr>
        <w:t xml:space="preserve"> </w:t>
      </w:r>
      <w:sdt>
        <w:sdtPr>
          <w:rPr>
            <w:rFonts w:ascii="Arial" w:hAnsi="Arial" w:cs="Arial"/>
            <w:color w:val="000000"/>
          </w:rPr>
          <w:tag w:val="MENDELEY_CITATION_v3_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"/>
          <w:id w:val="-1775009562"/>
          <w:placeholder>
            <w:docPart w:val="C85A98FD20CA4E59B1CEDF91272EB461"/>
          </w:placeholder>
        </w:sdtPr>
        <w:sdtContent>
          <w:r w:rsidRPr="007068B1">
            <w:rPr>
              <w:rFonts w:ascii="Arial" w:hAnsi="Arial" w:cs="Arial"/>
              <w:color w:val="000000"/>
            </w:rPr>
            <w:t>(4)</w:t>
          </w:r>
        </w:sdtContent>
      </w:sdt>
      <w:r w:rsidRPr="006458AB">
        <w:rPr>
          <w:rFonts w:ascii="Arial" w:hAnsi="Arial" w:cs="Arial"/>
        </w:rPr>
        <w:t>.</w:t>
      </w:r>
    </w:p>
    <w:p w14:paraId="1CF0C616" w14:textId="4E8B6B41"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 xml:space="preserve">A substituição injustificada tem implicações que ultrapassam o risco individual. O uso ampliado de agentes alternativos associa-se a maior pressão seletiva sobre a microbiota, aumento da incidência de infecção por </w:t>
      </w:r>
      <w:proofErr w:type="spellStart"/>
      <w:r w:rsidRPr="006458AB">
        <w:rPr>
          <w:rFonts w:ascii="Arial" w:hAnsi="Arial" w:cs="Arial"/>
        </w:rPr>
        <w:t>Clostridioides</w:t>
      </w:r>
      <w:proofErr w:type="spellEnd"/>
      <w:r w:rsidRPr="006458AB">
        <w:rPr>
          <w:rFonts w:ascii="Arial" w:hAnsi="Arial" w:cs="Arial"/>
        </w:rPr>
        <w:t xml:space="preserve"> </w:t>
      </w:r>
      <w:proofErr w:type="spellStart"/>
      <w:r w:rsidRPr="006458AB">
        <w:rPr>
          <w:rFonts w:ascii="Arial" w:hAnsi="Arial" w:cs="Arial"/>
        </w:rPr>
        <w:t>difficile</w:t>
      </w:r>
      <w:proofErr w:type="spellEnd"/>
      <w:r w:rsidRPr="006458AB">
        <w:rPr>
          <w:rFonts w:ascii="Arial" w:hAnsi="Arial" w:cs="Arial"/>
        </w:rPr>
        <w:t xml:space="preserve"> e maior circulação de microrganismos multirresistentes em ambientes hospitalares</w:t>
      </w:r>
      <w:r>
        <w:rPr>
          <w:rFonts w:ascii="Arial" w:hAnsi="Arial" w:cs="Arial"/>
        </w:rPr>
        <w:t xml:space="preserve"> </w:t>
      </w:r>
      <w:sdt>
        <w:sdtPr>
          <w:rPr>
            <w:rFonts w:ascii="Arial" w:hAnsi="Arial" w:cs="Arial"/>
            <w:color w:val="000000"/>
          </w:rPr>
          <w:tag w:val="MENDELEY_CITATION_v3_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"/>
          <w:id w:val="443967631"/>
          <w:placeholder>
            <w:docPart w:val="C85A98FD20CA4E59B1CEDF91272EB461"/>
          </w:placeholder>
        </w:sdtPr>
        <w:sdtContent>
          <w:r w:rsidRPr="007068B1">
            <w:rPr>
              <w:rFonts w:ascii="Arial" w:hAnsi="Arial" w:cs="Arial"/>
              <w:color w:val="000000"/>
            </w:rPr>
            <w:t>(4,5)</w:t>
          </w:r>
        </w:sdtContent>
      </w:sdt>
      <w:r w:rsidRPr="006458AB">
        <w:rPr>
          <w:rFonts w:ascii="Arial" w:hAnsi="Arial" w:cs="Arial"/>
        </w:rPr>
        <w:t>.</w:t>
      </w:r>
    </w:p>
    <w:p w14:paraId="5BEBFE8D"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 xml:space="preserve">Além das reações </w:t>
      </w:r>
      <w:proofErr w:type="spellStart"/>
      <w:r w:rsidRPr="006458AB">
        <w:rPr>
          <w:rFonts w:ascii="Arial" w:hAnsi="Arial" w:cs="Arial"/>
        </w:rPr>
        <w:t>imunomediadas</w:t>
      </w:r>
      <w:proofErr w:type="spellEnd"/>
      <w:r w:rsidRPr="006458AB">
        <w:rPr>
          <w:rFonts w:ascii="Arial" w:hAnsi="Arial" w:cs="Arial"/>
        </w:rPr>
        <w:t xml:space="preserve">, alguns β-lactâmicos podem produzir alterações hematológicas reversíveis durante tratamentos prolongados ou em exposições cumulativas elevadas. Esses eventos não resultam da inibição da parede </w:t>
      </w:r>
      <w:r w:rsidRPr="006458AB">
        <w:rPr>
          <w:rFonts w:ascii="Arial" w:hAnsi="Arial" w:cs="Arial"/>
        </w:rPr>
        <w:lastRenderedPageBreak/>
        <w:t>celular humana, mas de efeitos sistêmicos indiretos relacionados à interação farmacológica com o organismo.</w:t>
      </w:r>
    </w:p>
    <w:p w14:paraId="079148C8"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Do ponto de vista ecológico, a utilização extensa de cefalosporinas de amplo espectro também pode contribuir para desequilíbrios na microbiota intestinal e para a seleção de patógenos oportunistas.</w:t>
      </w:r>
    </w:p>
    <w:p w14:paraId="6BA1E729" w14:textId="77777777" w:rsidR="007068B1"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Assim, a análise de segurança dessa classe exige considerar três dimensões principais: a possibilidade de hipersensibilidade verdadeira, o risco de rotulagem diagnóstica imprecisa e o impacto ecológico decorrente da substituição terapêutica inadequada. Embora o mecanismo de ação seja altamente seletivo para bactérias, os eventos adversos emergem principalmente da resposta imunológica e das consequências do padrão de uso.</w:t>
      </w:r>
    </w:p>
    <w:p w14:paraId="3D2E0D2D" w14:textId="77777777" w:rsidR="007068B1" w:rsidRDefault="007068B1" w:rsidP="007068B1">
      <w:pPr>
        <w:spacing w:after="0" w:line="360" w:lineRule="auto"/>
        <w:jc w:val="both"/>
        <w:rPr>
          <w:rFonts w:ascii="Arial" w:hAnsi="Arial" w:cs="Arial"/>
        </w:rPr>
      </w:pPr>
    </w:p>
    <w:p w14:paraId="2ABC45CD" w14:textId="77777777" w:rsidR="007068B1" w:rsidRDefault="007068B1" w:rsidP="007068B1">
      <w:pPr>
        <w:spacing w:after="0" w:line="360" w:lineRule="auto"/>
        <w:jc w:val="right"/>
      </w:pPr>
      <w:r w:rsidRPr="0003129B">
        <w:rPr>
          <w:rFonts w:ascii="Arial" w:hAnsi="Arial" w:cs="Arial"/>
        </w:rPr>
        <w:t xml:space="preserve">Página </w:t>
      </w:r>
      <w:r>
        <w:rPr>
          <w:rFonts w:ascii="Arial" w:hAnsi="Arial" w:cs="Arial"/>
        </w:rPr>
        <w:t>57</w:t>
      </w:r>
      <w:r w:rsidRPr="006458AB">
        <w:t xml:space="preserve"> </w:t>
      </w:r>
    </w:p>
    <w:p w14:paraId="13CE83C5" w14:textId="77777777" w:rsidR="007068B1" w:rsidRPr="006458AB" w:rsidRDefault="007068B1" w:rsidP="007068B1">
      <w:pPr>
        <w:spacing w:after="0" w:line="360" w:lineRule="auto"/>
        <w:jc w:val="right"/>
        <w:rPr>
          <w:b/>
          <w:bCs/>
        </w:rPr>
      </w:pPr>
    </w:p>
    <w:p w14:paraId="74A1DC2D" w14:textId="77777777" w:rsidR="007068B1" w:rsidRPr="006458AB" w:rsidRDefault="007068B1" w:rsidP="007068B1">
      <w:pPr>
        <w:spacing w:after="0" w:line="360" w:lineRule="auto"/>
        <w:jc w:val="both"/>
        <w:rPr>
          <w:rFonts w:ascii="Arial" w:hAnsi="Arial" w:cs="Arial"/>
          <w:b/>
          <w:bCs/>
        </w:rPr>
      </w:pPr>
      <w:r w:rsidRPr="006458AB">
        <w:rPr>
          <w:rFonts w:ascii="Arial" w:hAnsi="Arial" w:cs="Arial"/>
          <w:b/>
          <w:bCs/>
        </w:rPr>
        <w:t>Inibidores da síntese proteica</w:t>
      </w:r>
    </w:p>
    <w:p w14:paraId="0088B2B9" w14:textId="77777777" w:rsidR="007068B1" w:rsidRPr="006458AB" w:rsidRDefault="007068B1" w:rsidP="007068B1">
      <w:pPr>
        <w:spacing w:after="0" w:line="360" w:lineRule="auto"/>
        <w:jc w:val="both"/>
        <w:rPr>
          <w:rFonts w:ascii="Arial" w:hAnsi="Arial" w:cs="Arial"/>
          <w:b/>
          <w:bCs/>
        </w:rPr>
      </w:pPr>
    </w:p>
    <w:p w14:paraId="173D06CD" w14:textId="2B4191E2" w:rsidR="007068B1" w:rsidRPr="006458AB" w:rsidRDefault="007068B1" w:rsidP="007068B1">
      <w:pPr>
        <w:spacing w:after="0" w:line="360" w:lineRule="auto"/>
        <w:ind w:firstLine="708"/>
        <w:jc w:val="both"/>
        <w:rPr>
          <w:rFonts w:ascii="Arial" w:hAnsi="Arial" w:cs="Arial"/>
        </w:rPr>
      </w:pPr>
      <w:r w:rsidRPr="006458AB">
        <w:rPr>
          <w:rFonts w:ascii="Arial" w:hAnsi="Arial" w:cs="Arial"/>
        </w:rPr>
        <w:t xml:space="preserve">Os antibacterianos que inibem a síntese proteica exploram diferenças estruturais entre os ribossomos bacterianos 70S e os ribossomos citoplasmáticos humanos 80S. Essa distinção é fundamental para a seletividade terapêutica dessa classe. Entretanto, existe um ponto de convergência biologicamente relevante: </w:t>
      </w:r>
      <w:r w:rsidRPr="001455EC">
        <w:rPr>
          <w:rFonts w:ascii="Arial" w:hAnsi="Arial" w:cs="Arial"/>
        </w:rPr>
        <w:t>as mitocôndrias humanas possuem ribossomos funcionalmente semelhantes aos ribossomos bacterianos, refletindo sua origem evolutiva</w:t>
      </w:r>
      <w:r>
        <w:rPr>
          <w:rFonts w:ascii="Arial" w:hAnsi="Arial" w:cs="Arial"/>
        </w:rPr>
        <w:t xml:space="preserve"> </w:t>
      </w:r>
      <w:sdt>
        <w:sdtPr>
          <w:rPr>
            <w:rFonts w:ascii="Arial" w:hAnsi="Arial" w:cs="Arial"/>
            <w:color w:val="000000"/>
          </w:rPr>
          <w:tag w:val="MENDELEY_CITATION_v3_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"/>
          <w:id w:val="502247756"/>
          <w:placeholder>
            <w:docPart w:val="C85A98FD20CA4E59B1CEDF91272EB461"/>
          </w:placeholder>
        </w:sdtPr>
        <w:sdtContent>
          <w:r w:rsidRPr="007068B1">
            <w:rPr>
              <w:rFonts w:ascii="Arial" w:hAnsi="Arial" w:cs="Arial"/>
              <w:color w:val="000000"/>
            </w:rPr>
            <w:t>(6)</w:t>
          </w:r>
        </w:sdtContent>
      </w:sdt>
      <w:r w:rsidRPr="006458AB">
        <w:rPr>
          <w:rFonts w:ascii="Arial" w:hAnsi="Arial" w:cs="Arial"/>
        </w:rPr>
        <w:t>.</w:t>
      </w:r>
    </w:p>
    <w:p w14:paraId="1B3AA4AB"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Essa proximidade explica parte do perfil de toxicidade observado em algumas classes de antibacterianos que atuam na síntese proteica. Quando a exposição é prolongada ou cumulativa, a interferência sobre ribossomos mitocondriais pode comprometer a produção de proteínas envolvidas na fosforilação oxidativa. Tecidos com alta demanda energética ou elevada taxa de renovação celular tornam-se particularmente vulneráveis.</w:t>
      </w:r>
    </w:p>
    <w:p w14:paraId="33CBE9F5" w14:textId="0744F6B0"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Clinicamente, essa interferência pode se manifestar como alterações hematológicas, neuropatia periférica ou, em situações raras, acidose láctica associada à disfunção mitocondrial</w:t>
      </w:r>
      <w:r>
        <w:rPr>
          <w:rFonts w:ascii="Arial" w:hAnsi="Arial" w:cs="Arial"/>
        </w:rPr>
        <w:t xml:space="preserve"> </w:t>
      </w:r>
      <w:sdt>
        <w:sdtPr>
          <w:rPr>
            <w:rFonts w:ascii="Arial" w:hAnsi="Arial" w:cs="Arial"/>
            <w:color w:val="000000"/>
          </w:rPr>
          <w:tag w:val="MENDELEY_CITATION_v3_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"/>
          <w:id w:val="389998889"/>
          <w:placeholder>
            <w:docPart w:val="C85A98FD20CA4E59B1CEDF91272EB461"/>
          </w:placeholder>
        </w:sdtPr>
        <w:sdtContent>
          <w:r w:rsidRPr="007068B1">
            <w:rPr>
              <w:rFonts w:ascii="Arial" w:hAnsi="Arial" w:cs="Arial"/>
              <w:color w:val="000000"/>
            </w:rPr>
            <w:t>(6)</w:t>
          </w:r>
        </w:sdtContent>
      </w:sdt>
      <w:r w:rsidRPr="006458AB">
        <w:rPr>
          <w:rFonts w:ascii="Arial" w:hAnsi="Arial" w:cs="Arial"/>
        </w:rPr>
        <w:t>.</w:t>
      </w:r>
    </w:p>
    <w:p w14:paraId="30DB362E" w14:textId="03403813"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 xml:space="preserve">A toxicidade hematológica relacionada às </w:t>
      </w:r>
      <w:proofErr w:type="spellStart"/>
      <w:r w:rsidRPr="006458AB">
        <w:rPr>
          <w:rFonts w:ascii="Arial" w:hAnsi="Arial" w:cs="Arial"/>
        </w:rPr>
        <w:t>oxazolidinonas</w:t>
      </w:r>
      <w:proofErr w:type="spellEnd"/>
      <w:r w:rsidRPr="006458AB">
        <w:rPr>
          <w:rFonts w:ascii="Arial" w:hAnsi="Arial" w:cs="Arial"/>
        </w:rPr>
        <w:t xml:space="preserve"> ilustra esse mecanismo. Fármacos como a linezolida podem produzir </w:t>
      </w:r>
      <w:proofErr w:type="spellStart"/>
      <w:r w:rsidRPr="006458AB">
        <w:rPr>
          <w:rFonts w:ascii="Arial" w:hAnsi="Arial" w:cs="Arial"/>
        </w:rPr>
        <w:t>mielossupressão</w:t>
      </w:r>
      <w:proofErr w:type="spellEnd"/>
      <w:r w:rsidRPr="006458AB">
        <w:rPr>
          <w:rFonts w:ascii="Arial" w:hAnsi="Arial" w:cs="Arial"/>
        </w:rPr>
        <w:t xml:space="preserve"> quando utilizados por períodos prolongados. O risco aumenta geralmente após duas semanas de tratamento e está associado à exposição cumulativa. Na maioria dos casos, o efeito é reversível após a suspensão do medicamento, mas terapias prolongadas exigem monitorização hematológica</w:t>
      </w:r>
      <w:r>
        <w:rPr>
          <w:rFonts w:ascii="Arial" w:hAnsi="Arial" w:cs="Arial"/>
        </w:rPr>
        <w:t xml:space="preserve"> </w:t>
      </w:r>
      <w:sdt>
        <w:sdtPr>
          <w:rPr>
            <w:rFonts w:ascii="Arial" w:hAnsi="Arial" w:cs="Arial"/>
            <w:color w:val="000000"/>
          </w:rPr>
          <w:tag w:val="MENDELEY_CITATION_v3_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"/>
          <w:id w:val="42807052"/>
          <w:placeholder>
            <w:docPart w:val="C85A98FD20CA4E59B1CEDF91272EB461"/>
          </w:placeholder>
        </w:sdtPr>
        <w:sdtContent>
          <w:r w:rsidRPr="007068B1">
            <w:rPr>
              <w:rFonts w:ascii="Arial" w:hAnsi="Arial" w:cs="Arial"/>
              <w:color w:val="000000"/>
            </w:rPr>
            <w:t>(6)</w:t>
          </w:r>
        </w:sdtContent>
      </w:sdt>
      <w:r w:rsidRPr="006458AB">
        <w:rPr>
          <w:rFonts w:ascii="Arial" w:hAnsi="Arial" w:cs="Arial"/>
        </w:rPr>
        <w:t>.</w:t>
      </w:r>
    </w:p>
    <w:p w14:paraId="64BA608F" w14:textId="77777777" w:rsidR="007068B1" w:rsidRPr="006458AB" w:rsidRDefault="007068B1" w:rsidP="007068B1">
      <w:pPr>
        <w:spacing w:after="0" w:line="360" w:lineRule="auto"/>
        <w:jc w:val="both"/>
        <w:rPr>
          <w:rFonts w:ascii="Arial" w:hAnsi="Arial" w:cs="Arial"/>
        </w:rPr>
      </w:pPr>
      <w:r>
        <w:rPr>
          <w:rFonts w:ascii="Arial" w:hAnsi="Arial" w:cs="Arial"/>
        </w:rPr>
        <w:lastRenderedPageBreak/>
        <w:tab/>
      </w:r>
      <w:r w:rsidRPr="006458AB">
        <w:rPr>
          <w:rFonts w:ascii="Arial" w:hAnsi="Arial" w:cs="Arial"/>
        </w:rPr>
        <w:t xml:space="preserve">Outras classes que atuam na síntese proteica apresentam padrões distintos de efeitos adversos. As tetraciclinas, por exemplo, podem depositar-se em tecidos calcificados em desenvolvimento, razão pela qual seu uso é restrito em determinadas faixas etárias. Já os </w:t>
      </w:r>
      <w:proofErr w:type="spellStart"/>
      <w:r w:rsidRPr="006458AB">
        <w:rPr>
          <w:rFonts w:ascii="Arial" w:hAnsi="Arial" w:cs="Arial"/>
        </w:rPr>
        <w:t>macrolídeos</w:t>
      </w:r>
      <w:proofErr w:type="spellEnd"/>
      <w:r w:rsidRPr="006458AB">
        <w:rPr>
          <w:rFonts w:ascii="Arial" w:hAnsi="Arial" w:cs="Arial"/>
        </w:rPr>
        <w:t xml:space="preserve"> podem interferir no metabolismo hepático e estão associados ao prolongamento do intervalo QT, especialmente em pacientes com fatores predisponentes ou em uso concomitante de outros fármacos com o mesmo efeito</w:t>
      </w:r>
      <w:r>
        <w:rPr>
          <w:rFonts w:ascii="Arial" w:hAnsi="Arial" w:cs="Arial"/>
        </w:rPr>
        <w:t xml:space="preserve"> </w:t>
      </w:r>
      <w:r w:rsidRPr="006458AB">
        <w:rPr>
          <w:rFonts w:ascii="Arial" w:hAnsi="Arial" w:cs="Arial"/>
        </w:rPr>
        <w:t>.</w:t>
      </w:r>
    </w:p>
    <w:p w14:paraId="5D1727F9"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Eventos neurológicos também podem ocorrer durante exposições prolongadas a alguns antibacterianos dessa classe, sobretudo em pacientes com insuficiência renal ou em uso simultâneo de múltiplas medicações.</w:t>
      </w:r>
    </w:p>
    <w:p w14:paraId="5C6571B1" w14:textId="77777777" w:rsidR="007068B1" w:rsidRPr="006458AB"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De modo geral, os efeitos adversos relacionados aos inibidores da síntese proteica dependem mais da duração da exposição do que de reações imunológicas imediatas. Terapias prolongadas, depuração reduzida do fármaco e reserva funcional limitada do paciente aumentam a probabilidade de toxicidade.</w:t>
      </w:r>
    </w:p>
    <w:p w14:paraId="3AC78544" w14:textId="77777777" w:rsidR="007068B1" w:rsidRDefault="007068B1" w:rsidP="007068B1">
      <w:pPr>
        <w:spacing w:after="0" w:line="360" w:lineRule="auto"/>
        <w:jc w:val="both"/>
        <w:rPr>
          <w:rFonts w:ascii="Arial" w:hAnsi="Arial" w:cs="Arial"/>
        </w:rPr>
      </w:pPr>
      <w:r>
        <w:rPr>
          <w:rFonts w:ascii="Arial" w:hAnsi="Arial" w:cs="Arial"/>
        </w:rPr>
        <w:tab/>
      </w:r>
      <w:r w:rsidRPr="006458AB">
        <w:rPr>
          <w:rFonts w:ascii="Arial" w:hAnsi="Arial" w:cs="Arial"/>
        </w:rPr>
        <w:t>O mesmo mecanismo que bloqueia a produção de proteínas bacterianas pode, portanto, interferir em processos celulares humanos quando há proximidade estrutural suficiente entre os sistemas biológicos envolvidos.</w:t>
      </w:r>
    </w:p>
    <w:p w14:paraId="1350661C" w14:textId="77777777" w:rsidR="007068B1" w:rsidRDefault="007068B1" w:rsidP="007068B1">
      <w:pPr>
        <w:spacing w:after="0" w:line="360" w:lineRule="auto"/>
        <w:jc w:val="both"/>
        <w:rPr>
          <w:rFonts w:ascii="Arial" w:hAnsi="Arial" w:cs="Arial"/>
        </w:rPr>
      </w:pPr>
    </w:p>
    <w:p w14:paraId="0E6A02F0" w14:textId="77777777" w:rsidR="007068B1" w:rsidRDefault="007068B1" w:rsidP="007068B1">
      <w:pPr>
        <w:spacing w:after="0" w:line="360" w:lineRule="auto"/>
        <w:jc w:val="right"/>
      </w:pPr>
      <w:r w:rsidRPr="0003129B">
        <w:rPr>
          <w:rFonts w:ascii="Arial" w:hAnsi="Arial" w:cs="Arial"/>
        </w:rPr>
        <w:t xml:space="preserve">Página </w:t>
      </w:r>
      <w:r>
        <w:rPr>
          <w:rFonts w:ascii="Arial" w:hAnsi="Arial" w:cs="Arial"/>
        </w:rPr>
        <w:t>58</w:t>
      </w:r>
      <w:r w:rsidRPr="006458AB">
        <w:t xml:space="preserve"> </w:t>
      </w:r>
    </w:p>
    <w:p w14:paraId="13FF5E99" w14:textId="77777777" w:rsidR="007068B1" w:rsidRPr="006458AB" w:rsidRDefault="007068B1" w:rsidP="007068B1">
      <w:pPr>
        <w:spacing w:after="0" w:line="360" w:lineRule="auto"/>
        <w:jc w:val="right"/>
        <w:rPr>
          <w:b/>
          <w:bCs/>
        </w:rPr>
      </w:pPr>
    </w:p>
    <w:p w14:paraId="46DCC9E8" w14:textId="77777777" w:rsidR="007068B1" w:rsidRPr="00031008" w:rsidRDefault="007068B1" w:rsidP="007068B1">
      <w:pPr>
        <w:spacing w:after="0" w:line="360" w:lineRule="auto"/>
        <w:jc w:val="both"/>
        <w:rPr>
          <w:rFonts w:ascii="Arial" w:hAnsi="Arial" w:cs="Arial"/>
          <w:b/>
          <w:bCs/>
        </w:rPr>
      </w:pPr>
      <w:r w:rsidRPr="00031008">
        <w:rPr>
          <w:rFonts w:ascii="Arial" w:hAnsi="Arial" w:cs="Arial"/>
          <w:b/>
          <w:bCs/>
        </w:rPr>
        <w:t>Inibidores da síntese de ácidos nucleicos</w:t>
      </w:r>
    </w:p>
    <w:p w14:paraId="1F3A9736" w14:textId="77777777" w:rsidR="007068B1" w:rsidRPr="00031008" w:rsidRDefault="007068B1" w:rsidP="007068B1">
      <w:pPr>
        <w:spacing w:after="0" w:line="360" w:lineRule="auto"/>
        <w:jc w:val="both"/>
        <w:rPr>
          <w:rFonts w:ascii="Arial" w:hAnsi="Arial" w:cs="Arial"/>
          <w:b/>
          <w:bCs/>
        </w:rPr>
      </w:pPr>
    </w:p>
    <w:p w14:paraId="25C7A280" w14:textId="77777777" w:rsidR="007068B1" w:rsidRPr="00031008" w:rsidRDefault="007068B1" w:rsidP="007068B1">
      <w:pPr>
        <w:spacing w:after="0" w:line="360" w:lineRule="auto"/>
        <w:ind w:firstLine="708"/>
        <w:jc w:val="both"/>
        <w:rPr>
          <w:rFonts w:ascii="Arial" w:hAnsi="Arial" w:cs="Arial"/>
        </w:rPr>
      </w:pPr>
      <w:r w:rsidRPr="00031008">
        <w:rPr>
          <w:rFonts w:ascii="Arial" w:hAnsi="Arial" w:cs="Arial"/>
        </w:rPr>
        <w:t xml:space="preserve">Os antibacterianos que interferem na síntese de ácidos nucleicos atuam sobre enzimas bacterianas essenciais para a replicação e a estabilidade do DNA, como a DNA </w:t>
      </w:r>
      <w:proofErr w:type="spellStart"/>
      <w:r w:rsidRPr="00031008">
        <w:rPr>
          <w:rFonts w:ascii="Arial" w:hAnsi="Arial" w:cs="Arial"/>
        </w:rPr>
        <w:t>girase</w:t>
      </w:r>
      <w:proofErr w:type="spellEnd"/>
      <w:r w:rsidRPr="00031008">
        <w:rPr>
          <w:rFonts w:ascii="Arial" w:hAnsi="Arial" w:cs="Arial"/>
        </w:rPr>
        <w:t xml:space="preserve"> e a </w:t>
      </w:r>
      <w:proofErr w:type="spellStart"/>
      <w:r w:rsidRPr="00031008">
        <w:rPr>
          <w:rFonts w:ascii="Arial" w:hAnsi="Arial" w:cs="Arial"/>
        </w:rPr>
        <w:t>topoisomerase</w:t>
      </w:r>
      <w:proofErr w:type="spellEnd"/>
      <w:r w:rsidRPr="00031008">
        <w:rPr>
          <w:rFonts w:ascii="Arial" w:hAnsi="Arial" w:cs="Arial"/>
        </w:rPr>
        <w:t xml:space="preserve"> IV. A seletividade terapêutica dessa classe decorre das diferenças estruturais entre essas enzimas bacterianas e suas contrapartes humanas.</w:t>
      </w:r>
    </w:p>
    <w:p w14:paraId="76B1BE98" w14:textId="3561B7E3"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Entre esses fármacos, as </w:t>
      </w:r>
      <w:proofErr w:type="spellStart"/>
      <w:r w:rsidRPr="00031008">
        <w:rPr>
          <w:rFonts w:ascii="Arial" w:hAnsi="Arial" w:cs="Arial"/>
        </w:rPr>
        <w:t>fluoroquinolonas</w:t>
      </w:r>
      <w:proofErr w:type="spellEnd"/>
      <w:r w:rsidRPr="00031008">
        <w:rPr>
          <w:rFonts w:ascii="Arial" w:hAnsi="Arial" w:cs="Arial"/>
        </w:rPr>
        <w:t xml:space="preserve"> representam o grupo mais amplamente utilizado na prática clínica. Embora </w:t>
      </w:r>
      <w:r w:rsidRPr="00502CBE">
        <w:rPr>
          <w:rFonts w:ascii="Arial" w:hAnsi="Arial" w:cs="Arial"/>
        </w:rPr>
        <w:t xml:space="preserve">não inibam de forma significativa as </w:t>
      </w:r>
      <w:proofErr w:type="spellStart"/>
      <w:r w:rsidRPr="00502CBE">
        <w:rPr>
          <w:rFonts w:ascii="Arial" w:hAnsi="Arial" w:cs="Arial"/>
        </w:rPr>
        <w:t>topoisomerases</w:t>
      </w:r>
      <w:proofErr w:type="spellEnd"/>
      <w:r w:rsidRPr="00502CBE">
        <w:rPr>
          <w:rFonts w:ascii="Arial" w:hAnsi="Arial" w:cs="Arial"/>
        </w:rPr>
        <w:t xml:space="preserve"> nucleares humanas nas concentrações terapêuticas usuais</w:t>
      </w:r>
      <w:r w:rsidRPr="00031008">
        <w:rPr>
          <w:rFonts w:ascii="Arial" w:hAnsi="Arial" w:cs="Arial"/>
        </w:rPr>
        <w:t>, evidências experimentais e observacionais sugerem que esses antibacterianos podem interferir em processos celulares relacionados à função mitocondrial e ao equilíbrio redox</w:t>
      </w:r>
      <w:r>
        <w:rPr>
          <w:rFonts w:ascii="Arial" w:hAnsi="Arial" w:cs="Arial"/>
        </w:rPr>
        <w:t xml:space="preserve"> </w:t>
      </w:r>
      <w:sdt>
        <w:sdtPr>
          <w:rPr>
            <w:rFonts w:ascii="Arial" w:hAnsi="Arial" w:cs="Arial"/>
            <w:color w:val="000000"/>
          </w:rPr>
          <w:tag w:val="MENDELEY_CITATION_v3_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"/>
          <w:id w:val="-1498188045"/>
          <w:placeholder>
            <w:docPart w:val="C85A98FD20CA4E59B1CEDF91272EB461"/>
          </w:placeholder>
        </w:sdtPr>
        <w:sdtContent>
          <w:r w:rsidRPr="007068B1">
            <w:rPr>
              <w:rFonts w:ascii="Arial" w:hAnsi="Arial" w:cs="Arial"/>
              <w:color w:val="000000"/>
            </w:rPr>
            <w:t>(6)</w:t>
          </w:r>
        </w:sdtContent>
      </w:sdt>
      <w:r w:rsidRPr="00031008">
        <w:rPr>
          <w:rFonts w:ascii="Arial" w:hAnsi="Arial" w:cs="Arial"/>
        </w:rPr>
        <w:t>.</w:t>
      </w:r>
    </w:p>
    <w:p w14:paraId="1BE9D2F8"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A mitocôndria, por sua origem evolutiva bacteriana, permanece um ponto potencial de vulnerabilidade. A interferência em processos mitocondriais e o aumento do estresse oxidativo celular são hipóteses que ajudam a explicar parte do perfil de efeitos adversos descrito para essa classe.</w:t>
      </w:r>
    </w:p>
    <w:p w14:paraId="744F3068" w14:textId="6A96371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Clinicamente, as </w:t>
      </w:r>
      <w:proofErr w:type="spellStart"/>
      <w:r w:rsidRPr="00031008">
        <w:rPr>
          <w:rFonts w:ascii="Arial" w:hAnsi="Arial" w:cs="Arial"/>
        </w:rPr>
        <w:t>fluoroquinolonas</w:t>
      </w:r>
      <w:proofErr w:type="spellEnd"/>
      <w:r w:rsidRPr="00031008">
        <w:rPr>
          <w:rFonts w:ascii="Arial" w:hAnsi="Arial" w:cs="Arial"/>
        </w:rPr>
        <w:t xml:space="preserve"> foram associadas a manifestações musculoesqueléticas e neurológicas, incluindo tendinite, ruptura de tendão e neuropatia </w:t>
      </w:r>
      <w:r w:rsidRPr="00031008">
        <w:rPr>
          <w:rFonts w:ascii="Arial" w:hAnsi="Arial" w:cs="Arial"/>
        </w:rPr>
        <w:lastRenderedPageBreak/>
        <w:t xml:space="preserve">periférica. </w:t>
      </w:r>
      <w:r w:rsidRPr="00502CBE">
        <w:rPr>
          <w:rFonts w:ascii="Arial" w:hAnsi="Arial" w:cs="Arial"/>
        </w:rPr>
        <w:t>Alterações neuropsiquiátricas, como agitação, insônia ou confusão mental</w:t>
      </w:r>
      <w:r w:rsidRPr="00031008">
        <w:rPr>
          <w:rFonts w:ascii="Arial" w:hAnsi="Arial" w:cs="Arial"/>
        </w:rPr>
        <w:t xml:space="preserve"> também podem ocorrer em determinados contextos clínicos</w:t>
      </w:r>
      <w:r>
        <w:rPr>
          <w:rFonts w:ascii="Arial" w:hAnsi="Arial" w:cs="Arial"/>
        </w:rPr>
        <w:t xml:space="preserve"> </w:t>
      </w:r>
      <w:sdt>
        <w:sdtPr>
          <w:rPr>
            <w:rFonts w:ascii="Arial" w:hAnsi="Arial" w:cs="Arial"/>
            <w:color w:val="000000"/>
          </w:rPr>
          <w:tag w:val="MENDELEY_CITATION_v3_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"/>
          <w:id w:val="-754205065"/>
          <w:placeholder>
            <w:docPart w:val="C85A98FD20CA4E59B1CEDF91272EB461"/>
          </w:placeholder>
        </w:sdtPr>
        <w:sdtContent>
          <w:r w:rsidRPr="007068B1">
            <w:rPr>
              <w:rFonts w:ascii="Arial" w:hAnsi="Arial" w:cs="Arial"/>
              <w:color w:val="000000"/>
            </w:rPr>
            <w:t>(7)</w:t>
          </w:r>
        </w:sdtContent>
      </w:sdt>
      <w:r w:rsidRPr="00031008">
        <w:rPr>
          <w:rFonts w:ascii="Arial" w:hAnsi="Arial" w:cs="Arial"/>
        </w:rPr>
        <w:t>.</w:t>
      </w:r>
    </w:p>
    <w:p w14:paraId="1D010E74"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Eventos cardiovasculares relacionados ao prolongamento do intervalo QT foram descritos principalmente em pacientes com fatores predisponentes, como distúrbios eletrolíticos ou uso concomitante de medicamentos que também interferem na repolarização cardíaca.</w:t>
      </w:r>
    </w:p>
    <w:p w14:paraId="4C94379B"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Nos últimos anos, análises observacionais e alertas regulatórios sugeriram possível associação entre o uso de </w:t>
      </w:r>
      <w:proofErr w:type="spellStart"/>
      <w:r w:rsidRPr="00031008">
        <w:rPr>
          <w:rFonts w:ascii="Arial" w:hAnsi="Arial" w:cs="Arial"/>
        </w:rPr>
        <w:t>fluoroquinolonas</w:t>
      </w:r>
      <w:proofErr w:type="spellEnd"/>
      <w:r w:rsidRPr="00031008">
        <w:rPr>
          <w:rFonts w:ascii="Arial" w:hAnsi="Arial" w:cs="Arial"/>
        </w:rPr>
        <w:t xml:space="preserve"> e aumento do risco de aneurisma ou dissecção de aorta em populações predispostas. Embora o mecanismo exato ainda não esteja completamente esclarecido, hipóteses incluem alterações na matriz extracelular vascular e na homeostase do colágeno.</w:t>
      </w:r>
    </w:p>
    <w:p w14:paraId="6D260960"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Essas observações contribuíram para recomendações regulatórias que restringem o uso dessa classe a situações nas quais o benefício terapêutico supera claramente os riscos potenciais, particularmente quando existem alternativas eficazes com perfil de segurança mais favorável.</w:t>
      </w:r>
    </w:p>
    <w:p w14:paraId="6742A06F"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Além dos efeitos sistêmicos, a ampla atividade das </w:t>
      </w:r>
      <w:proofErr w:type="spellStart"/>
      <w:r w:rsidRPr="00031008">
        <w:rPr>
          <w:rFonts w:ascii="Arial" w:hAnsi="Arial" w:cs="Arial"/>
        </w:rPr>
        <w:t>fluoroquinolonas</w:t>
      </w:r>
      <w:proofErr w:type="spellEnd"/>
      <w:r w:rsidRPr="00031008">
        <w:rPr>
          <w:rFonts w:ascii="Arial" w:hAnsi="Arial" w:cs="Arial"/>
        </w:rPr>
        <w:t xml:space="preserve"> sobre a microbiota intestinal associa-se a maior risco de </w:t>
      </w:r>
      <w:proofErr w:type="spellStart"/>
      <w:r w:rsidRPr="00031008">
        <w:rPr>
          <w:rFonts w:ascii="Arial" w:hAnsi="Arial" w:cs="Arial"/>
        </w:rPr>
        <w:t>disbiose</w:t>
      </w:r>
      <w:proofErr w:type="spellEnd"/>
      <w:r w:rsidRPr="00031008">
        <w:rPr>
          <w:rFonts w:ascii="Arial" w:hAnsi="Arial" w:cs="Arial"/>
        </w:rPr>
        <w:t xml:space="preserve"> e infecção por </w:t>
      </w:r>
      <w:proofErr w:type="spellStart"/>
      <w:r w:rsidRPr="00031008">
        <w:rPr>
          <w:rFonts w:ascii="Arial" w:hAnsi="Arial" w:cs="Arial"/>
        </w:rPr>
        <w:t>Clostridioides</w:t>
      </w:r>
      <w:proofErr w:type="spellEnd"/>
      <w:r w:rsidRPr="00031008">
        <w:rPr>
          <w:rFonts w:ascii="Arial" w:hAnsi="Arial" w:cs="Arial"/>
        </w:rPr>
        <w:t xml:space="preserve"> </w:t>
      </w:r>
      <w:proofErr w:type="spellStart"/>
      <w:r w:rsidRPr="00031008">
        <w:rPr>
          <w:rFonts w:ascii="Arial" w:hAnsi="Arial" w:cs="Arial"/>
        </w:rPr>
        <w:t>difficile</w:t>
      </w:r>
      <w:proofErr w:type="spellEnd"/>
      <w:r w:rsidRPr="00031008">
        <w:rPr>
          <w:rFonts w:ascii="Arial" w:hAnsi="Arial" w:cs="Arial"/>
        </w:rPr>
        <w:t>. A combinação de espectro amplo e elevada biodisponibilidade oral contribui para impacto ecológico significativo.</w:t>
      </w:r>
    </w:p>
    <w:p w14:paraId="0211A635"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Do ponto de vista farmacodinâmico, as </w:t>
      </w:r>
      <w:proofErr w:type="spellStart"/>
      <w:r w:rsidRPr="00031008">
        <w:rPr>
          <w:rFonts w:ascii="Arial" w:hAnsi="Arial" w:cs="Arial"/>
        </w:rPr>
        <w:t>fluoroquinolonas</w:t>
      </w:r>
      <w:proofErr w:type="spellEnd"/>
      <w:r w:rsidRPr="00031008">
        <w:rPr>
          <w:rFonts w:ascii="Arial" w:hAnsi="Arial" w:cs="Arial"/>
        </w:rPr>
        <w:t xml:space="preserve"> apresentam atividade bactericida dependente da concentração. Exposições mais elevadas aumentam a eficácia antimicrobiana, mas também podem ampliar o risco de eventos adversos em determinados contextos clínicos.</w:t>
      </w:r>
    </w:p>
    <w:p w14:paraId="7A21F799"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Pacientes idosos, portadores de doença cardiovascular, usuários de corticosteroides ou com histórico de </w:t>
      </w:r>
      <w:proofErr w:type="spellStart"/>
      <w:r w:rsidRPr="00031008">
        <w:rPr>
          <w:rFonts w:ascii="Arial" w:hAnsi="Arial" w:cs="Arial"/>
        </w:rPr>
        <w:t>tendinopatia</w:t>
      </w:r>
      <w:proofErr w:type="spellEnd"/>
      <w:r w:rsidRPr="00031008">
        <w:rPr>
          <w:rFonts w:ascii="Arial" w:hAnsi="Arial" w:cs="Arial"/>
        </w:rPr>
        <w:t xml:space="preserve"> constituem grupos nos quais a avaliação individual de risco torna-se particularmente importante.</w:t>
      </w:r>
    </w:p>
    <w:p w14:paraId="04249935" w14:textId="77777777" w:rsidR="007068B1"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A inibição da replicação do DNA bacteriano é um mecanismo altamente eficaz, mas sua proximidade funcional com processos celulares humanos impõe limites ao uso indiscriminado dessa classe.</w:t>
      </w:r>
    </w:p>
    <w:p w14:paraId="0B162A99" w14:textId="77777777" w:rsidR="007068B1" w:rsidRDefault="007068B1" w:rsidP="007068B1">
      <w:pPr>
        <w:spacing w:after="0" w:line="360" w:lineRule="auto"/>
        <w:jc w:val="right"/>
      </w:pPr>
      <w:r w:rsidRPr="0003129B">
        <w:rPr>
          <w:rFonts w:ascii="Arial" w:hAnsi="Arial" w:cs="Arial"/>
        </w:rPr>
        <w:t xml:space="preserve">Página </w:t>
      </w:r>
      <w:r>
        <w:rPr>
          <w:rFonts w:ascii="Arial" w:hAnsi="Arial" w:cs="Arial"/>
        </w:rPr>
        <w:t>59</w:t>
      </w:r>
      <w:r w:rsidRPr="006458AB">
        <w:t xml:space="preserve"> </w:t>
      </w:r>
    </w:p>
    <w:p w14:paraId="6C6CE6BA" w14:textId="77777777" w:rsidR="007068B1" w:rsidRPr="006458AB" w:rsidRDefault="007068B1" w:rsidP="007068B1">
      <w:pPr>
        <w:spacing w:after="0" w:line="360" w:lineRule="auto"/>
        <w:jc w:val="right"/>
        <w:rPr>
          <w:b/>
          <w:bCs/>
        </w:rPr>
      </w:pPr>
    </w:p>
    <w:p w14:paraId="28DC61C9" w14:textId="77777777" w:rsidR="007068B1" w:rsidRPr="00031008" w:rsidRDefault="007068B1" w:rsidP="007068B1">
      <w:pPr>
        <w:spacing w:after="0" w:line="360" w:lineRule="auto"/>
        <w:jc w:val="both"/>
        <w:rPr>
          <w:rFonts w:ascii="Arial" w:hAnsi="Arial" w:cs="Arial"/>
          <w:b/>
          <w:bCs/>
        </w:rPr>
      </w:pPr>
      <w:r w:rsidRPr="00031008">
        <w:rPr>
          <w:rFonts w:ascii="Arial" w:hAnsi="Arial" w:cs="Arial"/>
          <w:b/>
          <w:bCs/>
        </w:rPr>
        <w:t>Antibacterianos que atuam na membrana bacteriana</w:t>
      </w:r>
    </w:p>
    <w:p w14:paraId="29A02B5F" w14:textId="77777777" w:rsidR="007068B1" w:rsidRPr="00031008" w:rsidRDefault="007068B1" w:rsidP="007068B1">
      <w:pPr>
        <w:spacing w:after="0" w:line="360" w:lineRule="auto"/>
        <w:jc w:val="both"/>
        <w:rPr>
          <w:rFonts w:ascii="Arial" w:hAnsi="Arial" w:cs="Arial"/>
          <w:b/>
          <w:bCs/>
        </w:rPr>
      </w:pPr>
    </w:p>
    <w:p w14:paraId="00AC9CB4" w14:textId="77777777" w:rsidR="007068B1" w:rsidRPr="00031008" w:rsidRDefault="007068B1" w:rsidP="007068B1">
      <w:pPr>
        <w:spacing w:after="0" w:line="360" w:lineRule="auto"/>
        <w:ind w:firstLine="708"/>
        <w:jc w:val="both"/>
        <w:rPr>
          <w:rFonts w:ascii="Arial" w:hAnsi="Arial" w:cs="Arial"/>
        </w:rPr>
      </w:pPr>
      <w:r w:rsidRPr="00031008">
        <w:rPr>
          <w:rFonts w:ascii="Arial" w:hAnsi="Arial" w:cs="Arial"/>
        </w:rPr>
        <w:t xml:space="preserve">Os antibacterianos que atuam diretamente na membrana bacteriana produzem efeito rápido e, em geral, bactericida, ao comprometer a integridade estrutural e o gradiente eletroquímico celular. Diferentemente de mecanismos altamente seletivos, como a inibição da síntese da parede celular, a interferência na membrana envolve </w:t>
      </w:r>
      <w:r w:rsidRPr="00031008">
        <w:rPr>
          <w:rFonts w:ascii="Arial" w:hAnsi="Arial" w:cs="Arial"/>
        </w:rPr>
        <w:lastRenderedPageBreak/>
        <w:t>estruturas cuja organização básica compartilha princípios físico-químicos com as membranas celulares humanas.</w:t>
      </w:r>
    </w:p>
    <w:p w14:paraId="790459EA"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Essa proximidade estrutural reduz a margem de seletividade farmacológica e ajuda a explicar o perfil de toxicidade observado nessa classe.</w:t>
      </w:r>
    </w:p>
    <w:p w14:paraId="36FA4C83"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As </w:t>
      </w:r>
      <w:proofErr w:type="spellStart"/>
      <w:r w:rsidRPr="00031008">
        <w:rPr>
          <w:rFonts w:ascii="Arial" w:hAnsi="Arial" w:cs="Arial"/>
        </w:rPr>
        <w:t>polimixinas</w:t>
      </w:r>
      <w:proofErr w:type="spellEnd"/>
      <w:r w:rsidRPr="00031008">
        <w:rPr>
          <w:rFonts w:ascii="Arial" w:hAnsi="Arial" w:cs="Arial"/>
        </w:rPr>
        <w:t xml:space="preserve"> constituem o exemplo mais representativo desse mecanismo. Esses fármacos interagem com o </w:t>
      </w:r>
      <w:proofErr w:type="spellStart"/>
      <w:r w:rsidRPr="00031008">
        <w:rPr>
          <w:rFonts w:ascii="Arial" w:hAnsi="Arial" w:cs="Arial"/>
        </w:rPr>
        <w:t>lipopolissacarídeo</w:t>
      </w:r>
      <w:proofErr w:type="spellEnd"/>
      <w:r w:rsidRPr="00031008">
        <w:rPr>
          <w:rFonts w:ascii="Arial" w:hAnsi="Arial" w:cs="Arial"/>
        </w:rPr>
        <w:t xml:space="preserve"> da membrana externa de bacilos Gram-negativos, desorganizando a bicamada lipídica e levando à morte bacteriana. Entretanto, a afinidade por componentes lipídicos não é completamente restrita à bactéria.</w:t>
      </w:r>
    </w:p>
    <w:p w14:paraId="3B560F30" w14:textId="4931F8B0" w:rsidR="007068B1" w:rsidRPr="00031008" w:rsidRDefault="007068B1" w:rsidP="007068B1">
      <w:pPr>
        <w:spacing w:after="0" w:line="360" w:lineRule="auto"/>
        <w:jc w:val="both"/>
        <w:rPr>
          <w:rFonts w:ascii="Arial" w:hAnsi="Arial" w:cs="Arial"/>
        </w:rPr>
      </w:pPr>
      <w:r>
        <w:rPr>
          <w:rFonts w:ascii="Arial" w:hAnsi="Arial" w:cs="Arial"/>
        </w:rPr>
        <w:tab/>
      </w:r>
      <w:r w:rsidRPr="00502CBE">
        <w:rPr>
          <w:rFonts w:ascii="Arial" w:hAnsi="Arial" w:cs="Arial"/>
        </w:rPr>
        <w:t xml:space="preserve">A interação com membranas das células tubulares renais e a indução de estresse oxidativo contribuem para o risco significativo de </w:t>
      </w:r>
      <w:proofErr w:type="spellStart"/>
      <w:r w:rsidRPr="00502CBE">
        <w:rPr>
          <w:rFonts w:ascii="Arial" w:hAnsi="Arial" w:cs="Arial"/>
        </w:rPr>
        <w:t>nefrotoxicidade</w:t>
      </w:r>
      <w:proofErr w:type="spellEnd"/>
      <w:r>
        <w:rPr>
          <w:rFonts w:ascii="Arial" w:hAnsi="Arial" w:cs="Arial"/>
        </w:rPr>
        <w:t xml:space="preserve"> </w:t>
      </w:r>
      <w:r w:rsidRPr="00031008">
        <w:rPr>
          <w:rFonts w:ascii="Arial" w:hAnsi="Arial" w:cs="Arial"/>
        </w:rPr>
        <w:t>associado a essa classe. Clinicamente, essa toxicidade manifesta-se por elevação progressiva da creatinina e redução da taxa de filtração glomerular, podendo exigir ajuste de dose ou suspensão do tratamento</w:t>
      </w:r>
      <w:r>
        <w:rPr>
          <w:rFonts w:ascii="Arial" w:hAnsi="Arial" w:cs="Arial"/>
        </w:rPr>
        <w:t xml:space="preserve"> </w:t>
      </w:r>
      <w:sdt>
        <w:sdtPr>
          <w:rPr>
            <w:rFonts w:ascii="Arial" w:hAnsi="Arial" w:cs="Arial"/>
            <w:color w:val="000000"/>
          </w:rPr>
          <w:tag w:val="MENDELEY_CITATION_v3_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"/>
          <w:id w:val="1946884342"/>
          <w:placeholder>
            <w:docPart w:val="C85A98FD20CA4E59B1CEDF91272EB461"/>
          </w:placeholder>
        </w:sdtPr>
        <w:sdtContent>
          <w:r w:rsidRPr="007068B1">
            <w:rPr>
              <w:rFonts w:ascii="Arial" w:hAnsi="Arial" w:cs="Arial"/>
              <w:color w:val="000000"/>
            </w:rPr>
            <w:t>(8)</w:t>
          </w:r>
        </w:sdtContent>
      </w:sdt>
      <w:r w:rsidRPr="00031008">
        <w:rPr>
          <w:rFonts w:ascii="Arial" w:hAnsi="Arial" w:cs="Arial"/>
        </w:rPr>
        <w:t>.</w:t>
      </w:r>
    </w:p>
    <w:p w14:paraId="6F9176DB"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O risco é dependente da exposição e influenciado por fatores como função renal prévia, duração da terapia e uso concomitante de outros medicamentos nefrotóxicos. Em cenários de infecção por microrganismos multirresistentes, nos quais as </w:t>
      </w:r>
      <w:proofErr w:type="spellStart"/>
      <w:r w:rsidRPr="00031008">
        <w:rPr>
          <w:rFonts w:ascii="Arial" w:hAnsi="Arial" w:cs="Arial"/>
        </w:rPr>
        <w:t>polimixinas</w:t>
      </w:r>
      <w:proofErr w:type="spellEnd"/>
      <w:r w:rsidRPr="00031008">
        <w:rPr>
          <w:rFonts w:ascii="Arial" w:hAnsi="Arial" w:cs="Arial"/>
        </w:rPr>
        <w:t xml:space="preserve"> frequentemente são utilizadas como terapia de resgate, a avaliação do equilíbrio entre benefício microbiológico e risco de toxicidade torna-se central.</w:t>
      </w:r>
    </w:p>
    <w:p w14:paraId="3A89A845"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Além da </w:t>
      </w:r>
      <w:proofErr w:type="spellStart"/>
      <w:r w:rsidRPr="00031008">
        <w:rPr>
          <w:rFonts w:ascii="Arial" w:hAnsi="Arial" w:cs="Arial"/>
        </w:rPr>
        <w:t>nefrotoxicidade</w:t>
      </w:r>
      <w:proofErr w:type="spellEnd"/>
      <w:r w:rsidRPr="00031008">
        <w:rPr>
          <w:rFonts w:ascii="Arial" w:hAnsi="Arial" w:cs="Arial"/>
        </w:rPr>
        <w:t>, eventos neurológicos também foram descritos com essa classe, incluindo parestesias, fraqueza muscular e, raramente, bloqueio neuromuscular. Esses efeitos refletem a possível interferência em propriedades das membranas neuronais e das junções neuromusculares.</w:t>
      </w:r>
    </w:p>
    <w:p w14:paraId="4E092A85" w14:textId="6D82D8CF"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Outro antibacteriano que atua sobre a membrana bacteriana é a </w:t>
      </w:r>
      <w:proofErr w:type="spellStart"/>
      <w:r w:rsidRPr="00031008">
        <w:rPr>
          <w:rFonts w:ascii="Arial" w:hAnsi="Arial" w:cs="Arial"/>
        </w:rPr>
        <w:t>daptomicina</w:t>
      </w:r>
      <w:proofErr w:type="spellEnd"/>
      <w:r w:rsidRPr="00031008">
        <w:rPr>
          <w:rFonts w:ascii="Arial" w:hAnsi="Arial" w:cs="Arial"/>
        </w:rPr>
        <w:t>. Esse fármaco insere-se na membrana citoplasmática de bactérias Gram-positivas, promovendo despolarização celular e morte bacteriana. Em humanos, a principal manifestação adversa associada ao uso prolongado é a elevação da creatinofosfoquinase, podendo ocorrer miopatia em casos raros</w:t>
      </w:r>
      <w:r>
        <w:rPr>
          <w:rFonts w:ascii="Arial" w:hAnsi="Arial" w:cs="Arial"/>
        </w:rPr>
        <w:t xml:space="preserve"> </w:t>
      </w:r>
      <w:sdt>
        <w:sdtPr>
          <w:rPr>
            <w:rFonts w:ascii="Arial" w:hAnsi="Arial" w:cs="Arial"/>
            <w:color w:val="000000"/>
          </w:rPr>
          <w:tag w:val="MENDELEY_CITATION_v3_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"/>
          <w:id w:val="597839484"/>
          <w:placeholder>
            <w:docPart w:val="C85A98FD20CA4E59B1CEDF91272EB461"/>
          </w:placeholder>
        </w:sdtPr>
        <w:sdtContent>
          <w:r w:rsidRPr="007068B1">
            <w:rPr>
              <w:rFonts w:ascii="Arial" w:hAnsi="Arial" w:cs="Arial"/>
              <w:color w:val="000000"/>
            </w:rPr>
            <w:t>(9)</w:t>
          </w:r>
        </w:sdtContent>
      </w:sdt>
      <w:r w:rsidRPr="00031008">
        <w:rPr>
          <w:rFonts w:ascii="Arial" w:hAnsi="Arial" w:cs="Arial"/>
        </w:rPr>
        <w:t>.</w:t>
      </w:r>
    </w:p>
    <w:p w14:paraId="50B106C8"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O risco de toxicidade muscular aumenta quando a </w:t>
      </w:r>
      <w:proofErr w:type="spellStart"/>
      <w:r w:rsidRPr="00031008">
        <w:rPr>
          <w:rFonts w:ascii="Arial" w:hAnsi="Arial" w:cs="Arial"/>
        </w:rPr>
        <w:t>daptomicina</w:t>
      </w:r>
      <w:proofErr w:type="spellEnd"/>
      <w:r w:rsidRPr="00031008">
        <w:rPr>
          <w:rFonts w:ascii="Arial" w:hAnsi="Arial" w:cs="Arial"/>
        </w:rPr>
        <w:t xml:space="preserve"> é utilizada por períodos prolongados ou em associação com medicamentos que também apresentam potencial </w:t>
      </w:r>
      <w:proofErr w:type="spellStart"/>
      <w:r w:rsidRPr="00031008">
        <w:rPr>
          <w:rFonts w:ascii="Arial" w:hAnsi="Arial" w:cs="Arial"/>
        </w:rPr>
        <w:t>miotóxico</w:t>
      </w:r>
      <w:proofErr w:type="spellEnd"/>
      <w:r w:rsidRPr="00031008">
        <w:rPr>
          <w:rFonts w:ascii="Arial" w:hAnsi="Arial" w:cs="Arial"/>
        </w:rPr>
        <w:t>, como estatinas. Por essa razão, a monitorização de creatinofosfoquinase pode ser recomendada durante tratamentos mais longos.</w:t>
      </w:r>
    </w:p>
    <w:p w14:paraId="325E1806"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De forma geral, o padrão de toxicidade dessa classe segue uma lógica previsível: quanto mais fundamental e universal for a estrutura alvo, menor tende a ser a margem de seletividade estrutural.</w:t>
      </w:r>
    </w:p>
    <w:p w14:paraId="5ECC7133" w14:textId="77777777" w:rsidR="007068B1"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Assim, a interferência na membrana bacteriana pode implicar maior risco de interação com membranas celulares humanas, manifestando-se principalmente como </w:t>
      </w:r>
      <w:r w:rsidRPr="00031008">
        <w:rPr>
          <w:rFonts w:ascii="Arial" w:hAnsi="Arial" w:cs="Arial"/>
        </w:rPr>
        <w:lastRenderedPageBreak/>
        <w:t>toxicidade renal, neurológica ou muscular dependente da exposição e da vulnerabilidade individual do paciente.</w:t>
      </w:r>
    </w:p>
    <w:p w14:paraId="641F9541" w14:textId="77777777" w:rsidR="007068B1" w:rsidRDefault="007068B1" w:rsidP="007068B1">
      <w:pPr>
        <w:spacing w:after="0" w:line="360" w:lineRule="auto"/>
        <w:jc w:val="both"/>
        <w:rPr>
          <w:rFonts w:ascii="Arial" w:hAnsi="Arial" w:cs="Arial"/>
        </w:rPr>
      </w:pPr>
    </w:p>
    <w:p w14:paraId="2AADD5C0" w14:textId="77777777" w:rsidR="007068B1" w:rsidRDefault="007068B1" w:rsidP="007068B1">
      <w:pPr>
        <w:spacing w:after="0" w:line="360" w:lineRule="auto"/>
        <w:jc w:val="right"/>
      </w:pPr>
      <w:r w:rsidRPr="0003129B">
        <w:rPr>
          <w:rFonts w:ascii="Arial" w:hAnsi="Arial" w:cs="Arial"/>
        </w:rPr>
        <w:t xml:space="preserve">Página </w:t>
      </w:r>
      <w:r>
        <w:rPr>
          <w:rFonts w:ascii="Arial" w:hAnsi="Arial" w:cs="Arial"/>
        </w:rPr>
        <w:t>60</w:t>
      </w:r>
      <w:r w:rsidRPr="006458AB">
        <w:t xml:space="preserve"> </w:t>
      </w:r>
    </w:p>
    <w:p w14:paraId="69EDF93E" w14:textId="77777777" w:rsidR="007068B1" w:rsidRPr="006458AB" w:rsidRDefault="007068B1" w:rsidP="007068B1">
      <w:pPr>
        <w:spacing w:after="0" w:line="360" w:lineRule="auto"/>
        <w:jc w:val="right"/>
        <w:rPr>
          <w:b/>
          <w:bCs/>
        </w:rPr>
      </w:pPr>
    </w:p>
    <w:p w14:paraId="697FBF33" w14:textId="77777777" w:rsidR="007068B1" w:rsidRPr="00031008" w:rsidRDefault="007068B1" w:rsidP="007068B1">
      <w:pPr>
        <w:spacing w:after="0" w:line="360" w:lineRule="auto"/>
        <w:jc w:val="both"/>
        <w:rPr>
          <w:rFonts w:ascii="Arial" w:hAnsi="Arial" w:cs="Arial"/>
          <w:b/>
          <w:bCs/>
        </w:rPr>
      </w:pPr>
      <w:r w:rsidRPr="00031008">
        <w:rPr>
          <w:rFonts w:ascii="Arial" w:hAnsi="Arial" w:cs="Arial"/>
          <w:b/>
          <w:bCs/>
        </w:rPr>
        <w:t>Inibidores da via do folato</w:t>
      </w:r>
    </w:p>
    <w:p w14:paraId="64D6F525" w14:textId="77777777" w:rsidR="007068B1" w:rsidRPr="00031008" w:rsidRDefault="007068B1" w:rsidP="007068B1">
      <w:pPr>
        <w:spacing w:after="0" w:line="360" w:lineRule="auto"/>
        <w:jc w:val="both"/>
        <w:rPr>
          <w:rFonts w:ascii="Arial" w:hAnsi="Arial" w:cs="Arial"/>
          <w:b/>
          <w:bCs/>
        </w:rPr>
      </w:pPr>
    </w:p>
    <w:p w14:paraId="258782AE" w14:textId="77777777" w:rsidR="007068B1" w:rsidRPr="00031008" w:rsidRDefault="007068B1" w:rsidP="007068B1">
      <w:pPr>
        <w:spacing w:after="0" w:line="360" w:lineRule="auto"/>
        <w:ind w:firstLine="708"/>
        <w:jc w:val="both"/>
        <w:rPr>
          <w:rFonts w:ascii="Arial" w:hAnsi="Arial" w:cs="Arial"/>
        </w:rPr>
      </w:pPr>
      <w:r w:rsidRPr="00031008">
        <w:rPr>
          <w:rFonts w:ascii="Arial" w:hAnsi="Arial" w:cs="Arial"/>
        </w:rPr>
        <w:t>Os antibacterianos que interferem na via metabólica do folato exploram uma diferença importante entre bactérias e células humanas. Muitas bactérias sintetizam folato de novo, enquanto o organismo humano depende predominantemente da ingestão dietética dessa vitamina. Essa distinção permite bloquear etapas da síntese de nucleotídeos bacterianos sem inibir diretamente a produção de folato no hospedeiro.</w:t>
      </w:r>
    </w:p>
    <w:p w14:paraId="5AAD18D0"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Entretanto, o metabolismo do folato participa de processos celulares humanos fundamentais, especialmente aqueles relacionados à síntese de DNA e à divisão celular. Quando ocorre interferência significativa nessa via, tecidos com elevada taxa proliferativa tornam-se mais suscetíveis a alterações funcionais.</w:t>
      </w:r>
    </w:p>
    <w:p w14:paraId="3D9DC7F8" w14:textId="6274D19A"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Clinicamente, essa vulnerabilidade pode se manifestar por alterações hematológicas, como anemia megaloblástica, leucopenia ou trombocitopenia, sobretudo em tratamentos prolongados, em pacientes com deficiência nutricional prévia ou em uso concomitante de medicamentos que também interferem na hematopoese</w:t>
      </w:r>
      <w:r>
        <w:rPr>
          <w:rFonts w:ascii="Arial" w:hAnsi="Arial" w:cs="Arial"/>
        </w:rPr>
        <w:t xml:space="preserve"> </w:t>
      </w:r>
      <w:sdt>
        <w:sdtPr>
          <w:rPr>
            <w:rFonts w:ascii="Arial" w:hAnsi="Arial" w:cs="Arial"/>
            <w:color w:val="000000"/>
          </w:rPr>
          <w:tag w:val="MENDELEY_CITATION_v3_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"/>
          <w:id w:val="882363995"/>
          <w:placeholder>
            <w:docPart w:val="C85A98FD20CA4E59B1CEDF91272EB461"/>
          </w:placeholder>
        </w:sdtPr>
        <w:sdtContent>
          <w:r w:rsidRPr="007068B1">
            <w:rPr>
              <w:rFonts w:ascii="Arial" w:hAnsi="Arial" w:cs="Arial"/>
              <w:color w:val="000000"/>
            </w:rPr>
            <w:t>(3)</w:t>
          </w:r>
        </w:sdtContent>
      </w:sdt>
      <w:r w:rsidRPr="00031008">
        <w:rPr>
          <w:rFonts w:ascii="Arial" w:hAnsi="Arial" w:cs="Arial"/>
        </w:rPr>
        <w:t>.</w:t>
      </w:r>
    </w:p>
    <w:p w14:paraId="690D37DA" w14:textId="7777777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A associação </w:t>
      </w:r>
      <w:proofErr w:type="spellStart"/>
      <w:r w:rsidRPr="00031008">
        <w:rPr>
          <w:rFonts w:ascii="Arial" w:hAnsi="Arial" w:cs="Arial"/>
        </w:rPr>
        <w:t>sulfametoxazol</w:t>
      </w:r>
      <w:proofErr w:type="spellEnd"/>
      <w:r w:rsidRPr="00031008">
        <w:rPr>
          <w:rFonts w:ascii="Arial" w:hAnsi="Arial" w:cs="Arial"/>
        </w:rPr>
        <w:t>–</w:t>
      </w:r>
      <w:proofErr w:type="spellStart"/>
      <w:r w:rsidRPr="00031008">
        <w:rPr>
          <w:rFonts w:ascii="Arial" w:hAnsi="Arial" w:cs="Arial"/>
        </w:rPr>
        <w:t>trimetoprim</w:t>
      </w:r>
      <w:proofErr w:type="spellEnd"/>
      <w:r w:rsidRPr="00031008">
        <w:rPr>
          <w:rFonts w:ascii="Arial" w:hAnsi="Arial" w:cs="Arial"/>
        </w:rPr>
        <w:t xml:space="preserve"> ilustra esse mecanismo. O </w:t>
      </w:r>
      <w:proofErr w:type="spellStart"/>
      <w:r w:rsidRPr="00031008">
        <w:rPr>
          <w:rFonts w:ascii="Arial" w:hAnsi="Arial" w:cs="Arial"/>
        </w:rPr>
        <w:t>trimetoprim</w:t>
      </w:r>
      <w:proofErr w:type="spellEnd"/>
      <w:r w:rsidRPr="00031008">
        <w:rPr>
          <w:rFonts w:ascii="Arial" w:hAnsi="Arial" w:cs="Arial"/>
        </w:rPr>
        <w:t xml:space="preserve"> atua inibindo a </w:t>
      </w:r>
      <w:proofErr w:type="spellStart"/>
      <w:r w:rsidRPr="00031008">
        <w:rPr>
          <w:rFonts w:ascii="Arial" w:hAnsi="Arial" w:cs="Arial"/>
        </w:rPr>
        <w:t>diidrofolato</w:t>
      </w:r>
      <w:proofErr w:type="spellEnd"/>
      <w:r w:rsidRPr="00031008">
        <w:rPr>
          <w:rFonts w:ascii="Arial" w:hAnsi="Arial" w:cs="Arial"/>
        </w:rPr>
        <w:t xml:space="preserve"> redutase bacteriana, mas pode exercer interferência parcial em enzimas humanas relacionadas ao metabolismo do folato quando a exposição é prolongada ou quando há redução da depuração do fármaco. As alterações hematológicas geralmente são reversíveis após a suspensão do medicamento, mas terapias prolongadas podem exigir monitorização laboratorial.</w:t>
      </w:r>
    </w:p>
    <w:p w14:paraId="3B24A054" w14:textId="3A9FC7A7" w:rsidR="007068B1" w:rsidRPr="00031008"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 xml:space="preserve">Outro efeito clinicamente relevante associado ao </w:t>
      </w:r>
      <w:proofErr w:type="spellStart"/>
      <w:r w:rsidRPr="00031008">
        <w:rPr>
          <w:rFonts w:ascii="Arial" w:hAnsi="Arial" w:cs="Arial"/>
        </w:rPr>
        <w:t>trimetoprim</w:t>
      </w:r>
      <w:proofErr w:type="spellEnd"/>
      <w:r w:rsidRPr="00031008">
        <w:rPr>
          <w:rFonts w:ascii="Arial" w:hAnsi="Arial" w:cs="Arial"/>
        </w:rPr>
        <w:t xml:space="preserve"> é a hipercalemia. Esse fármaco </w:t>
      </w:r>
      <w:r w:rsidRPr="00502CBE">
        <w:rPr>
          <w:rFonts w:ascii="Arial" w:hAnsi="Arial" w:cs="Arial"/>
        </w:rPr>
        <w:t xml:space="preserve">pode atuar de forma semelhante ao diurético </w:t>
      </w:r>
      <w:proofErr w:type="spellStart"/>
      <w:r w:rsidRPr="00502CBE">
        <w:rPr>
          <w:rFonts w:ascii="Arial" w:hAnsi="Arial" w:cs="Arial"/>
        </w:rPr>
        <w:t>amilorida</w:t>
      </w:r>
      <w:proofErr w:type="spellEnd"/>
      <w:r w:rsidRPr="00502CBE">
        <w:rPr>
          <w:rFonts w:ascii="Arial" w:hAnsi="Arial" w:cs="Arial"/>
        </w:rPr>
        <w:t>, bloqueando o canal epitelial de sódio (</w:t>
      </w:r>
      <w:proofErr w:type="spellStart"/>
      <w:r w:rsidRPr="00502CBE">
        <w:rPr>
          <w:rFonts w:ascii="Arial" w:hAnsi="Arial" w:cs="Arial"/>
        </w:rPr>
        <w:t>ENaC</w:t>
      </w:r>
      <w:proofErr w:type="spellEnd"/>
      <w:r w:rsidRPr="00502CBE">
        <w:rPr>
          <w:rFonts w:ascii="Arial" w:hAnsi="Arial" w:cs="Arial"/>
        </w:rPr>
        <w:t>) no túbulo dista</w:t>
      </w:r>
      <w:r>
        <w:rPr>
          <w:rFonts w:ascii="Arial" w:hAnsi="Arial" w:cs="Arial"/>
        </w:rPr>
        <w:t>l</w:t>
      </w:r>
      <w:r w:rsidRPr="00031008">
        <w:rPr>
          <w:rFonts w:ascii="Arial" w:hAnsi="Arial" w:cs="Arial"/>
        </w:rPr>
        <w:t>, reduzindo a excreção renal de potássio. O risco aumenta em pacientes idosos, portadores de insuficiência renal ou em uso concomitante de medicamentos que também elevam o potássio sérico, como inibidores da enzima conversora da angiotensina, bloqueadores do receptor de angiotensina ou espironolactona</w:t>
      </w:r>
      <w:r>
        <w:rPr>
          <w:rFonts w:ascii="Arial" w:hAnsi="Arial" w:cs="Arial"/>
        </w:rPr>
        <w:t xml:space="preserve"> </w:t>
      </w:r>
      <w:sdt>
        <w:sdtPr>
          <w:rPr>
            <w:rFonts w:ascii="Arial" w:hAnsi="Arial" w:cs="Arial"/>
            <w:color w:val="000000"/>
          </w:rPr>
          <w:tag w:val="MENDELEY_CITATION_v3_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"/>
          <w:id w:val="-461730352"/>
          <w:placeholder>
            <w:docPart w:val="C85A98FD20CA4E59B1CEDF91272EB461"/>
          </w:placeholder>
        </w:sdtPr>
        <w:sdtContent>
          <w:r w:rsidRPr="007068B1">
            <w:rPr>
              <w:rFonts w:ascii="Arial" w:hAnsi="Arial" w:cs="Arial"/>
              <w:color w:val="000000"/>
            </w:rPr>
            <w:t>(3)</w:t>
          </w:r>
        </w:sdtContent>
      </w:sdt>
      <w:r w:rsidRPr="00031008">
        <w:rPr>
          <w:rFonts w:ascii="Arial" w:hAnsi="Arial" w:cs="Arial"/>
        </w:rPr>
        <w:t>.</w:t>
      </w:r>
    </w:p>
    <w:p w14:paraId="07279335" w14:textId="77777777" w:rsidR="007068B1" w:rsidRPr="00031008" w:rsidRDefault="007068B1" w:rsidP="007068B1">
      <w:pPr>
        <w:spacing w:after="0" w:line="360" w:lineRule="auto"/>
        <w:jc w:val="both"/>
        <w:rPr>
          <w:rFonts w:ascii="Arial" w:hAnsi="Arial" w:cs="Arial"/>
        </w:rPr>
      </w:pPr>
      <w:r>
        <w:rPr>
          <w:rFonts w:ascii="Arial" w:hAnsi="Arial" w:cs="Arial"/>
        </w:rPr>
        <w:tab/>
      </w:r>
      <w:proofErr w:type="spellStart"/>
      <w:r w:rsidRPr="00031008">
        <w:rPr>
          <w:rFonts w:ascii="Arial" w:hAnsi="Arial" w:cs="Arial"/>
        </w:rPr>
        <w:t>Sulfonamidas</w:t>
      </w:r>
      <w:proofErr w:type="spellEnd"/>
      <w:r w:rsidRPr="00031008">
        <w:rPr>
          <w:rFonts w:ascii="Arial" w:hAnsi="Arial" w:cs="Arial"/>
        </w:rPr>
        <w:t xml:space="preserve"> também podem estar associadas a reações cutâneas de hipersensibilidade. Embora incomuns, manifestações </w:t>
      </w:r>
      <w:proofErr w:type="spellStart"/>
      <w:r w:rsidRPr="00031008">
        <w:rPr>
          <w:rFonts w:ascii="Arial" w:hAnsi="Arial" w:cs="Arial"/>
        </w:rPr>
        <w:t>mucocutâneas</w:t>
      </w:r>
      <w:proofErr w:type="spellEnd"/>
      <w:r w:rsidRPr="00031008">
        <w:rPr>
          <w:rFonts w:ascii="Arial" w:hAnsi="Arial" w:cs="Arial"/>
        </w:rPr>
        <w:t xml:space="preserve"> graves podem ocorrer, especialmente nas primeiras semanas de tratamento.</w:t>
      </w:r>
    </w:p>
    <w:p w14:paraId="1446FFD2" w14:textId="77777777" w:rsidR="007068B1" w:rsidRPr="00031008" w:rsidRDefault="007068B1" w:rsidP="007068B1">
      <w:pPr>
        <w:spacing w:after="0" w:line="360" w:lineRule="auto"/>
        <w:jc w:val="both"/>
        <w:rPr>
          <w:rFonts w:ascii="Arial" w:hAnsi="Arial" w:cs="Arial"/>
        </w:rPr>
      </w:pPr>
      <w:r>
        <w:rPr>
          <w:rFonts w:ascii="Arial" w:hAnsi="Arial" w:cs="Arial"/>
        </w:rPr>
        <w:lastRenderedPageBreak/>
        <w:tab/>
      </w:r>
      <w:r w:rsidRPr="00031008">
        <w:rPr>
          <w:rFonts w:ascii="Arial" w:hAnsi="Arial" w:cs="Arial"/>
        </w:rPr>
        <w:t>Do ponto de vista fisiopatológico, a relação entre mecanismo e evento adverso mantém-se coerente: o bloqueio da síntese bacteriana de folato pode, em determinadas condições, interferir em processos humanos dependentes dessa via metabólica ou em mecanismos renais envolvidos na homeostase eletrolítica.</w:t>
      </w:r>
    </w:p>
    <w:p w14:paraId="02D0CB2C" w14:textId="77777777" w:rsidR="007068B1" w:rsidRDefault="007068B1" w:rsidP="007068B1">
      <w:pPr>
        <w:spacing w:after="0" w:line="360" w:lineRule="auto"/>
        <w:jc w:val="both"/>
        <w:rPr>
          <w:rFonts w:ascii="Arial" w:hAnsi="Arial" w:cs="Arial"/>
        </w:rPr>
      </w:pPr>
      <w:r>
        <w:rPr>
          <w:rFonts w:ascii="Arial" w:hAnsi="Arial" w:cs="Arial"/>
        </w:rPr>
        <w:tab/>
      </w:r>
      <w:r w:rsidRPr="00031008">
        <w:rPr>
          <w:rFonts w:ascii="Arial" w:hAnsi="Arial" w:cs="Arial"/>
        </w:rPr>
        <w:t>Assim, a avaliação de segurança dessa classe deve considerar fatores como duração prevista da terapia, função renal, estado nutricional do paciente e uso concomitante de outros medicamentos que possam amplificar o risco de toxicidade.</w:t>
      </w:r>
    </w:p>
    <w:p w14:paraId="1F0F0D16" w14:textId="77777777" w:rsidR="007068B1" w:rsidRDefault="007068B1" w:rsidP="007068B1">
      <w:pPr>
        <w:spacing w:after="0" w:line="360" w:lineRule="auto"/>
        <w:jc w:val="both"/>
        <w:rPr>
          <w:rFonts w:ascii="Arial" w:hAnsi="Arial" w:cs="Arial"/>
        </w:rPr>
      </w:pPr>
    </w:p>
    <w:p w14:paraId="1F75BE04" w14:textId="77777777" w:rsidR="007068B1" w:rsidRDefault="007068B1" w:rsidP="007068B1">
      <w:pPr>
        <w:spacing w:after="0" w:line="360" w:lineRule="auto"/>
        <w:jc w:val="right"/>
      </w:pPr>
      <w:r w:rsidRPr="0003129B">
        <w:rPr>
          <w:rFonts w:ascii="Arial" w:hAnsi="Arial" w:cs="Arial"/>
        </w:rPr>
        <w:t xml:space="preserve">Página </w:t>
      </w:r>
      <w:r>
        <w:rPr>
          <w:rFonts w:ascii="Arial" w:hAnsi="Arial" w:cs="Arial"/>
        </w:rPr>
        <w:t>61</w:t>
      </w:r>
    </w:p>
    <w:p w14:paraId="030772B4" w14:textId="77777777" w:rsidR="007068B1" w:rsidRDefault="007068B1" w:rsidP="007068B1">
      <w:pPr>
        <w:spacing w:after="0" w:line="360" w:lineRule="auto"/>
        <w:jc w:val="both"/>
        <w:rPr>
          <w:rFonts w:ascii="Arial" w:hAnsi="Arial" w:cs="Arial"/>
          <w:b/>
          <w:bCs/>
        </w:rPr>
      </w:pPr>
      <w:r w:rsidRPr="005D5234">
        <w:rPr>
          <w:rFonts w:ascii="Arial" w:hAnsi="Arial" w:cs="Arial"/>
          <w:b/>
          <w:bCs/>
        </w:rPr>
        <w:t>Quiz de revisão</w:t>
      </w:r>
    </w:p>
    <w:p w14:paraId="4FC80F4C" w14:textId="77777777" w:rsidR="007068B1" w:rsidRPr="005D5234" w:rsidRDefault="007068B1" w:rsidP="007068B1">
      <w:pPr>
        <w:spacing w:after="0" w:line="360" w:lineRule="auto"/>
        <w:jc w:val="both"/>
        <w:rPr>
          <w:rFonts w:ascii="Arial" w:hAnsi="Arial" w:cs="Arial"/>
          <w:b/>
          <w:bCs/>
        </w:rPr>
      </w:pPr>
    </w:p>
    <w:p w14:paraId="48FFC162" w14:textId="77777777" w:rsidR="007068B1" w:rsidRPr="005D5234" w:rsidRDefault="007068B1" w:rsidP="007068B1">
      <w:pPr>
        <w:spacing w:after="0" w:line="360" w:lineRule="auto"/>
        <w:jc w:val="both"/>
        <w:rPr>
          <w:rFonts w:ascii="Arial" w:hAnsi="Arial" w:cs="Arial"/>
        </w:rPr>
      </w:pPr>
      <w:r>
        <w:rPr>
          <w:rFonts w:ascii="Arial" w:hAnsi="Arial" w:cs="Arial"/>
        </w:rPr>
        <w:t xml:space="preserve">1) </w:t>
      </w:r>
      <w:r w:rsidRPr="005D5234">
        <w:rPr>
          <w:rFonts w:ascii="Arial" w:hAnsi="Arial" w:cs="Arial"/>
        </w:rPr>
        <w:t>Um paciente em uso prolongado de linezolida para tratamento de infecção por bactéria multirresistente apresenta queda progressiva de hemoglobina e plaquetas após algumas semanas de terapia.</w:t>
      </w:r>
    </w:p>
    <w:p w14:paraId="16AAB73A" w14:textId="77777777" w:rsidR="007068B1" w:rsidRPr="005D5234" w:rsidRDefault="007068B1" w:rsidP="007068B1">
      <w:pPr>
        <w:spacing w:after="0" w:line="360" w:lineRule="auto"/>
        <w:jc w:val="both"/>
        <w:rPr>
          <w:rFonts w:ascii="Arial" w:hAnsi="Arial" w:cs="Arial"/>
        </w:rPr>
      </w:pPr>
      <w:r w:rsidRPr="005D5234">
        <w:rPr>
          <w:rFonts w:ascii="Arial" w:hAnsi="Arial" w:cs="Arial"/>
        </w:rPr>
        <w:t>Qual mecanismo explica melhor esse evento adverso?</w:t>
      </w:r>
    </w:p>
    <w:p w14:paraId="2E43F1C1" w14:textId="77777777" w:rsidR="007068B1" w:rsidRPr="005D5234" w:rsidRDefault="007068B1" w:rsidP="007068B1">
      <w:pPr>
        <w:spacing w:after="0" w:line="360" w:lineRule="auto"/>
        <w:jc w:val="both"/>
        <w:rPr>
          <w:rFonts w:ascii="Arial" w:hAnsi="Arial" w:cs="Arial"/>
        </w:rPr>
      </w:pPr>
    </w:p>
    <w:p w14:paraId="7F9E501A" w14:textId="77777777" w:rsidR="007068B1" w:rsidRPr="005D5234" w:rsidRDefault="007068B1" w:rsidP="007068B1">
      <w:pPr>
        <w:spacing w:after="0" w:line="360" w:lineRule="auto"/>
        <w:jc w:val="both"/>
        <w:rPr>
          <w:rFonts w:ascii="Arial" w:hAnsi="Arial" w:cs="Arial"/>
        </w:rPr>
      </w:pPr>
      <w:r w:rsidRPr="005D5234">
        <w:rPr>
          <w:rFonts w:ascii="Arial" w:hAnsi="Arial" w:cs="Arial"/>
        </w:rPr>
        <w:t>A) Interferência sobre ribossomos mitocondriais humanos</w:t>
      </w:r>
    </w:p>
    <w:p w14:paraId="7773F139" w14:textId="77777777" w:rsidR="007068B1" w:rsidRPr="005D5234" w:rsidRDefault="007068B1" w:rsidP="007068B1">
      <w:pPr>
        <w:spacing w:after="0" w:line="360" w:lineRule="auto"/>
        <w:jc w:val="both"/>
        <w:rPr>
          <w:rFonts w:ascii="Arial" w:hAnsi="Arial" w:cs="Arial"/>
        </w:rPr>
      </w:pPr>
      <w:r w:rsidRPr="005D5234">
        <w:rPr>
          <w:rFonts w:ascii="Arial" w:hAnsi="Arial" w:cs="Arial"/>
        </w:rPr>
        <w:t>B) Inibição direta da síntese de DNA nas células da medula óssea</w:t>
      </w:r>
    </w:p>
    <w:p w14:paraId="35FA1A9C" w14:textId="77777777" w:rsidR="007068B1" w:rsidRPr="005D5234" w:rsidRDefault="007068B1" w:rsidP="007068B1">
      <w:pPr>
        <w:spacing w:after="0" w:line="360" w:lineRule="auto"/>
        <w:jc w:val="both"/>
        <w:rPr>
          <w:rFonts w:ascii="Arial" w:hAnsi="Arial" w:cs="Arial"/>
        </w:rPr>
      </w:pPr>
      <w:r w:rsidRPr="005D5234">
        <w:rPr>
          <w:rFonts w:ascii="Arial" w:hAnsi="Arial" w:cs="Arial"/>
        </w:rPr>
        <w:t>C) Destruição imunológica das células hematológicas</w:t>
      </w:r>
    </w:p>
    <w:p w14:paraId="56DB92BC" w14:textId="77777777" w:rsidR="007068B1" w:rsidRPr="005D5234" w:rsidRDefault="007068B1" w:rsidP="007068B1">
      <w:pPr>
        <w:spacing w:after="0" w:line="360" w:lineRule="auto"/>
        <w:jc w:val="both"/>
        <w:rPr>
          <w:rFonts w:ascii="Arial" w:hAnsi="Arial" w:cs="Arial"/>
        </w:rPr>
      </w:pPr>
      <w:r w:rsidRPr="005D5234">
        <w:rPr>
          <w:rFonts w:ascii="Arial" w:hAnsi="Arial" w:cs="Arial"/>
        </w:rPr>
        <w:t>D) Alteração da permeabilidade da membrana celular humana</w:t>
      </w:r>
    </w:p>
    <w:p w14:paraId="40991BC0" w14:textId="77777777" w:rsidR="007068B1" w:rsidRPr="005D5234" w:rsidRDefault="007068B1" w:rsidP="007068B1">
      <w:pPr>
        <w:spacing w:after="0" w:line="360" w:lineRule="auto"/>
        <w:jc w:val="both"/>
        <w:rPr>
          <w:rFonts w:ascii="Arial" w:hAnsi="Arial" w:cs="Arial"/>
        </w:rPr>
      </w:pPr>
    </w:p>
    <w:p w14:paraId="4CCA6C57" w14:textId="77777777" w:rsidR="007068B1" w:rsidRPr="005D5234" w:rsidRDefault="007068B1" w:rsidP="007068B1">
      <w:pPr>
        <w:spacing w:after="0" w:line="360" w:lineRule="auto"/>
        <w:jc w:val="both"/>
        <w:rPr>
          <w:rFonts w:ascii="Arial" w:hAnsi="Arial" w:cs="Arial"/>
        </w:rPr>
      </w:pPr>
      <w:r w:rsidRPr="005D5234">
        <w:rPr>
          <w:rFonts w:ascii="Arial" w:hAnsi="Arial" w:cs="Arial"/>
        </w:rPr>
        <w:t>Resposta correta: A) Interferência sobre ribossomos mitocondriais humanos</w:t>
      </w:r>
    </w:p>
    <w:p w14:paraId="0CAB2C69" w14:textId="77777777" w:rsidR="007068B1" w:rsidRPr="005D5234" w:rsidRDefault="007068B1" w:rsidP="007068B1">
      <w:pPr>
        <w:spacing w:after="0" w:line="360" w:lineRule="auto"/>
        <w:jc w:val="both"/>
        <w:rPr>
          <w:rFonts w:ascii="Arial" w:hAnsi="Arial" w:cs="Arial"/>
        </w:rPr>
      </w:pPr>
    </w:p>
    <w:p w14:paraId="1DD373B7" w14:textId="77777777" w:rsidR="007068B1" w:rsidRPr="005D5234" w:rsidRDefault="007068B1" w:rsidP="007068B1">
      <w:pPr>
        <w:spacing w:after="0" w:line="360" w:lineRule="auto"/>
        <w:jc w:val="both"/>
        <w:rPr>
          <w:rFonts w:ascii="Arial" w:hAnsi="Arial" w:cs="Arial"/>
        </w:rPr>
      </w:pPr>
      <w:r w:rsidRPr="005D5234">
        <w:rPr>
          <w:rFonts w:ascii="Arial" w:hAnsi="Arial" w:cs="Arial"/>
        </w:rPr>
        <w:t>Feedback</w:t>
      </w:r>
    </w:p>
    <w:p w14:paraId="540AF677" w14:textId="77777777" w:rsidR="007068B1" w:rsidRPr="005D5234" w:rsidRDefault="007068B1" w:rsidP="007068B1">
      <w:pPr>
        <w:spacing w:after="0" w:line="360" w:lineRule="auto"/>
        <w:jc w:val="both"/>
        <w:rPr>
          <w:rFonts w:ascii="Arial" w:hAnsi="Arial" w:cs="Arial"/>
        </w:rPr>
      </w:pPr>
      <w:r w:rsidRPr="005D5234">
        <w:rPr>
          <w:rFonts w:ascii="Arial" w:hAnsi="Arial" w:cs="Arial"/>
        </w:rPr>
        <w:t xml:space="preserve">A) Correta — </w:t>
      </w:r>
      <w:proofErr w:type="spellStart"/>
      <w:r w:rsidRPr="005D5234">
        <w:rPr>
          <w:rFonts w:ascii="Arial" w:hAnsi="Arial" w:cs="Arial"/>
        </w:rPr>
        <w:t>Oxazolidinonas</w:t>
      </w:r>
      <w:proofErr w:type="spellEnd"/>
      <w:r w:rsidRPr="005D5234">
        <w:rPr>
          <w:rFonts w:ascii="Arial" w:hAnsi="Arial" w:cs="Arial"/>
        </w:rPr>
        <w:t xml:space="preserve"> podem interferir em ribossomos mitocondriais devido à semelhança estrutural com ribossomos bacterianos. Essa interferência pode comprometer a produção de proteínas mitocondriais e resultar em </w:t>
      </w:r>
      <w:proofErr w:type="spellStart"/>
      <w:r w:rsidRPr="005D5234">
        <w:rPr>
          <w:rFonts w:ascii="Arial" w:hAnsi="Arial" w:cs="Arial"/>
        </w:rPr>
        <w:t>mielossupressão</w:t>
      </w:r>
      <w:proofErr w:type="spellEnd"/>
      <w:r w:rsidRPr="005D5234">
        <w:rPr>
          <w:rFonts w:ascii="Arial" w:hAnsi="Arial" w:cs="Arial"/>
        </w:rPr>
        <w:t xml:space="preserve"> durante exposições prolongadas.</w:t>
      </w:r>
    </w:p>
    <w:p w14:paraId="439E1BE8" w14:textId="77777777" w:rsidR="007068B1" w:rsidRPr="005D5234" w:rsidRDefault="007068B1" w:rsidP="007068B1">
      <w:pPr>
        <w:spacing w:after="0" w:line="360" w:lineRule="auto"/>
        <w:jc w:val="both"/>
        <w:rPr>
          <w:rFonts w:ascii="Arial" w:hAnsi="Arial" w:cs="Arial"/>
        </w:rPr>
      </w:pPr>
      <w:r w:rsidRPr="005D5234">
        <w:rPr>
          <w:rFonts w:ascii="Arial" w:hAnsi="Arial" w:cs="Arial"/>
        </w:rPr>
        <w:t>B) Incorreta — O mecanismo principal não envolve inibição direta da replicação do DNA humano.</w:t>
      </w:r>
    </w:p>
    <w:p w14:paraId="23A1639B" w14:textId="77777777" w:rsidR="007068B1" w:rsidRPr="005D5234" w:rsidRDefault="007068B1" w:rsidP="007068B1">
      <w:pPr>
        <w:spacing w:after="0" w:line="360" w:lineRule="auto"/>
        <w:jc w:val="both"/>
        <w:rPr>
          <w:rFonts w:ascii="Arial" w:hAnsi="Arial" w:cs="Arial"/>
        </w:rPr>
      </w:pPr>
      <w:r w:rsidRPr="005D5234">
        <w:rPr>
          <w:rFonts w:ascii="Arial" w:hAnsi="Arial" w:cs="Arial"/>
        </w:rPr>
        <w:t>C</w:t>
      </w:r>
      <w:r>
        <w:rPr>
          <w:rFonts w:ascii="Arial" w:hAnsi="Arial" w:cs="Arial"/>
        </w:rPr>
        <w:t>)</w:t>
      </w:r>
      <w:r w:rsidRPr="005D5234">
        <w:rPr>
          <w:rFonts w:ascii="Arial" w:hAnsi="Arial" w:cs="Arial"/>
        </w:rPr>
        <w:t xml:space="preserve"> Incorreta — A </w:t>
      </w:r>
      <w:proofErr w:type="spellStart"/>
      <w:r w:rsidRPr="005D5234">
        <w:rPr>
          <w:rFonts w:ascii="Arial" w:hAnsi="Arial" w:cs="Arial"/>
        </w:rPr>
        <w:t>mielossupressão</w:t>
      </w:r>
      <w:proofErr w:type="spellEnd"/>
      <w:r w:rsidRPr="005D5234">
        <w:rPr>
          <w:rFonts w:ascii="Arial" w:hAnsi="Arial" w:cs="Arial"/>
        </w:rPr>
        <w:t xml:space="preserve"> associada à linezolida não costuma resultar de mecanismo imunológico.</w:t>
      </w:r>
    </w:p>
    <w:p w14:paraId="0177005D" w14:textId="77777777" w:rsidR="007068B1" w:rsidRPr="005D5234" w:rsidRDefault="007068B1" w:rsidP="007068B1">
      <w:pPr>
        <w:spacing w:after="0" w:line="360" w:lineRule="auto"/>
        <w:jc w:val="both"/>
        <w:rPr>
          <w:rFonts w:ascii="Arial" w:hAnsi="Arial" w:cs="Arial"/>
        </w:rPr>
      </w:pPr>
      <w:r w:rsidRPr="005D5234">
        <w:rPr>
          <w:rFonts w:ascii="Arial" w:hAnsi="Arial" w:cs="Arial"/>
        </w:rPr>
        <w:t>D) Incorreta — A toxicidade não decorre de alteração direta da membrana celular.</w:t>
      </w:r>
    </w:p>
    <w:p w14:paraId="4D559519" w14:textId="77777777" w:rsidR="007068B1" w:rsidRPr="005D5234" w:rsidRDefault="007068B1" w:rsidP="007068B1">
      <w:pPr>
        <w:spacing w:after="0" w:line="360" w:lineRule="auto"/>
        <w:jc w:val="both"/>
        <w:rPr>
          <w:rFonts w:ascii="Arial" w:hAnsi="Arial" w:cs="Arial"/>
        </w:rPr>
      </w:pPr>
    </w:p>
    <w:p w14:paraId="6745CB74" w14:textId="77777777" w:rsidR="007068B1" w:rsidRPr="005D5234" w:rsidRDefault="007068B1" w:rsidP="007068B1">
      <w:pPr>
        <w:spacing w:after="0" w:line="360" w:lineRule="auto"/>
        <w:jc w:val="both"/>
        <w:rPr>
          <w:rFonts w:ascii="Arial" w:hAnsi="Arial" w:cs="Arial"/>
        </w:rPr>
      </w:pPr>
      <w:r w:rsidRPr="005D5234">
        <w:rPr>
          <w:rFonts w:ascii="Arial" w:hAnsi="Arial" w:cs="Arial"/>
        </w:rPr>
        <w:t>2)</w:t>
      </w:r>
      <w:r>
        <w:rPr>
          <w:rFonts w:ascii="Arial" w:hAnsi="Arial" w:cs="Arial"/>
        </w:rPr>
        <w:t xml:space="preserve"> </w:t>
      </w:r>
      <w:r w:rsidRPr="005D5234">
        <w:rPr>
          <w:rFonts w:ascii="Arial" w:hAnsi="Arial" w:cs="Arial"/>
        </w:rPr>
        <w:t xml:space="preserve">Um paciente idoso em uso de </w:t>
      </w:r>
      <w:proofErr w:type="spellStart"/>
      <w:r w:rsidRPr="005D5234">
        <w:rPr>
          <w:rFonts w:ascii="Arial" w:hAnsi="Arial" w:cs="Arial"/>
        </w:rPr>
        <w:t>sulfametoxazol</w:t>
      </w:r>
      <w:proofErr w:type="spellEnd"/>
      <w:r w:rsidRPr="005D5234">
        <w:rPr>
          <w:rFonts w:ascii="Arial" w:hAnsi="Arial" w:cs="Arial"/>
        </w:rPr>
        <w:t>–</w:t>
      </w:r>
      <w:proofErr w:type="spellStart"/>
      <w:r w:rsidRPr="005D5234">
        <w:rPr>
          <w:rFonts w:ascii="Arial" w:hAnsi="Arial" w:cs="Arial"/>
        </w:rPr>
        <w:t>trimetoprim</w:t>
      </w:r>
      <w:proofErr w:type="spellEnd"/>
      <w:r w:rsidRPr="005D5234">
        <w:rPr>
          <w:rFonts w:ascii="Arial" w:hAnsi="Arial" w:cs="Arial"/>
        </w:rPr>
        <w:t xml:space="preserve"> para tratamento de infecção urinária apresenta elevação progressiva do potássio sérico durante o tratamento.</w:t>
      </w:r>
    </w:p>
    <w:p w14:paraId="7B9B119B" w14:textId="77777777" w:rsidR="007068B1" w:rsidRPr="005D5234" w:rsidRDefault="007068B1" w:rsidP="007068B1">
      <w:pPr>
        <w:spacing w:after="0" w:line="360" w:lineRule="auto"/>
        <w:jc w:val="both"/>
        <w:rPr>
          <w:rFonts w:ascii="Arial" w:hAnsi="Arial" w:cs="Arial"/>
        </w:rPr>
      </w:pPr>
      <w:r w:rsidRPr="005D5234">
        <w:rPr>
          <w:rFonts w:ascii="Arial" w:hAnsi="Arial" w:cs="Arial"/>
        </w:rPr>
        <w:lastRenderedPageBreak/>
        <w:t>Qual mecanismo farmacológico ajuda a explicar esse evento?</w:t>
      </w:r>
    </w:p>
    <w:p w14:paraId="06FF59CE" w14:textId="77777777" w:rsidR="007068B1" w:rsidRPr="005D5234" w:rsidRDefault="007068B1" w:rsidP="007068B1">
      <w:pPr>
        <w:spacing w:after="0" w:line="360" w:lineRule="auto"/>
        <w:jc w:val="both"/>
        <w:rPr>
          <w:rFonts w:ascii="Arial" w:hAnsi="Arial" w:cs="Arial"/>
        </w:rPr>
      </w:pPr>
    </w:p>
    <w:p w14:paraId="0D24D5EF" w14:textId="77777777" w:rsidR="007068B1" w:rsidRPr="005D5234" w:rsidRDefault="007068B1" w:rsidP="007068B1">
      <w:pPr>
        <w:spacing w:after="0" w:line="360" w:lineRule="auto"/>
        <w:jc w:val="both"/>
        <w:rPr>
          <w:rFonts w:ascii="Arial" w:hAnsi="Arial" w:cs="Arial"/>
        </w:rPr>
      </w:pPr>
      <w:r w:rsidRPr="005D5234">
        <w:rPr>
          <w:rFonts w:ascii="Arial" w:hAnsi="Arial" w:cs="Arial"/>
        </w:rPr>
        <w:t>A) Bloqueio do canal epitelial de sódio no túbulo distal renal</w:t>
      </w:r>
    </w:p>
    <w:p w14:paraId="592FD7BD" w14:textId="77777777" w:rsidR="007068B1" w:rsidRPr="005D5234" w:rsidRDefault="007068B1" w:rsidP="007068B1">
      <w:pPr>
        <w:spacing w:after="0" w:line="360" w:lineRule="auto"/>
        <w:jc w:val="both"/>
        <w:rPr>
          <w:rFonts w:ascii="Arial" w:hAnsi="Arial" w:cs="Arial"/>
        </w:rPr>
      </w:pPr>
      <w:r w:rsidRPr="005D5234">
        <w:rPr>
          <w:rFonts w:ascii="Arial" w:hAnsi="Arial" w:cs="Arial"/>
        </w:rPr>
        <w:t>B) Estímulo direto da secreção de potássio pelos túbulos renais</w:t>
      </w:r>
    </w:p>
    <w:p w14:paraId="1B74440E" w14:textId="77777777" w:rsidR="007068B1" w:rsidRPr="005D5234" w:rsidRDefault="007068B1" w:rsidP="007068B1">
      <w:pPr>
        <w:spacing w:after="0" w:line="360" w:lineRule="auto"/>
        <w:jc w:val="both"/>
        <w:rPr>
          <w:rFonts w:ascii="Arial" w:hAnsi="Arial" w:cs="Arial"/>
        </w:rPr>
      </w:pPr>
      <w:r w:rsidRPr="005D5234">
        <w:rPr>
          <w:rFonts w:ascii="Arial" w:hAnsi="Arial" w:cs="Arial"/>
        </w:rPr>
        <w:t>C) Aumento da liberação de potássio pelas células musculares</w:t>
      </w:r>
    </w:p>
    <w:p w14:paraId="5663911F" w14:textId="77777777" w:rsidR="007068B1" w:rsidRPr="005D5234" w:rsidRDefault="007068B1" w:rsidP="007068B1">
      <w:pPr>
        <w:spacing w:after="0" w:line="360" w:lineRule="auto"/>
        <w:jc w:val="both"/>
        <w:rPr>
          <w:rFonts w:ascii="Arial" w:hAnsi="Arial" w:cs="Arial"/>
        </w:rPr>
      </w:pPr>
      <w:r w:rsidRPr="005D5234">
        <w:rPr>
          <w:rFonts w:ascii="Arial" w:hAnsi="Arial" w:cs="Arial"/>
        </w:rPr>
        <w:t>D) Inibição da síntese de aldosterona pelas glândulas adrenais</w:t>
      </w:r>
    </w:p>
    <w:p w14:paraId="44C32967" w14:textId="77777777" w:rsidR="007068B1" w:rsidRPr="005D5234" w:rsidRDefault="007068B1" w:rsidP="007068B1">
      <w:pPr>
        <w:spacing w:after="0" w:line="360" w:lineRule="auto"/>
        <w:jc w:val="both"/>
        <w:rPr>
          <w:rFonts w:ascii="Arial" w:hAnsi="Arial" w:cs="Arial"/>
        </w:rPr>
      </w:pPr>
    </w:p>
    <w:p w14:paraId="0E1837C7" w14:textId="77777777" w:rsidR="007068B1" w:rsidRPr="005D5234" w:rsidRDefault="007068B1" w:rsidP="007068B1">
      <w:pPr>
        <w:spacing w:after="0" w:line="360" w:lineRule="auto"/>
        <w:jc w:val="both"/>
        <w:rPr>
          <w:rFonts w:ascii="Arial" w:hAnsi="Arial" w:cs="Arial"/>
        </w:rPr>
      </w:pPr>
      <w:r>
        <w:rPr>
          <w:rFonts w:ascii="Segoe UI Emoji" w:hAnsi="Segoe UI Emoji" w:cs="Segoe UI Emoji"/>
        </w:rPr>
        <w:t>R</w:t>
      </w:r>
      <w:r w:rsidRPr="005D5234">
        <w:rPr>
          <w:rFonts w:ascii="Arial" w:hAnsi="Arial" w:cs="Arial"/>
        </w:rPr>
        <w:t>esposta correta: A) Bloqueio do canal epitelial de sódio no túbulo distal renal</w:t>
      </w:r>
    </w:p>
    <w:p w14:paraId="52207B39" w14:textId="77777777" w:rsidR="007068B1" w:rsidRPr="005D5234" w:rsidRDefault="007068B1" w:rsidP="007068B1">
      <w:pPr>
        <w:spacing w:after="0" w:line="360" w:lineRule="auto"/>
        <w:jc w:val="both"/>
        <w:rPr>
          <w:rFonts w:ascii="Arial" w:hAnsi="Arial" w:cs="Arial"/>
        </w:rPr>
      </w:pPr>
    </w:p>
    <w:p w14:paraId="432420CF" w14:textId="77777777" w:rsidR="007068B1" w:rsidRPr="005D5234" w:rsidRDefault="007068B1" w:rsidP="007068B1">
      <w:pPr>
        <w:spacing w:after="0" w:line="360" w:lineRule="auto"/>
        <w:jc w:val="both"/>
        <w:rPr>
          <w:rFonts w:ascii="Arial" w:hAnsi="Arial" w:cs="Arial"/>
        </w:rPr>
      </w:pPr>
      <w:r w:rsidRPr="005D5234">
        <w:rPr>
          <w:rFonts w:ascii="Arial" w:hAnsi="Arial" w:cs="Arial"/>
        </w:rPr>
        <w:t>Feedback</w:t>
      </w:r>
    </w:p>
    <w:p w14:paraId="5C0B7CA4" w14:textId="77777777" w:rsidR="007068B1" w:rsidRPr="005D5234" w:rsidRDefault="007068B1" w:rsidP="007068B1">
      <w:pPr>
        <w:spacing w:after="0" w:line="360" w:lineRule="auto"/>
        <w:jc w:val="both"/>
        <w:rPr>
          <w:rFonts w:ascii="Arial" w:hAnsi="Arial" w:cs="Arial"/>
        </w:rPr>
      </w:pPr>
      <w:r w:rsidRPr="005D5234">
        <w:rPr>
          <w:rFonts w:ascii="Arial" w:hAnsi="Arial" w:cs="Arial"/>
        </w:rPr>
        <w:t xml:space="preserve">A) Correta — O </w:t>
      </w:r>
      <w:proofErr w:type="spellStart"/>
      <w:r w:rsidRPr="005D5234">
        <w:rPr>
          <w:rFonts w:ascii="Arial" w:hAnsi="Arial" w:cs="Arial"/>
        </w:rPr>
        <w:t>trimetoprim</w:t>
      </w:r>
      <w:proofErr w:type="spellEnd"/>
      <w:r w:rsidRPr="005D5234">
        <w:rPr>
          <w:rFonts w:ascii="Arial" w:hAnsi="Arial" w:cs="Arial"/>
        </w:rPr>
        <w:t xml:space="preserve"> pode atuar de maneira semelhante a um bloqueador do canal epitelial de sódio no túbulo distal, reduzindo a excreção de potássio e favorecendo hipercalemia, especialmente em pacientes idosos ou com insuficiência renal.</w:t>
      </w:r>
    </w:p>
    <w:p w14:paraId="3FB97872" w14:textId="77777777" w:rsidR="007068B1" w:rsidRPr="005D5234" w:rsidRDefault="007068B1" w:rsidP="007068B1">
      <w:pPr>
        <w:spacing w:after="0" w:line="360" w:lineRule="auto"/>
        <w:jc w:val="both"/>
        <w:rPr>
          <w:rFonts w:ascii="Arial" w:hAnsi="Arial" w:cs="Arial"/>
        </w:rPr>
      </w:pPr>
      <w:r w:rsidRPr="005D5234">
        <w:rPr>
          <w:rFonts w:ascii="Arial" w:hAnsi="Arial" w:cs="Arial"/>
        </w:rPr>
        <w:t>B) Incorreta — O efeito observado é redução da excreção renal de potássio, não aumento.</w:t>
      </w:r>
    </w:p>
    <w:p w14:paraId="494E7139" w14:textId="77777777" w:rsidR="007068B1" w:rsidRPr="005D5234" w:rsidRDefault="007068B1" w:rsidP="007068B1">
      <w:pPr>
        <w:spacing w:after="0" w:line="360" w:lineRule="auto"/>
        <w:jc w:val="both"/>
        <w:rPr>
          <w:rFonts w:ascii="Arial" w:hAnsi="Arial" w:cs="Arial"/>
        </w:rPr>
      </w:pPr>
      <w:r w:rsidRPr="005D5234">
        <w:rPr>
          <w:rFonts w:ascii="Arial" w:hAnsi="Arial" w:cs="Arial"/>
        </w:rPr>
        <w:t>C) Incorreta — O mecanismo não envolve liberação muscular de potássio.</w:t>
      </w:r>
    </w:p>
    <w:p w14:paraId="615A804E" w14:textId="77777777" w:rsidR="007068B1" w:rsidRDefault="007068B1" w:rsidP="007068B1">
      <w:pPr>
        <w:spacing w:after="0" w:line="360" w:lineRule="auto"/>
        <w:jc w:val="both"/>
        <w:rPr>
          <w:rFonts w:ascii="Arial" w:hAnsi="Arial" w:cs="Arial"/>
        </w:rPr>
      </w:pPr>
      <w:r w:rsidRPr="005D5234">
        <w:rPr>
          <w:rFonts w:ascii="Arial" w:hAnsi="Arial" w:cs="Arial"/>
        </w:rPr>
        <w:t>D) Incorreta — O fármaco não atua diretamente sobre a produção de aldosterona.</w:t>
      </w:r>
    </w:p>
    <w:p w14:paraId="67F9200D" w14:textId="77777777" w:rsidR="007068B1" w:rsidRDefault="007068B1" w:rsidP="007068B1">
      <w:pPr>
        <w:spacing w:after="0" w:line="360" w:lineRule="auto"/>
        <w:jc w:val="both"/>
        <w:rPr>
          <w:rFonts w:ascii="Arial" w:hAnsi="Arial" w:cs="Arial"/>
        </w:rPr>
      </w:pPr>
    </w:p>
    <w:p w14:paraId="5B4F8C41" w14:textId="77777777" w:rsidR="007068B1" w:rsidRPr="00502CBE" w:rsidRDefault="007068B1" w:rsidP="007068B1">
      <w:pPr>
        <w:spacing w:after="0" w:line="360" w:lineRule="auto"/>
        <w:jc w:val="both"/>
        <w:rPr>
          <w:rFonts w:ascii="Arial" w:hAnsi="Arial" w:cs="Arial"/>
          <w:b/>
          <w:bCs/>
        </w:rPr>
      </w:pPr>
      <w:r w:rsidRPr="00502CBE">
        <w:rPr>
          <w:rFonts w:ascii="Arial" w:hAnsi="Arial" w:cs="Arial"/>
          <w:b/>
          <w:bCs/>
        </w:rPr>
        <w:t>Referências:</w:t>
      </w:r>
    </w:p>
    <w:sdt>
      <w:sdtPr>
        <w:rPr>
          <w:rFonts w:ascii="Calibri" w:hAnsi="Calibri" w:cs="Calibri"/>
          <w:color w:val="000000"/>
        </w:rPr>
        <w:tag w:val="MENDELEY_BIBLIOGRAPHY"/>
        <w:id w:val="-121469184"/>
        <w:placeholder>
          <w:docPart w:val="DefaultPlaceholder_-1854013440"/>
        </w:placeholder>
      </w:sdtPr>
      <w:sdtContent>
        <w:p w14:paraId="361458A2" w14:textId="77777777" w:rsidR="007068B1" w:rsidRPr="007068B1" w:rsidRDefault="007068B1">
          <w:pPr>
            <w:autoSpaceDE w:val="0"/>
            <w:autoSpaceDN w:val="0"/>
            <w:ind w:hanging="640"/>
            <w:divId w:val="1349913494"/>
            <w:rPr>
              <w:rFonts w:ascii="Calibri" w:eastAsia="Times New Roman" w:hAnsi="Calibri" w:cs="Calibri"/>
              <w:color w:val="000000"/>
              <w:szCs w:val="24"/>
            </w:rPr>
          </w:pPr>
          <w:r w:rsidRPr="007068B1">
            <w:rPr>
              <w:rFonts w:ascii="Calibri" w:eastAsia="Times New Roman" w:hAnsi="Calibri" w:cs="Calibri"/>
              <w:color w:val="000000"/>
            </w:rPr>
            <w:t>1.</w:t>
          </w:r>
          <w:r w:rsidRPr="007068B1">
            <w:rPr>
              <w:rFonts w:ascii="Calibri" w:eastAsia="Times New Roman" w:hAnsi="Calibri" w:cs="Calibri"/>
              <w:color w:val="000000"/>
            </w:rPr>
            <w:tab/>
            <w:t>Bush K, Bradford PA. β-</w:t>
          </w:r>
          <w:proofErr w:type="spellStart"/>
          <w:r w:rsidRPr="007068B1">
            <w:rPr>
              <w:rFonts w:ascii="Calibri" w:eastAsia="Times New Roman" w:hAnsi="Calibri" w:cs="Calibri"/>
              <w:color w:val="000000"/>
            </w:rPr>
            <w:t>Lactams</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and</w:t>
          </w:r>
          <w:proofErr w:type="spellEnd"/>
          <w:r w:rsidRPr="007068B1">
            <w:rPr>
              <w:rFonts w:ascii="Calibri" w:eastAsia="Times New Roman" w:hAnsi="Calibri" w:cs="Calibri"/>
              <w:color w:val="000000"/>
            </w:rPr>
            <w:t xml:space="preserve"> β-</w:t>
          </w:r>
          <w:proofErr w:type="spellStart"/>
          <w:r w:rsidRPr="007068B1">
            <w:rPr>
              <w:rFonts w:ascii="Calibri" w:eastAsia="Times New Roman" w:hAnsi="Calibri" w:cs="Calibri"/>
              <w:color w:val="000000"/>
            </w:rPr>
            <w:t>Lactamase</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Inhibitors</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w:t>
          </w:r>
          <w:proofErr w:type="spellEnd"/>
          <w:r w:rsidRPr="007068B1">
            <w:rPr>
              <w:rFonts w:ascii="Calibri" w:eastAsia="Times New Roman" w:hAnsi="Calibri" w:cs="Calibri"/>
              <w:color w:val="000000"/>
            </w:rPr>
            <w:t xml:space="preserve"> Overview. Cold Spring </w:t>
          </w:r>
          <w:proofErr w:type="spellStart"/>
          <w:r w:rsidRPr="007068B1">
            <w:rPr>
              <w:rFonts w:ascii="Calibri" w:eastAsia="Times New Roman" w:hAnsi="Calibri" w:cs="Calibri"/>
              <w:color w:val="000000"/>
            </w:rPr>
            <w:t>Harb</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Perspect</w:t>
          </w:r>
          <w:proofErr w:type="spellEnd"/>
          <w:r w:rsidRPr="007068B1">
            <w:rPr>
              <w:rFonts w:ascii="Calibri" w:eastAsia="Times New Roman" w:hAnsi="Calibri" w:cs="Calibri"/>
              <w:color w:val="000000"/>
            </w:rPr>
            <w:t xml:space="preserve"> Med. 2016 Aug;6(8):a025247. doi:10.1101/cshperspect.a025247</w:t>
          </w:r>
        </w:p>
        <w:p w14:paraId="45991A57" w14:textId="77777777" w:rsidR="007068B1" w:rsidRPr="007068B1" w:rsidRDefault="007068B1">
          <w:pPr>
            <w:autoSpaceDE w:val="0"/>
            <w:autoSpaceDN w:val="0"/>
            <w:ind w:hanging="640"/>
            <w:divId w:val="54395092"/>
            <w:rPr>
              <w:rFonts w:ascii="Calibri" w:eastAsia="Times New Roman" w:hAnsi="Calibri" w:cs="Calibri"/>
              <w:color w:val="000000"/>
            </w:rPr>
          </w:pPr>
          <w:r w:rsidRPr="007068B1">
            <w:rPr>
              <w:rFonts w:ascii="Calibri" w:eastAsia="Times New Roman" w:hAnsi="Calibri" w:cs="Calibri"/>
              <w:color w:val="000000"/>
            </w:rPr>
            <w:t>2.</w:t>
          </w:r>
          <w:r w:rsidRPr="007068B1">
            <w:rPr>
              <w:rFonts w:ascii="Calibri" w:eastAsia="Times New Roman" w:hAnsi="Calibri" w:cs="Calibri"/>
              <w:color w:val="000000"/>
            </w:rPr>
            <w:tab/>
          </w:r>
          <w:proofErr w:type="spellStart"/>
          <w:r w:rsidRPr="007068B1">
            <w:rPr>
              <w:rFonts w:ascii="Calibri" w:eastAsia="Times New Roman" w:hAnsi="Calibri" w:cs="Calibri"/>
              <w:color w:val="000000"/>
            </w:rPr>
            <w:t>Katzung</w:t>
          </w:r>
          <w:proofErr w:type="spellEnd"/>
          <w:r w:rsidRPr="007068B1">
            <w:rPr>
              <w:rFonts w:ascii="Calibri" w:eastAsia="Times New Roman" w:hAnsi="Calibri" w:cs="Calibri"/>
              <w:color w:val="000000"/>
            </w:rPr>
            <w:t xml:space="preserve"> BG, Trevor AJ. Basic &amp; </w:t>
          </w:r>
          <w:proofErr w:type="spellStart"/>
          <w:r w:rsidRPr="007068B1">
            <w:rPr>
              <w:rFonts w:ascii="Calibri" w:eastAsia="Times New Roman" w:hAnsi="Calibri" w:cs="Calibri"/>
              <w:color w:val="000000"/>
            </w:rPr>
            <w:t>clinical</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pharmacology</w:t>
          </w:r>
          <w:proofErr w:type="spellEnd"/>
          <w:r w:rsidRPr="007068B1">
            <w:rPr>
              <w:rFonts w:ascii="Calibri" w:eastAsia="Times New Roman" w:hAnsi="Calibri" w:cs="Calibri"/>
              <w:color w:val="000000"/>
            </w:rPr>
            <w:t xml:space="preserve">. 14th ed. </w:t>
          </w:r>
          <w:proofErr w:type="spellStart"/>
          <w:r w:rsidRPr="007068B1">
            <w:rPr>
              <w:rFonts w:ascii="Calibri" w:eastAsia="Times New Roman" w:hAnsi="Calibri" w:cs="Calibri"/>
              <w:color w:val="000000"/>
            </w:rPr>
            <w:t>Katzung</w:t>
          </w:r>
          <w:proofErr w:type="spellEnd"/>
          <w:r w:rsidRPr="007068B1">
            <w:rPr>
              <w:rFonts w:ascii="Calibri" w:eastAsia="Times New Roman" w:hAnsi="Calibri" w:cs="Calibri"/>
              <w:color w:val="000000"/>
            </w:rPr>
            <w:t xml:space="preserve"> BG, Trevor AJ, </w:t>
          </w:r>
          <w:proofErr w:type="spellStart"/>
          <w:r w:rsidRPr="007068B1">
            <w:rPr>
              <w:rFonts w:ascii="Calibri" w:eastAsia="Times New Roman" w:hAnsi="Calibri" w:cs="Calibri"/>
              <w:color w:val="000000"/>
            </w:rPr>
            <w:t>editors</w:t>
          </w:r>
          <w:proofErr w:type="spellEnd"/>
          <w:r w:rsidRPr="007068B1">
            <w:rPr>
              <w:rFonts w:ascii="Calibri" w:eastAsia="Times New Roman" w:hAnsi="Calibri" w:cs="Calibri"/>
              <w:color w:val="000000"/>
            </w:rPr>
            <w:t>. New York: McGraw-Hill; 2018.</w:t>
          </w:r>
        </w:p>
        <w:p w14:paraId="1D944D21" w14:textId="77777777" w:rsidR="007068B1" w:rsidRPr="007068B1" w:rsidRDefault="007068B1">
          <w:pPr>
            <w:autoSpaceDE w:val="0"/>
            <w:autoSpaceDN w:val="0"/>
            <w:ind w:hanging="640"/>
            <w:divId w:val="1116021589"/>
            <w:rPr>
              <w:rFonts w:ascii="Calibri" w:eastAsia="Times New Roman" w:hAnsi="Calibri" w:cs="Calibri"/>
              <w:color w:val="000000"/>
            </w:rPr>
          </w:pPr>
          <w:r w:rsidRPr="007068B1">
            <w:rPr>
              <w:rFonts w:ascii="Calibri" w:eastAsia="Times New Roman" w:hAnsi="Calibri" w:cs="Calibri"/>
              <w:color w:val="000000"/>
            </w:rPr>
            <w:t>3.</w:t>
          </w:r>
          <w:r w:rsidRPr="007068B1">
            <w:rPr>
              <w:rFonts w:ascii="Calibri" w:eastAsia="Times New Roman" w:hAnsi="Calibri" w:cs="Calibri"/>
              <w:color w:val="000000"/>
            </w:rPr>
            <w:tab/>
          </w:r>
          <w:proofErr w:type="spellStart"/>
          <w:r w:rsidRPr="007068B1">
            <w:rPr>
              <w:rFonts w:ascii="Calibri" w:eastAsia="Times New Roman" w:hAnsi="Calibri" w:cs="Calibri"/>
              <w:color w:val="000000"/>
            </w:rPr>
            <w:t>Sagawa</w:t>
          </w:r>
          <w:proofErr w:type="spellEnd"/>
          <w:r w:rsidRPr="007068B1">
            <w:rPr>
              <w:rFonts w:ascii="Calibri" w:eastAsia="Times New Roman" w:hAnsi="Calibri" w:cs="Calibri"/>
              <w:color w:val="000000"/>
            </w:rPr>
            <w:t xml:space="preserve"> T, </w:t>
          </w:r>
          <w:proofErr w:type="spellStart"/>
          <w:r w:rsidRPr="007068B1">
            <w:rPr>
              <w:rFonts w:ascii="Calibri" w:eastAsia="Times New Roman" w:hAnsi="Calibri" w:cs="Calibri"/>
              <w:color w:val="000000"/>
            </w:rPr>
            <w:t>Ishida</w:t>
          </w:r>
          <w:proofErr w:type="spellEnd"/>
          <w:r w:rsidRPr="007068B1">
            <w:rPr>
              <w:rFonts w:ascii="Calibri" w:eastAsia="Times New Roman" w:hAnsi="Calibri" w:cs="Calibri"/>
              <w:color w:val="000000"/>
            </w:rPr>
            <w:t xml:space="preserve"> T, </w:t>
          </w:r>
          <w:proofErr w:type="spellStart"/>
          <w:r w:rsidRPr="007068B1">
            <w:rPr>
              <w:rFonts w:ascii="Calibri" w:eastAsia="Times New Roman" w:hAnsi="Calibri" w:cs="Calibri"/>
              <w:color w:val="000000"/>
            </w:rPr>
            <w:t>Jobu</w:t>
          </w:r>
          <w:proofErr w:type="spellEnd"/>
          <w:r w:rsidRPr="007068B1">
            <w:rPr>
              <w:rFonts w:ascii="Calibri" w:eastAsia="Times New Roman" w:hAnsi="Calibri" w:cs="Calibri"/>
              <w:color w:val="000000"/>
            </w:rPr>
            <w:t xml:space="preserve"> K, </w:t>
          </w:r>
          <w:proofErr w:type="spellStart"/>
          <w:r w:rsidRPr="007068B1">
            <w:rPr>
              <w:rFonts w:ascii="Calibri" w:eastAsia="Times New Roman" w:hAnsi="Calibri" w:cs="Calibri"/>
              <w:color w:val="000000"/>
            </w:rPr>
            <w:t>Morisawa</w:t>
          </w:r>
          <w:proofErr w:type="spellEnd"/>
          <w:r w:rsidRPr="007068B1">
            <w:rPr>
              <w:rFonts w:ascii="Calibri" w:eastAsia="Times New Roman" w:hAnsi="Calibri" w:cs="Calibri"/>
              <w:color w:val="000000"/>
            </w:rPr>
            <w:t xml:space="preserve"> S, </w:t>
          </w:r>
          <w:proofErr w:type="spellStart"/>
          <w:r w:rsidRPr="007068B1">
            <w:rPr>
              <w:rFonts w:ascii="Calibri" w:eastAsia="Times New Roman" w:hAnsi="Calibri" w:cs="Calibri"/>
              <w:color w:val="000000"/>
            </w:rPr>
            <w:t>Akagaki</w:t>
          </w:r>
          <w:proofErr w:type="spellEnd"/>
          <w:r w:rsidRPr="007068B1">
            <w:rPr>
              <w:rFonts w:ascii="Calibri" w:eastAsia="Times New Roman" w:hAnsi="Calibri" w:cs="Calibri"/>
              <w:color w:val="000000"/>
            </w:rPr>
            <w:t xml:space="preserve"> K, Kato T, et al. </w:t>
          </w:r>
          <w:proofErr w:type="spellStart"/>
          <w:r w:rsidRPr="007068B1">
            <w:rPr>
              <w:rFonts w:ascii="Calibri" w:eastAsia="Times New Roman" w:hAnsi="Calibri" w:cs="Calibri"/>
              <w:color w:val="000000"/>
            </w:rPr>
            <w:t>Evaluation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of</w:t>
          </w:r>
          <w:proofErr w:type="spellEnd"/>
          <w:r w:rsidRPr="007068B1">
            <w:rPr>
              <w:rFonts w:ascii="Calibri" w:eastAsia="Times New Roman" w:hAnsi="Calibri" w:cs="Calibri"/>
              <w:color w:val="000000"/>
            </w:rPr>
            <w:t xml:space="preserve"> Adverse </w:t>
          </w:r>
          <w:proofErr w:type="spellStart"/>
          <w:r w:rsidRPr="007068B1">
            <w:rPr>
              <w:rFonts w:ascii="Calibri" w:eastAsia="Times New Roman" w:hAnsi="Calibri" w:cs="Calibri"/>
              <w:color w:val="000000"/>
            </w:rPr>
            <w:t>Events</w:t>
          </w:r>
          <w:proofErr w:type="spellEnd"/>
          <w:r w:rsidRPr="007068B1">
            <w:rPr>
              <w:rFonts w:ascii="Calibri" w:eastAsia="Times New Roman" w:hAnsi="Calibri" w:cs="Calibri"/>
              <w:color w:val="000000"/>
            </w:rPr>
            <w:t xml:space="preserve"> Associated </w:t>
          </w:r>
          <w:proofErr w:type="spellStart"/>
          <w:r w:rsidRPr="007068B1">
            <w:rPr>
              <w:rFonts w:ascii="Calibri" w:eastAsia="Times New Roman" w:hAnsi="Calibri" w:cs="Calibri"/>
              <w:color w:val="000000"/>
            </w:rPr>
            <w:t>with</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the</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Sulfamethoxazole</w:t>
          </w:r>
          <w:proofErr w:type="spellEnd"/>
          <w:r w:rsidRPr="007068B1">
            <w:rPr>
              <w:rFonts w:ascii="Calibri" w:eastAsia="Times New Roman" w:hAnsi="Calibri" w:cs="Calibri"/>
              <w:color w:val="000000"/>
            </w:rPr>
            <w:t>/</w:t>
          </w:r>
          <w:proofErr w:type="spellStart"/>
          <w:r w:rsidRPr="007068B1">
            <w:rPr>
              <w:rFonts w:ascii="Calibri" w:eastAsia="Times New Roman" w:hAnsi="Calibri" w:cs="Calibri"/>
              <w:color w:val="000000"/>
            </w:rPr>
            <w:t>Trimethoprim</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Combination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Drug</w:t>
          </w:r>
          <w:proofErr w:type="spellEnd"/>
          <w:r w:rsidRPr="007068B1">
            <w:rPr>
              <w:rFonts w:ascii="Calibri" w:eastAsia="Times New Roman" w:hAnsi="Calibri" w:cs="Calibri"/>
              <w:color w:val="000000"/>
            </w:rPr>
            <w:t xml:space="preserve">. J </w:t>
          </w:r>
          <w:proofErr w:type="spellStart"/>
          <w:r w:rsidRPr="007068B1">
            <w:rPr>
              <w:rFonts w:ascii="Calibri" w:eastAsia="Times New Roman" w:hAnsi="Calibri" w:cs="Calibri"/>
              <w:color w:val="000000"/>
            </w:rPr>
            <w:t>Clin</w:t>
          </w:r>
          <w:proofErr w:type="spellEnd"/>
          <w:r w:rsidRPr="007068B1">
            <w:rPr>
              <w:rFonts w:ascii="Calibri" w:eastAsia="Times New Roman" w:hAnsi="Calibri" w:cs="Calibri"/>
              <w:color w:val="000000"/>
            </w:rPr>
            <w:t xml:space="preserve"> Med. 2025 Jul 8;14(14):4819. doi:10.3390/jcm14144819</w:t>
          </w:r>
        </w:p>
        <w:p w14:paraId="5D5FB671" w14:textId="77777777" w:rsidR="007068B1" w:rsidRPr="007068B1" w:rsidRDefault="007068B1">
          <w:pPr>
            <w:autoSpaceDE w:val="0"/>
            <w:autoSpaceDN w:val="0"/>
            <w:ind w:hanging="640"/>
            <w:divId w:val="133452736"/>
            <w:rPr>
              <w:rFonts w:ascii="Calibri" w:eastAsia="Times New Roman" w:hAnsi="Calibri" w:cs="Calibri"/>
              <w:color w:val="000000"/>
            </w:rPr>
          </w:pPr>
          <w:r w:rsidRPr="007068B1">
            <w:rPr>
              <w:rFonts w:ascii="Calibri" w:eastAsia="Times New Roman" w:hAnsi="Calibri" w:cs="Calibri"/>
              <w:color w:val="000000"/>
            </w:rPr>
            <w:t>4.</w:t>
          </w:r>
          <w:r w:rsidRPr="007068B1">
            <w:rPr>
              <w:rFonts w:ascii="Calibri" w:eastAsia="Times New Roman" w:hAnsi="Calibri" w:cs="Calibri"/>
              <w:color w:val="000000"/>
            </w:rPr>
            <w:tab/>
          </w:r>
          <w:proofErr w:type="spellStart"/>
          <w:r w:rsidRPr="007068B1">
            <w:rPr>
              <w:rFonts w:ascii="Calibri" w:eastAsia="Times New Roman" w:hAnsi="Calibri" w:cs="Calibri"/>
              <w:color w:val="000000"/>
            </w:rPr>
            <w:t>Stul</w:t>
          </w:r>
          <w:proofErr w:type="spellEnd"/>
          <w:r w:rsidRPr="007068B1">
            <w:rPr>
              <w:rFonts w:ascii="Calibri" w:eastAsia="Times New Roman" w:hAnsi="Calibri" w:cs="Calibri"/>
              <w:color w:val="000000"/>
            </w:rPr>
            <w:t xml:space="preserve"> F, </w:t>
          </w:r>
          <w:proofErr w:type="spellStart"/>
          <w:r w:rsidRPr="007068B1">
            <w:rPr>
              <w:rFonts w:ascii="Calibri" w:eastAsia="Times New Roman" w:hAnsi="Calibri" w:cs="Calibri"/>
              <w:color w:val="000000"/>
            </w:rPr>
            <w:t>Heytens</w:t>
          </w:r>
          <w:proofErr w:type="spellEnd"/>
          <w:r w:rsidRPr="007068B1">
            <w:rPr>
              <w:rFonts w:ascii="Calibri" w:eastAsia="Times New Roman" w:hAnsi="Calibri" w:cs="Calibri"/>
              <w:color w:val="000000"/>
            </w:rPr>
            <w:t xml:space="preserve"> S, </w:t>
          </w:r>
          <w:proofErr w:type="spellStart"/>
          <w:r w:rsidRPr="007068B1">
            <w:rPr>
              <w:rFonts w:ascii="Calibri" w:eastAsia="Times New Roman" w:hAnsi="Calibri" w:cs="Calibri"/>
              <w:color w:val="000000"/>
            </w:rPr>
            <w:t>Ebo</w:t>
          </w:r>
          <w:proofErr w:type="spellEnd"/>
          <w:r w:rsidRPr="007068B1">
            <w:rPr>
              <w:rFonts w:ascii="Calibri" w:eastAsia="Times New Roman" w:hAnsi="Calibri" w:cs="Calibri"/>
              <w:color w:val="000000"/>
            </w:rPr>
            <w:t xml:space="preserve"> DG, </w:t>
          </w:r>
          <w:proofErr w:type="spellStart"/>
          <w:r w:rsidRPr="007068B1">
            <w:rPr>
              <w:rFonts w:ascii="Calibri" w:eastAsia="Times New Roman" w:hAnsi="Calibri" w:cs="Calibri"/>
              <w:color w:val="000000"/>
            </w:rPr>
            <w:t>Sabato</w:t>
          </w:r>
          <w:proofErr w:type="spellEnd"/>
          <w:r w:rsidRPr="007068B1">
            <w:rPr>
              <w:rFonts w:ascii="Calibri" w:eastAsia="Times New Roman" w:hAnsi="Calibri" w:cs="Calibri"/>
              <w:color w:val="000000"/>
            </w:rPr>
            <w:t xml:space="preserve"> V, </w:t>
          </w:r>
          <w:proofErr w:type="spellStart"/>
          <w:r w:rsidRPr="007068B1">
            <w:rPr>
              <w:rFonts w:ascii="Calibri" w:eastAsia="Times New Roman" w:hAnsi="Calibri" w:cs="Calibri"/>
              <w:color w:val="000000"/>
            </w:rPr>
            <w:t>Piessens</w:t>
          </w:r>
          <w:proofErr w:type="spellEnd"/>
          <w:r w:rsidRPr="007068B1">
            <w:rPr>
              <w:rFonts w:ascii="Calibri" w:eastAsia="Times New Roman" w:hAnsi="Calibri" w:cs="Calibri"/>
              <w:color w:val="000000"/>
            </w:rPr>
            <w:t xml:space="preserve"> V. Safe </w:t>
          </w:r>
          <w:proofErr w:type="spellStart"/>
          <w:r w:rsidRPr="007068B1">
            <w:rPr>
              <w:rFonts w:ascii="Calibri" w:eastAsia="Times New Roman" w:hAnsi="Calibri" w:cs="Calibri"/>
              <w:color w:val="000000"/>
            </w:rPr>
            <w:t>Penicillin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Allergy</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Delabeling</w:t>
          </w:r>
          <w:proofErr w:type="spellEnd"/>
          <w:r w:rsidRPr="007068B1">
            <w:rPr>
              <w:rFonts w:ascii="Calibri" w:eastAsia="Times New Roman" w:hAnsi="Calibri" w:cs="Calibri"/>
              <w:color w:val="000000"/>
            </w:rPr>
            <w:t xml:space="preserve"> in </w:t>
          </w:r>
          <w:proofErr w:type="spellStart"/>
          <w:r w:rsidRPr="007068B1">
            <w:rPr>
              <w:rFonts w:ascii="Calibri" w:eastAsia="Times New Roman" w:hAnsi="Calibri" w:cs="Calibri"/>
              <w:color w:val="000000"/>
            </w:rPr>
            <w:t>Primary</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Care</w:t>
          </w:r>
          <w:proofErr w:type="spellEnd"/>
          <w:r w:rsidRPr="007068B1">
            <w:rPr>
              <w:rFonts w:ascii="Calibri" w:eastAsia="Times New Roman" w:hAnsi="Calibri" w:cs="Calibri"/>
              <w:color w:val="000000"/>
            </w:rPr>
            <w:t xml:space="preserve">: A </w:t>
          </w:r>
          <w:proofErr w:type="spellStart"/>
          <w:r w:rsidRPr="007068B1">
            <w:rPr>
              <w:rFonts w:ascii="Calibri" w:eastAsia="Times New Roman" w:hAnsi="Calibri" w:cs="Calibri"/>
              <w:color w:val="000000"/>
            </w:rPr>
            <w:t>Systematic</w:t>
          </w:r>
          <w:proofErr w:type="spellEnd"/>
          <w:r w:rsidRPr="007068B1">
            <w:rPr>
              <w:rFonts w:ascii="Calibri" w:eastAsia="Times New Roman" w:hAnsi="Calibri" w:cs="Calibri"/>
              <w:color w:val="000000"/>
            </w:rPr>
            <w:t xml:space="preserve"> Review </w:t>
          </w:r>
          <w:proofErr w:type="spellStart"/>
          <w:r w:rsidRPr="007068B1">
            <w:rPr>
              <w:rFonts w:ascii="Calibri" w:eastAsia="Times New Roman" w:hAnsi="Calibri" w:cs="Calibri"/>
              <w:color w:val="000000"/>
            </w:rPr>
            <w:t>and</w:t>
          </w:r>
          <w:proofErr w:type="spellEnd"/>
          <w:r w:rsidRPr="007068B1">
            <w:rPr>
              <w:rFonts w:ascii="Calibri" w:eastAsia="Times New Roman" w:hAnsi="Calibri" w:cs="Calibri"/>
              <w:color w:val="000000"/>
            </w:rPr>
            <w:t xml:space="preserve"> Meta-</w:t>
          </w:r>
          <w:proofErr w:type="spellStart"/>
          <w:r w:rsidRPr="007068B1">
            <w:rPr>
              <w:rFonts w:ascii="Calibri" w:eastAsia="Times New Roman" w:hAnsi="Calibri" w:cs="Calibri"/>
              <w:color w:val="000000"/>
            </w:rPr>
            <w:t>Analysis</w:t>
          </w:r>
          <w:proofErr w:type="spellEnd"/>
          <w:r w:rsidRPr="007068B1">
            <w:rPr>
              <w:rFonts w:ascii="Calibri" w:eastAsia="Times New Roman" w:hAnsi="Calibri" w:cs="Calibri"/>
              <w:color w:val="000000"/>
            </w:rPr>
            <w:t xml:space="preserve">. J </w:t>
          </w:r>
          <w:proofErr w:type="spellStart"/>
          <w:r w:rsidRPr="007068B1">
            <w:rPr>
              <w:rFonts w:ascii="Calibri" w:eastAsia="Times New Roman" w:hAnsi="Calibri" w:cs="Calibri"/>
              <w:color w:val="000000"/>
            </w:rPr>
            <w:t>Allergy</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Clin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Immunol</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Pract</w:t>
          </w:r>
          <w:proofErr w:type="spellEnd"/>
          <w:r w:rsidRPr="007068B1">
            <w:rPr>
              <w:rFonts w:ascii="Calibri" w:eastAsia="Times New Roman" w:hAnsi="Calibri" w:cs="Calibri"/>
              <w:color w:val="000000"/>
            </w:rPr>
            <w:t>. 2024 Sep;12(9):2415-2426.e1. doi:10.1016/j.jaip.2024.06.017</w:t>
          </w:r>
        </w:p>
        <w:p w14:paraId="3BE6E385" w14:textId="77777777" w:rsidR="007068B1" w:rsidRPr="007068B1" w:rsidRDefault="007068B1">
          <w:pPr>
            <w:autoSpaceDE w:val="0"/>
            <w:autoSpaceDN w:val="0"/>
            <w:ind w:hanging="640"/>
            <w:divId w:val="7410755"/>
            <w:rPr>
              <w:rFonts w:ascii="Calibri" w:eastAsia="Times New Roman" w:hAnsi="Calibri" w:cs="Calibri"/>
              <w:color w:val="000000"/>
            </w:rPr>
          </w:pPr>
          <w:r w:rsidRPr="007068B1">
            <w:rPr>
              <w:rFonts w:ascii="Calibri" w:eastAsia="Times New Roman" w:hAnsi="Calibri" w:cs="Calibri"/>
              <w:color w:val="000000"/>
            </w:rPr>
            <w:t>5.</w:t>
          </w:r>
          <w:r w:rsidRPr="007068B1">
            <w:rPr>
              <w:rFonts w:ascii="Calibri" w:eastAsia="Times New Roman" w:hAnsi="Calibri" w:cs="Calibri"/>
              <w:color w:val="000000"/>
            </w:rPr>
            <w:tab/>
            <w:t xml:space="preserve">Taylor SD, Palmer M. The </w:t>
          </w:r>
          <w:proofErr w:type="spellStart"/>
          <w:r w:rsidRPr="007068B1">
            <w:rPr>
              <w:rFonts w:ascii="Calibri" w:eastAsia="Times New Roman" w:hAnsi="Calibri" w:cs="Calibri"/>
              <w:color w:val="000000"/>
            </w:rPr>
            <w:t>action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mechanism</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of</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daptomycin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Bioorg</w:t>
          </w:r>
          <w:proofErr w:type="spellEnd"/>
          <w:r w:rsidRPr="007068B1">
            <w:rPr>
              <w:rFonts w:ascii="Calibri" w:eastAsia="Times New Roman" w:hAnsi="Calibri" w:cs="Calibri"/>
              <w:color w:val="000000"/>
            </w:rPr>
            <w:t xml:space="preserve"> Med </w:t>
          </w:r>
          <w:proofErr w:type="spellStart"/>
          <w:r w:rsidRPr="007068B1">
            <w:rPr>
              <w:rFonts w:ascii="Calibri" w:eastAsia="Times New Roman" w:hAnsi="Calibri" w:cs="Calibri"/>
              <w:color w:val="000000"/>
            </w:rPr>
            <w:t>Chem</w:t>
          </w:r>
          <w:proofErr w:type="spellEnd"/>
          <w:r w:rsidRPr="007068B1">
            <w:rPr>
              <w:rFonts w:ascii="Calibri" w:eastAsia="Times New Roman" w:hAnsi="Calibri" w:cs="Calibri"/>
              <w:color w:val="000000"/>
            </w:rPr>
            <w:t>. 2016 Dec;24(24):6253–68. doi:10.1016/j.bmc.2016.05.052</w:t>
          </w:r>
        </w:p>
        <w:p w14:paraId="23B33052" w14:textId="77777777" w:rsidR="007068B1" w:rsidRPr="007068B1" w:rsidRDefault="007068B1">
          <w:pPr>
            <w:autoSpaceDE w:val="0"/>
            <w:autoSpaceDN w:val="0"/>
            <w:ind w:hanging="640"/>
            <w:divId w:val="1482380644"/>
            <w:rPr>
              <w:rFonts w:ascii="Calibri" w:eastAsia="Times New Roman" w:hAnsi="Calibri" w:cs="Calibri"/>
              <w:color w:val="000000"/>
            </w:rPr>
          </w:pPr>
          <w:r w:rsidRPr="007068B1">
            <w:rPr>
              <w:rFonts w:ascii="Calibri" w:eastAsia="Times New Roman" w:hAnsi="Calibri" w:cs="Calibri"/>
              <w:color w:val="000000"/>
            </w:rPr>
            <w:t>6.</w:t>
          </w:r>
          <w:r w:rsidRPr="007068B1">
            <w:rPr>
              <w:rFonts w:ascii="Calibri" w:eastAsia="Times New Roman" w:hAnsi="Calibri" w:cs="Calibri"/>
              <w:color w:val="000000"/>
            </w:rPr>
            <w:tab/>
          </w:r>
          <w:proofErr w:type="spellStart"/>
          <w:r w:rsidRPr="007068B1">
            <w:rPr>
              <w:rFonts w:ascii="Calibri" w:eastAsia="Times New Roman" w:hAnsi="Calibri" w:cs="Calibri"/>
              <w:color w:val="000000"/>
            </w:rPr>
            <w:t>Greenfield</w:t>
          </w:r>
          <w:proofErr w:type="spellEnd"/>
          <w:r w:rsidRPr="007068B1">
            <w:rPr>
              <w:rFonts w:ascii="Calibri" w:eastAsia="Times New Roman" w:hAnsi="Calibri" w:cs="Calibri"/>
              <w:color w:val="000000"/>
            </w:rPr>
            <w:t xml:space="preserve"> A, </w:t>
          </w:r>
          <w:proofErr w:type="spellStart"/>
          <w:r w:rsidRPr="007068B1">
            <w:rPr>
              <w:rFonts w:ascii="Calibri" w:eastAsia="Times New Roman" w:hAnsi="Calibri" w:cs="Calibri"/>
              <w:color w:val="000000"/>
            </w:rPr>
            <w:t>Deja</w:t>
          </w:r>
          <w:proofErr w:type="spellEnd"/>
          <w:r w:rsidRPr="007068B1">
            <w:rPr>
              <w:rFonts w:ascii="Calibri" w:eastAsia="Times New Roman" w:hAnsi="Calibri" w:cs="Calibri"/>
              <w:color w:val="000000"/>
            </w:rPr>
            <w:t xml:space="preserve"> E, Lee K, </w:t>
          </w:r>
          <w:proofErr w:type="spellStart"/>
          <w:r w:rsidRPr="007068B1">
            <w:rPr>
              <w:rFonts w:ascii="Calibri" w:eastAsia="Times New Roman" w:hAnsi="Calibri" w:cs="Calibri"/>
              <w:color w:val="000000"/>
            </w:rPr>
            <w:t>Sastry</w:t>
          </w:r>
          <w:proofErr w:type="spellEnd"/>
          <w:r w:rsidRPr="007068B1">
            <w:rPr>
              <w:rFonts w:ascii="Calibri" w:eastAsia="Times New Roman" w:hAnsi="Calibri" w:cs="Calibri"/>
              <w:color w:val="000000"/>
            </w:rPr>
            <w:t xml:space="preserve"> S, </w:t>
          </w:r>
          <w:proofErr w:type="spellStart"/>
          <w:r w:rsidRPr="007068B1">
            <w:rPr>
              <w:rFonts w:ascii="Calibri" w:eastAsia="Times New Roman" w:hAnsi="Calibri" w:cs="Calibri"/>
              <w:color w:val="000000"/>
            </w:rPr>
            <w:t>Rittmann</w:t>
          </w:r>
          <w:proofErr w:type="spellEnd"/>
          <w:r w:rsidRPr="007068B1">
            <w:rPr>
              <w:rFonts w:ascii="Calibri" w:eastAsia="Times New Roman" w:hAnsi="Calibri" w:cs="Calibri"/>
              <w:color w:val="000000"/>
            </w:rPr>
            <w:t xml:space="preserve"> B. </w:t>
          </w:r>
          <w:proofErr w:type="spellStart"/>
          <w:r w:rsidRPr="007068B1">
            <w:rPr>
              <w:rFonts w:ascii="Calibri" w:eastAsia="Times New Roman" w:hAnsi="Calibri" w:cs="Calibri"/>
              <w:color w:val="000000"/>
            </w:rPr>
            <w:t>Linezolid</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and</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tedizolid</w:t>
          </w:r>
          <w:proofErr w:type="spellEnd"/>
          <w:r w:rsidRPr="007068B1">
            <w:rPr>
              <w:rFonts w:ascii="Calibri" w:eastAsia="Times New Roman" w:hAnsi="Calibri" w:cs="Calibri"/>
              <w:color w:val="000000"/>
            </w:rPr>
            <w:t xml:space="preserve"> adverse </w:t>
          </w:r>
          <w:proofErr w:type="spellStart"/>
          <w:r w:rsidRPr="007068B1">
            <w:rPr>
              <w:rFonts w:ascii="Calibri" w:eastAsia="Times New Roman" w:hAnsi="Calibri" w:cs="Calibri"/>
              <w:color w:val="000000"/>
            </w:rPr>
            <w:t>effects</w:t>
          </w:r>
          <w:proofErr w:type="spellEnd"/>
          <w:r w:rsidRPr="007068B1">
            <w:rPr>
              <w:rFonts w:ascii="Calibri" w:eastAsia="Times New Roman" w:hAnsi="Calibri" w:cs="Calibri"/>
              <w:color w:val="000000"/>
            </w:rPr>
            <w:t xml:space="preserve">: a review </w:t>
          </w:r>
          <w:proofErr w:type="spellStart"/>
          <w:r w:rsidRPr="007068B1">
            <w:rPr>
              <w:rFonts w:ascii="Calibri" w:eastAsia="Times New Roman" w:hAnsi="Calibri" w:cs="Calibri"/>
              <w:color w:val="000000"/>
            </w:rPr>
            <w:t>on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serotonin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syndrome</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myelosuppression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neuropathies</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and</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lactic</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acidosis</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Antimicrobial</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Stewardship</w:t>
          </w:r>
          <w:proofErr w:type="spellEnd"/>
          <w:r w:rsidRPr="007068B1">
            <w:rPr>
              <w:rFonts w:ascii="Calibri" w:eastAsia="Times New Roman" w:hAnsi="Calibri" w:cs="Calibri"/>
              <w:color w:val="000000"/>
            </w:rPr>
            <w:t xml:space="preserve"> &amp; Healthcare </w:t>
          </w:r>
          <w:proofErr w:type="spellStart"/>
          <w:r w:rsidRPr="007068B1">
            <w:rPr>
              <w:rFonts w:ascii="Calibri" w:eastAsia="Times New Roman" w:hAnsi="Calibri" w:cs="Calibri"/>
              <w:color w:val="000000"/>
            </w:rPr>
            <w:t>Epidemiology</w:t>
          </w:r>
          <w:proofErr w:type="spellEnd"/>
          <w:r w:rsidRPr="007068B1">
            <w:rPr>
              <w:rFonts w:ascii="Calibri" w:eastAsia="Times New Roman" w:hAnsi="Calibri" w:cs="Calibri"/>
              <w:color w:val="000000"/>
            </w:rPr>
            <w:t>. 2025 Jan 27;5(1):e20. doi:10.1017/ash.2024.487</w:t>
          </w:r>
        </w:p>
        <w:p w14:paraId="2C518CD0" w14:textId="77777777" w:rsidR="007068B1" w:rsidRPr="007068B1" w:rsidRDefault="007068B1">
          <w:pPr>
            <w:autoSpaceDE w:val="0"/>
            <w:autoSpaceDN w:val="0"/>
            <w:ind w:hanging="640"/>
            <w:divId w:val="1820727633"/>
            <w:rPr>
              <w:rFonts w:ascii="Calibri" w:eastAsia="Times New Roman" w:hAnsi="Calibri" w:cs="Calibri"/>
              <w:color w:val="000000"/>
            </w:rPr>
          </w:pPr>
          <w:r w:rsidRPr="007068B1">
            <w:rPr>
              <w:rFonts w:ascii="Calibri" w:eastAsia="Times New Roman" w:hAnsi="Calibri" w:cs="Calibri"/>
              <w:color w:val="000000"/>
            </w:rPr>
            <w:t>7.</w:t>
          </w:r>
          <w:r w:rsidRPr="007068B1">
            <w:rPr>
              <w:rFonts w:ascii="Calibri" w:eastAsia="Times New Roman" w:hAnsi="Calibri" w:cs="Calibri"/>
              <w:color w:val="000000"/>
            </w:rPr>
            <w:tab/>
          </w:r>
          <w:proofErr w:type="spellStart"/>
          <w:r w:rsidRPr="007068B1">
            <w:rPr>
              <w:rFonts w:ascii="Calibri" w:eastAsia="Times New Roman" w:hAnsi="Calibri" w:cs="Calibri"/>
              <w:color w:val="000000"/>
            </w:rPr>
            <w:t>Viaggi</w:t>
          </w:r>
          <w:proofErr w:type="spellEnd"/>
          <w:r w:rsidRPr="007068B1">
            <w:rPr>
              <w:rFonts w:ascii="Calibri" w:eastAsia="Times New Roman" w:hAnsi="Calibri" w:cs="Calibri"/>
              <w:color w:val="000000"/>
            </w:rPr>
            <w:t xml:space="preserve"> B, </w:t>
          </w:r>
          <w:proofErr w:type="spellStart"/>
          <w:r w:rsidRPr="007068B1">
            <w:rPr>
              <w:rFonts w:ascii="Calibri" w:eastAsia="Times New Roman" w:hAnsi="Calibri" w:cs="Calibri"/>
              <w:color w:val="000000"/>
            </w:rPr>
            <w:t>Cangialosi</w:t>
          </w:r>
          <w:proofErr w:type="spellEnd"/>
          <w:r w:rsidRPr="007068B1">
            <w:rPr>
              <w:rFonts w:ascii="Calibri" w:eastAsia="Times New Roman" w:hAnsi="Calibri" w:cs="Calibri"/>
              <w:color w:val="000000"/>
            </w:rPr>
            <w:t xml:space="preserve"> A, </w:t>
          </w:r>
          <w:proofErr w:type="spellStart"/>
          <w:r w:rsidRPr="007068B1">
            <w:rPr>
              <w:rFonts w:ascii="Calibri" w:eastAsia="Times New Roman" w:hAnsi="Calibri" w:cs="Calibri"/>
              <w:color w:val="000000"/>
            </w:rPr>
            <w:t>Langer</w:t>
          </w:r>
          <w:proofErr w:type="spellEnd"/>
          <w:r w:rsidRPr="007068B1">
            <w:rPr>
              <w:rFonts w:ascii="Calibri" w:eastAsia="Times New Roman" w:hAnsi="Calibri" w:cs="Calibri"/>
              <w:color w:val="000000"/>
            </w:rPr>
            <w:t xml:space="preserve"> M, Olivieri C, </w:t>
          </w:r>
          <w:proofErr w:type="spellStart"/>
          <w:r w:rsidRPr="007068B1">
            <w:rPr>
              <w:rFonts w:ascii="Calibri" w:eastAsia="Times New Roman" w:hAnsi="Calibri" w:cs="Calibri"/>
              <w:color w:val="000000"/>
            </w:rPr>
            <w:t>Gori</w:t>
          </w:r>
          <w:proofErr w:type="spellEnd"/>
          <w:r w:rsidRPr="007068B1">
            <w:rPr>
              <w:rFonts w:ascii="Calibri" w:eastAsia="Times New Roman" w:hAnsi="Calibri" w:cs="Calibri"/>
              <w:color w:val="000000"/>
            </w:rPr>
            <w:t xml:space="preserve"> A, Corona A, et al. </w:t>
          </w:r>
          <w:proofErr w:type="spellStart"/>
          <w:r w:rsidRPr="007068B1">
            <w:rPr>
              <w:rFonts w:ascii="Calibri" w:eastAsia="Times New Roman" w:hAnsi="Calibri" w:cs="Calibri"/>
              <w:color w:val="000000"/>
            </w:rPr>
            <w:t>Tissue</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Penetration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of</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Antimicrobials</w:t>
          </w:r>
          <w:proofErr w:type="spellEnd"/>
          <w:r w:rsidRPr="007068B1">
            <w:rPr>
              <w:rFonts w:ascii="Calibri" w:eastAsia="Times New Roman" w:hAnsi="Calibri" w:cs="Calibri"/>
              <w:color w:val="000000"/>
            </w:rPr>
            <w:t xml:space="preserve"> in </w:t>
          </w:r>
          <w:proofErr w:type="spellStart"/>
          <w:r w:rsidRPr="007068B1">
            <w:rPr>
              <w:rFonts w:ascii="Calibri" w:eastAsia="Times New Roman" w:hAnsi="Calibri" w:cs="Calibri"/>
              <w:color w:val="000000"/>
            </w:rPr>
            <w:t>Intensive</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Care</w:t>
          </w:r>
          <w:proofErr w:type="spellEnd"/>
          <w:r w:rsidRPr="007068B1">
            <w:rPr>
              <w:rFonts w:ascii="Calibri" w:eastAsia="Times New Roman" w:hAnsi="Calibri" w:cs="Calibri"/>
              <w:color w:val="000000"/>
            </w:rPr>
            <w:t xml:space="preserve"> Unit </w:t>
          </w:r>
          <w:proofErr w:type="spellStart"/>
          <w:r w:rsidRPr="007068B1">
            <w:rPr>
              <w:rFonts w:ascii="Calibri" w:eastAsia="Times New Roman" w:hAnsi="Calibri" w:cs="Calibri"/>
              <w:color w:val="000000"/>
            </w:rPr>
            <w:t>Patients</w:t>
          </w:r>
          <w:proofErr w:type="spellEnd"/>
          <w:r w:rsidRPr="007068B1">
            <w:rPr>
              <w:rFonts w:ascii="Calibri" w:eastAsia="Times New Roman" w:hAnsi="Calibri" w:cs="Calibri"/>
              <w:color w:val="000000"/>
            </w:rPr>
            <w:t xml:space="preserve">: A </w:t>
          </w:r>
          <w:proofErr w:type="spellStart"/>
          <w:r w:rsidRPr="007068B1">
            <w:rPr>
              <w:rFonts w:ascii="Calibri" w:eastAsia="Times New Roman" w:hAnsi="Calibri" w:cs="Calibri"/>
              <w:color w:val="000000"/>
            </w:rPr>
            <w:t>Systematic</w:t>
          </w:r>
          <w:proofErr w:type="spellEnd"/>
          <w:r w:rsidRPr="007068B1">
            <w:rPr>
              <w:rFonts w:ascii="Calibri" w:eastAsia="Times New Roman" w:hAnsi="Calibri" w:cs="Calibri"/>
              <w:color w:val="000000"/>
            </w:rPr>
            <w:t xml:space="preserve"> Review—Part II. </w:t>
          </w:r>
          <w:proofErr w:type="spellStart"/>
          <w:r w:rsidRPr="007068B1">
            <w:rPr>
              <w:rFonts w:ascii="Calibri" w:eastAsia="Times New Roman" w:hAnsi="Calibri" w:cs="Calibri"/>
              <w:color w:val="000000"/>
            </w:rPr>
            <w:t>Antibiotics</w:t>
          </w:r>
          <w:proofErr w:type="spellEnd"/>
          <w:r w:rsidRPr="007068B1">
            <w:rPr>
              <w:rFonts w:ascii="Calibri" w:eastAsia="Times New Roman" w:hAnsi="Calibri" w:cs="Calibri"/>
              <w:color w:val="000000"/>
            </w:rPr>
            <w:t xml:space="preserve">. 2022 </w:t>
          </w:r>
          <w:proofErr w:type="spellStart"/>
          <w:r w:rsidRPr="007068B1">
            <w:rPr>
              <w:rFonts w:ascii="Calibri" w:eastAsia="Times New Roman" w:hAnsi="Calibri" w:cs="Calibri"/>
              <w:color w:val="000000"/>
            </w:rPr>
            <w:t>Sep</w:t>
          </w:r>
          <w:proofErr w:type="spellEnd"/>
          <w:r w:rsidRPr="007068B1">
            <w:rPr>
              <w:rFonts w:ascii="Calibri" w:eastAsia="Times New Roman" w:hAnsi="Calibri" w:cs="Calibri"/>
              <w:color w:val="000000"/>
            </w:rPr>
            <w:t xml:space="preserve"> 3;11(9):1193. doi:10.3390/antibiotics11091193</w:t>
          </w:r>
        </w:p>
        <w:p w14:paraId="4F93C4EE" w14:textId="77777777" w:rsidR="007068B1" w:rsidRPr="007068B1" w:rsidRDefault="007068B1">
          <w:pPr>
            <w:autoSpaceDE w:val="0"/>
            <w:autoSpaceDN w:val="0"/>
            <w:ind w:hanging="640"/>
            <w:divId w:val="1131940144"/>
            <w:rPr>
              <w:rFonts w:ascii="Calibri" w:eastAsia="Times New Roman" w:hAnsi="Calibri" w:cs="Calibri"/>
              <w:color w:val="000000"/>
            </w:rPr>
          </w:pPr>
          <w:r w:rsidRPr="007068B1">
            <w:rPr>
              <w:rFonts w:ascii="Calibri" w:eastAsia="Times New Roman" w:hAnsi="Calibri" w:cs="Calibri"/>
              <w:color w:val="000000"/>
            </w:rPr>
            <w:lastRenderedPageBreak/>
            <w:t>8.</w:t>
          </w:r>
          <w:r w:rsidRPr="007068B1">
            <w:rPr>
              <w:rFonts w:ascii="Calibri" w:eastAsia="Times New Roman" w:hAnsi="Calibri" w:cs="Calibri"/>
              <w:color w:val="000000"/>
            </w:rPr>
            <w:tab/>
            <w:t xml:space="preserve">AYSERT-YILDIZ P, ÖZGEN-TOP Ö, ŞENTÜRK AF, KANIK S, ÖZGER HS, DİZBAY M. </w:t>
          </w:r>
          <w:proofErr w:type="spellStart"/>
          <w:r w:rsidRPr="007068B1">
            <w:rPr>
              <w:rFonts w:ascii="Calibri" w:eastAsia="Times New Roman" w:hAnsi="Calibri" w:cs="Calibri"/>
              <w:color w:val="000000"/>
            </w:rPr>
            <w:t>Polymyxin</w:t>
          </w:r>
          <w:proofErr w:type="spellEnd"/>
          <w:r w:rsidRPr="007068B1">
            <w:rPr>
              <w:rFonts w:ascii="Calibri" w:eastAsia="Times New Roman" w:hAnsi="Calibri" w:cs="Calibri"/>
              <w:color w:val="000000"/>
            </w:rPr>
            <w:t xml:space="preserve"> B vs. </w:t>
          </w:r>
          <w:proofErr w:type="spellStart"/>
          <w:r w:rsidRPr="007068B1">
            <w:rPr>
              <w:rFonts w:ascii="Calibri" w:eastAsia="Times New Roman" w:hAnsi="Calibri" w:cs="Calibri"/>
              <w:color w:val="000000"/>
            </w:rPr>
            <w:t>colistin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the</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comparison</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of</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neurotoxic</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and</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nephrotoxic</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effects</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of</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the</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two</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polymyxins</w:t>
          </w:r>
          <w:proofErr w:type="spellEnd"/>
          <w:r w:rsidRPr="007068B1">
            <w:rPr>
              <w:rFonts w:ascii="Calibri" w:eastAsia="Times New Roman" w:hAnsi="Calibri" w:cs="Calibri"/>
              <w:color w:val="000000"/>
            </w:rPr>
            <w:t xml:space="preserve">. BMC </w:t>
          </w:r>
          <w:proofErr w:type="spellStart"/>
          <w:r w:rsidRPr="007068B1">
            <w:rPr>
              <w:rFonts w:ascii="Calibri" w:eastAsia="Times New Roman" w:hAnsi="Calibri" w:cs="Calibri"/>
              <w:color w:val="000000"/>
            </w:rPr>
            <w:t>Infect</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Dis</w:t>
          </w:r>
          <w:proofErr w:type="spellEnd"/>
          <w:r w:rsidRPr="007068B1">
            <w:rPr>
              <w:rFonts w:ascii="Calibri" w:eastAsia="Times New Roman" w:hAnsi="Calibri" w:cs="Calibri"/>
              <w:color w:val="000000"/>
            </w:rPr>
            <w:t xml:space="preserve">. 2024 </w:t>
          </w:r>
          <w:proofErr w:type="spellStart"/>
          <w:r w:rsidRPr="007068B1">
            <w:rPr>
              <w:rFonts w:ascii="Calibri" w:eastAsia="Times New Roman" w:hAnsi="Calibri" w:cs="Calibri"/>
              <w:color w:val="000000"/>
            </w:rPr>
            <w:t>Aug</w:t>
          </w:r>
          <w:proofErr w:type="spellEnd"/>
          <w:r w:rsidRPr="007068B1">
            <w:rPr>
              <w:rFonts w:ascii="Calibri" w:eastAsia="Times New Roman" w:hAnsi="Calibri" w:cs="Calibri"/>
              <w:color w:val="000000"/>
            </w:rPr>
            <w:t xml:space="preserve"> 26;24(1):862. doi:10.1186/s12879-024-09759-2</w:t>
          </w:r>
        </w:p>
        <w:p w14:paraId="72F6AF3B" w14:textId="77777777" w:rsidR="007068B1" w:rsidRPr="007068B1" w:rsidRDefault="007068B1">
          <w:pPr>
            <w:autoSpaceDE w:val="0"/>
            <w:autoSpaceDN w:val="0"/>
            <w:ind w:hanging="640"/>
            <w:divId w:val="134109618"/>
            <w:rPr>
              <w:rFonts w:ascii="Calibri" w:eastAsia="Times New Roman" w:hAnsi="Calibri" w:cs="Calibri"/>
              <w:color w:val="000000"/>
            </w:rPr>
          </w:pPr>
          <w:r w:rsidRPr="007068B1">
            <w:rPr>
              <w:rFonts w:ascii="Calibri" w:eastAsia="Times New Roman" w:hAnsi="Calibri" w:cs="Calibri"/>
              <w:color w:val="000000"/>
            </w:rPr>
            <w:t>9.</w:t>
          </w:r>
          <w:r w:rsidRPr="007068B1">
            <w:rPr>
              <w:rFonts w:ascii="Calibri" w:eastAsia="Times New Roman" w:hAnsi="Calibri" w:cs="Calibri"/>
              <w:color w:val="000000"/>
            </w:rPr>
            <w:tab/>
          </w:r>
          <w:proofErr w:type="spellStart"/>
          <w:r w:rsidRPr="007068B1">
            <w:rPr>
              <w:rFonts w:ascii="Calibri" w:eastAsia="Times New Roman" w:hAnsi="Calibri" w:cs="Calibri"/>
              <w:color w:val="000000"/>
            </w:rPr>
            <w:t>Wiley</w:t>
          </w:r>
          <w:proofErr w:type="spellEnd"/>
          <w:r w:rsidRPr="007068B1">
            <w:rPr>
              <w:rFonts w:ascii="Calibri" w:eastAsia="Times New Roman" w:hAnsi="Calibri" w:cs="Calibri"/>
              <w:color w:val="000000"/>
            </w:rPr>
            <w:t xml:space="preserve"> MB, Bennett KK, </w:t>
          </w:r>
          <w:proofErr w:type="spellStart"/>
          <w:r w:rsidRPr="007068B1">
            <w:rPr>
              <w:rFonts w:ascii="Calibri" w:eastAsia="Times New Roman" w:hAnsi="Calibri" w:cs="Calibri"/>
              <w:color w:val="000000"/>
            </w:rPr>
            <w:t>Siegrist</w:t>
          </w:r>
          <w:proofErr w:type="spellEnd"/>
          <w:r w:rsidRPr="007068B1">
            <w:rPr>
              <w:rFonts w:ascii="Calibri" w:eastAsia="Times New Roman" w:hAnsi="Calibri" w:cs="Calibri"/>
              <w:color w:val="000000"/>
            </w:rPr>
            <w:t xml:space="preserve"> EA, </w:t>
          </w:r>
          <w:proofErr w:type="spellStart"/>
          <w:r w:rsidRPr="007068B1">
            <w:rPr>
              <w:rFonts w:ascii="Calibri" w:eastAsia="Times New Roman" w:hAnsi="Calibri" w:cs="Calibri"/>
              <w:color w:val="000000"/>
            </w:rPr>
            <w:t>Neely</w:t>
          </w:r>
          <w:proofErr w:type="spellEnd"/>
          <w:r w:rsidRPr="007068B1">
            <w:rPr>
              <w:rFonts w:ascii="Calibri" w:eastAsia="Times New Roman" w:hAnsi="Calibri" w:cs="Calibri"/>
              <w:color w:val="000000"/>
            </w:rPr>
            <w:t xml:space="preserve"> SB, </w:t>
          </w:r>
          <w:proofErr w:type="spellStart"/>
          <w:r w:rsidRPr="007068B1">
            <w:rPr>
              <w:rFonts w:ascii="Calibri" w:eastAsia="Times New Roman" w:hAnsi="Calibri" w:cs="Calibri"/>
              <w:color w:val="000000"/>
            </w:rPr>
            <w:t>Sassine</w:t>
          </w:r>
          <w:proofErr w:type="spellEnd"/>
          <w:r w:rsidRPr="007068B1">
            <w:rPr>
              <w:rFonts w:ascii="Calibri" w:eastAsia="Times New Roman" w:hAnsi="Calibri" w:cs="Calibri"/>
              <w:color w:val="000000"/>
            </w:rPr>
            <w:t xml:space="preserve"> J, White BP. </w:t>
          </w:r>
          <w:proofErr w:type="spellStart"/>
          <w:r w:rsidRPr="007068B1">
            <w:rPr>
              <w:rFonts w:ascii="Calibri" w:eastAsia="Times New Roman" w:hAnsi="Calibri" w:cs="Calibri"/>
              <w:color w:val="000000"/>
            </w:rPr>
            <w:t>Incidence</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and</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risk</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factors</w:t>
          </w:r>
          <w:proofErr w:type="spellEnd"/>
          <w:r w:rsidRPr="007068B1">
            <w:rPr>
              <w:rFonts w:ascii="Calibri" w:eastAsia="Times New Roman" w:hAnsi="Calibri" w:cs="Calibri"/>
              <w:color w:val="000000"/>
            </w:rPr>
            <w:t xml:space="preserve"> for </w:t>
          </w:r>
          <w:proofErr w:type="spellStart"/>
          <w:r w:rsidRPr="007068B1">
            <w:rPr>
              <w:rFonts w:ascii="Calibri" w:eastAsia="Times New Roman" w:hAnsi="Calibri" w:cs="Calibri"/>
              <w:color w:val="000000"/>
            </w:rPr>
            <w:t>musculoskeletal</w:t>
          </w:r>
          <w:proofErr w:type="spellEnd"/>
          <w:r w:rsidRPr="007068B1">
            <w:rPr>
              <w:rFonts w:ascii="Calibri" w:eastAsia="Times New Roman" w:hAnsi="Calibri" w:cs="Calibri"/>
              <w:color w:val="000000"/>
            </w:rPr>
            <w:t xml:space="preserve"> adverse </w:t>
          </w:r>
          <w:proofErr w:type="spellStart"/>
          <w:r w:rsidRPr="007068B1">
            <w:rPr>
              <w:rFonts w:ascii="Calibri" w:eastAsia="Times New Roman" w:hAnsi="Calibri" w:cs="Calibri"/>
              <w:color w:val="000000"/>
            </w:rPr>
            <w:t>effects</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associated</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with</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daptomycin</w:t>
          </w:r>
          <w:proofErr w:type="spellEnd"/>
          <w:r w:rsidRPr="007068B1">
            <w:rPr>
              <w:rFonts w:ascii="Calibri" w:eastAsia="Times New Roman" w:hAnsi="Calibri" w:cs="Calibri"/>
              <w:color w:val="000000"/>
            </w:rPr>
            <w:t xml:space="preserve"> in </w:t>
          </w:r>
          <w:proofErr w:type="spellStart"/>
          <w:r w:rsidRPr="007068B1">
            <w:rPr>
              <w:rFonts w:ascii="Calibri" w:eastAsia="Times New Roman" w:hAnsi="Calibri" w:cs="Calibri"/>
              <w:color w:val="000000"/>
            </w:rPr>
            <w:t>patients</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receiving</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outpatient</w:t>
          </w:r>
          <w:proofErr w:type="spellEnd"/>
          <w:r w:rsidRPr="007068B1">
            <w:rPr>
              <w:rFonts w:ascii="Calibri" w:eastAsia="Times New Roman" w:hAnsi="Calibri" w:cs="Calibri"/>
              <w:color w:val="000000"/>
            </w:rPr>
            <w:t xml:space="preserve"> parenteral </w:t>
          </w:r>
          <w:proofErr w:type="spellStart"/>
          <w:r w:rsidRPr="007068B1">
            <w:rPr>
              <w:rFonts w:ascii="Calibri" w:eastAsia="Times New Roman" w:hAnsi="Calibri" w:cs="Calibri"/>
              <w:color w:val="000000"/>
            </w:rPr>
            <w:t>antimicrobial</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therapy</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Antimicrobial</w:t>
          </w:r>
          <w:proofErr w:type="spellEnd"/>
          <w:r w:rsidRPr="007068B1">
            <w:rPr>
              <w:rFonts w:ascii="Calibri" w:eastAsia="Times New Roman" w:hAnsi="Calibri" w:cs="Calibri"/>
              <w:color w:val="000000"/>
            </w:rPr>
            <w:t xml:space="preserve"> </w:t>
          </w:r>
          <w:proofErr w:type="spellStart"/>
          <w:r w:rsidRPr="007068B1">
            <w:rPr>
              <w:rFonts w:ascii="Calibri" w:eastAsia="Times New Roman" w:hAnsi="Calibri" w:cs="Calibri"/>
              <w:color w:val="000000"/>
            </w:rPr>
            <w:t>Stewardship</w:t>
          </w:r>
          <w:proofErr w:type="spellEnd"/>
          <w:r w:rsidRPr="007068B1">
            <w:rPr>
              <w:rFonts w:ascii="Calibri" w:eastAsia="Times New Roman" w:hAnsi="Calibri" w:cs="Calibri"/>
              <w:color w:val="000000"/>
            </w:rPr>
            <w:t xml:space="preserve"> &amp; Healthcare </w:t>
          </w:r>
          <w:proofErr w:type="spellStart"/>
          <w:r w:rsidRPr="007068B1">
            <w:rPr>
              <w:rFonts w:ascii="Calibri" w:eastAsia="Times New Roman" w:hAnsi="Calibri" w:cs="Calibri"/>
              <w:color w:val="000000"/>
            </w:rPr>
            <w:t>Epidemiology</w:t>
          </w:r>
          <w:proofErr w:type="spellEnd"/>
          <w:r w:rsidRPr="007068B1">
            <w:rPr>
              <w:rFonts w:ascii="Calibri" w:eastAsia="Times New Roman" w:hAnsi="Calibri" w:cs="Calibri"/>
              <w:color w:val="000000"/>
            </w:rPr>
            <w:t>. 2025 Jul 31;5(1):e169. doi:10.1017/ash.2025.10087</w:t>
          </w:r>
        </w:p>
        <w:p w14:paraId="52FCE98A" w14:textId="7CAD634A" w:rsidR="00775D1C" w:rsidRDefault="007068B1">
          <w:r w:rsidRPr="007068B1">
            <w:rPr>
              <w:rFonts w:ascii="Calibri" w:eastAsia="Times New Roman" w:hAnsi="Calibri" w:cs="Calibri"/>
              <w:color w:val="000000"/>
            </w:rPr>
            <w:t> </w:t>
          </w:r>
        </w:p>
      </w:sdtContent>
    </w:sdt>
    <w:p w14:paraId="7F9EF078" w14:textId="77777777" w:rsidR="007068B1" w:rsidRDefault="007068B1"/>
    <w:sectPr w:rsidR="007068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B1"/>
    <w:rsid w:val="007068B1"/>
    <w:rsid w:val="00775D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BCB5"/>
  <w15:chartTrackingRefBased/>
  <w15:docId w15:val="{F4743BDD-100A-42FF-A6A9-8421FFD0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8B1"/>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068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772718">
      <w:bodyDiv w:val="1"/>
      <w:marLeft w:val="0"/>
      <w:marRight w:val="0"/>
      <w:marTop w:val="0"/>
      <w:marBottom w:val="0"/>
      <w:divBdr>
        <w:top w:val="none" w:sz="0" w:space="0" w:color="auto"/>
        <w:left w:val="none" w:sz="0" w:space="0" w:color="auto"/>
        <w:bottom w:val="none" w:sz="0" w:space="0" w:color="auto"/>
        <w:right w:val="none" w:sz="0" w:space="0" w:color="auto"/>
      </w:divBdr>
      <w:divsChild>
        <w:div w:id="1349913494">
          <w:marLeft w:val="640"/>
          <w:marRight w:val="0"/>
          <w:marTop w:val="0"/>
          <w:marBottom w:val="0"/>
          <w:divBdr>
            <w:top w:val="none" w:sz="0" w:space="0" w:color="auto"/>
            <w:left w:val="none" w:sz="0" w:space="0" w:color="auto"/>
            <w:bottom w:val="none" w:sz="0" w:space="0" w:color="auto"/>
            <w:right w:val="none" w:sz="0" w:space="0" w:color="auto"/>
          </w:divBdr>
        </w:div>
        <w:div w:id="54395092">
          <w:marLeft w:val="640"/>
          <w:marRight w:val="0"/>
          <w:marTop w:val="0"/>
          <w:marBottom w:val="0"/>
          <w:divBdr>
            <w:top w:val="none" w:sz="0" w:space="0" w:color="auto"/>
            <w:left w:val="none" w:sz="0" w:space="0" w:color="auto"/>
            <w:bottom w:val="none" w:sz="0" w:space="0" w:color="auto"/>
            <w:right w:val="none" w:sz="0" w:space="0" w:color="auto"/>
          </w:divBdr>
        </w:div>
        <w:div w:id="1116021589">
          <w:marLeft w:val="640"/>
          <w:marRight w:val="0"/>
          <w:marTop w:val="0"/>
          <w:marBottom w:val="0"/>
          <w:divBdr>
            <w:top w:val="none" w:sz="0" w:space="0" w:color="auto"/>
            <w:left w:val="none" w:sz="0" w:space="0" w:color="auto"/>
            <w:bottom w:val="none" w:sz="0" w:space="0" w:color="auto"/>
            <w:right w:val="none" w:sz="0" w:space="0" w:color="auto"/>
          </w:divBdr>
        </w:div>
        <w:div w:id="133452736">
          <w:marLeft w:val="640"/>
          <w:marRight w:val="0"/>
          <w:marTop w:val="0"/>
          <w:marBottom w:val="0"/>
          <w:divBdr>
            <w:top w:val="none" w:sz="0" w:space="0" w:color="auto"/>
            <w:left w:val="none" w:sz="0" w:space="0" w:color="auto"/>
            <w:bottom w:val="none" w:sz="0" w:space="0" w:color="auto"/>
            <w:right w:val="none" w:sz="0" w:space="0" w:color="auto"/>
          </w:divBdr>
        </w:div>
        <w:div w:id="7410755">
          <w:marLeft w:val="640"/>
          <w:marRight w:val="0"/>
          <w:marTop w:val="0"/>
          <w:marBottom w:val="0"/>
          <w:divBdr>
            <w:top w:val="none" w:sz="0" w:space="0" w:color="auto"/>
            <w:left w:val="none" w:sz="0" w:space="0" w:color="auto"/>
            <w:bottom w:val="none" w:sz="0" w:space="0" w:color="auto"/>
            <w:right w:val="none" w:sz="0" w:space="0" w:color="auto"/>
          </w:divBdr>
        </w:div>
        <w:div w:id="1482380644">
          <w:marLeft w:val="640"/>
          <w:marRight w:val="0"/>
          <w:marTop w:val="0"/>
          <w:marBottom w:val="0"/>
          <w:divBdr>
            <w:top w:val="none" w:sz="0" w:space="0" w:color="auto"/>
            <w:left w:val="none" w:sz="0" w:space="0" w:color="auto"/>
            <w:bottom w:val="none" w:sz="0" w:space="0" w:color="auto"/>
            <w:right w:val="none" w:sz="0" w:space="0" w:color="auto"/>
          </w:divBdr>
        </w:div>
        <w:div w:id="1820727633">
          <w:marLeft w:val="640"/>
          <w:marRight w:val="0"/>
          <w:marTop w:val="0"/>
          <w:marBottom w:val="0"/>
          <w:divBdr>
            <w:top w:val="none" w:sz="0" w:space="0" w:color="auto"/>
            <w:left w:val="none" w:sz="0" w:space="0" w:color="auto"/>
            <w:bottom w:val="none" w:sz="0" w:space="0" w:color="auto"/>
            <w:right w:val="none" w:sz="0" w:space="0" w:color="auto"/>
          </w:divBdr>
        </w:div>
        <w:div w:id="1131940144">
          <w:marLeft w:val="640"/>
          <w:marRight w:val="0"/>
          <w:marTop w:val="0"/>
          <w:marBottom w:val="0"/>
          <w:divBdr>
            <w:top w:val="none" w:sz="0" w:space="0" w:color="auto"/>
            <w:left w:val="none" w:sz="0" w:space="0" w:color="auto"/>
            <w:bottom w:val="none" w:sz="0" w:space="0" w:color="auto"/>
            <w:right w:val="none" w:sz="0" w:space="0" w:color="auto"/>
          </w:divBdr>
        </w:div>
        <w:div w:id="13410961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5A98FD20CA4E59B1CEDF91272EB461"/>
        <w:category>
          <w:name w:val="Geral"/>
          <w:gallery w:val="placeholder"/>
        </w:category>
        <w:types>
          <w:type w:val="bbPlcHdr"/>
        </w:types>
        <w:behaviors>
          <w:behavior w:val="content"/>
        </w:behaviors>
        <w:guid w:val="{6E43F65F-52A9-4D8B-BD23-79242D52F5E9}"/>
      </w:docPartPr>
      <w:docPartBody>
        <w:p w:rsidR="00000000" w:rsidRDefault="00E238DD" w:rsidP="00E238DD">
          <w:pPr>
            <w:pStyle w:val="C85A98FD20CA4E59B1CEDF91272EB461"/>
          </w:pPr>
          <w:r w:rsidRPr="002966C9">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675E6063-8B8F-4A3E-A992-59C28678E9C0}"/>
      </w:docPartPr>
      <w:docPartBody>
        <w:p w:rsidR="00000000" w:rsidRDefault="00E238DD">
          <w:r w:rsidRPr="00FC437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DD"/>
    <w:rsid w:val="00E238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E238DD"/>
    <w:rPr>
      <w:color w:val="808080"/>
    </w:rPr>
  </w:style>
  <w:style w:type="paragraph" w:customStyle="1" w:styleId="C85A98FD20CA4E59B1CEDF91272EB461">
    <w:name w:val="C85A98FD20CA4E59B1CEDF91272EB461"/>
    <w:rsid w:val="00E238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C7ABC9-A138-4959-B285-DEADA4529FB9}">
  <we:reference id="wa104382081" version="1.55.1.0" store="en-US" storeType="OMEX"/>
  <we:alternateReferences>
    <we:reference id="WA104382081" version="1.55.1.0" store="" storeType="OMEX"/>
  </we:alternateReferences>
  <we:properties>
    <we:property name="MENDELEY_CITATIONS" value="[{&quot;citationID&quot;:&quot;MENDELEY_CITATION_d7432598-3205-498f-bce7-01a971e8aa13&quot;,&quot;properties&quot;:{&quot;noteIndex&quot;:0},&quot;isEdited&quot;:false,&quot;manualOverride&quot;:{&quot;isManuallyOverridden&quot;:false,&quot;citeprocText&quot;:&quot;(1)&quot;,&quot;manualOverrideText&quot;:&quot;&quot;},&quot;citationTag&quot;:&quot;MENDELEY_CITATION_v3_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9sZCBTcHJpbmcgSGFyYm9yIFBlcnNwZWN0aXZlcyBpbiBNZWRpY2luZSIsImNvbnRhaW5lci10aXRsZS1zaG9ydCI6IkNvbGQgU3ByaW5nIEhhcmIuIFBlcnNwZWN0LiBNZWQuIiwiRE9JIjoiMTAuMTEwMS9jc2hwZXJzcGVjdC5hMDI1MjQ3IiwiSVNTTiI6IjIxNTctMTQyMiIsImlzc3VlZCI6eyJkYXRlLXBhcnRzIjpbWzIwMTYsOF1dfSwicGFnZSI6ImEwMjUyNDciLCJpc3N1ZSI6IjgiLCJ2b2x1bWUiOiI2In0sImlzVGVtcG9yYXJ5IjpmYWxzZX1dfQ==&quot;,&quot;citationItems&quot;:[{&quot;id&quot;:&quot;c443169f-6258-3029-9a2d-9aff36a2522f&quot;,&quot;itemData&quot;:{&quot;type&quot;:&quot;article-journal&quot;,&quot;id&quot;:&quot;c443169f-6258-3029-9a2d-9aff36a2522f&quot;,&quot;title&quot;:&quot;β-Lactams and β-Lactamase Inhibitors: An Overview&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old Spring Harbor Perspectives in Medicine&quot;,&quot;container-title-short&quot;:&quot;Cold Spring Harb. Perspect. Med.&quot;,&quot;DOI&quot;:&quot;10.1101/cshperspect.a025247&quot;,&quot;ISSN&quot;:&quot;2157-1422&quot;,&quot;issued&quot;:{&quot;date-parts&quot;:[[2016,8]]},&quot;page&quot;:&quot;a025247&quot;,&quot;issue&quot;:&quot;8&quot;,&quot;volume&quot;:&quot;6&quot;},&quot;isTemporary&quot;:false}]},{&quot;citationID&quot;:&quot;MENDELEY_CITATION_de559103-9500-46cd-b882-caab3c2ead9a&quot;,&quot;properties&quot;:{&quot;noteIndex&quot;:0},&quot;isEdited&quot;:false,&quot;manualOverride&quot;:{&quot;isManuallyOverridden&quot;:false,&quot;citeprocText&quot;:&quot;(2)&quot;,&quot;manualOverrideText&quot;:&quot;&quot;},&quot;citationTag&quot;:&quot;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&quot;,&quot;citationItems&quot;:[{&quot;id&quot;:&quot;73ed8541-ec07-3bf0-b353-3b593c0e0c1f&quot;,&quot;itemData&quot;:{&quot;type&quot;:&quot;book&quot;,&quot;id&quot;:&quot;73ed8541-ec07-3bf0-b353-3b593c0e0c1f&quot;,&quot;title&quot;:&quot;Basic &amp; clinical pharmacology&quot;,&quot;author&quot;:[{&quot;family&quot;:&quot;Katzung&quot;,&quot;given&quot;:&quot;Bertram G.&quot;,&quot;parse-names&quot;:false,&quot;dropping-particle&quot;:&quot;&quot;,&quot;non-dropping-particle&quot;:&quot;&quot;},{&quot;family&quot;:&quot;Trevor&quot;,&quot;given&quot;:&quot;A. J.&quot;,&quot;parse-names&quot;:false,&quot;dropping-particle&quot;:&quot;&quot;,&quot;non-dropping-particle&quot;:&quot;&quot;}],&quot;editor&quot;:[{&quot;family&quot;:&quot;Katzung&quot;,&quot;given&quot;:&quot;Bertram G.&quot;,&quot;parse-names&quot;:false,&quot;dropping-particle&quot;:&quot;&quot;,&quot;non-dropping-particle&quot;:&quot;&quot;},{&quot;family&quot;:&quot;Trevor&quot;,&quot;given&quot;:&quot;Anthony J.&quot;,&quot;parse-names&quot;:false,&quot;dropping-particle&quot;:&quot;&quot;,&quot;non-dropping-particle&quot;:&quot;&quot;}],&quot;ISBN&quot;:&quot;9780071825054&quot;,&quot;issued&quot;:{&quot;date-parts&quot;:[[2018]]},&quot;publisher-place&quot;:&quot;New York&quot;,&quot;abstract&quot;:&quot;Fourteenth edition. Previous edition: Thirteenth (2015). \&quot;The fourteenth edition of Basic &amp; Clinical Pharmacology continues the extensive use of full-color illustrations and expanded coverage of transporters, pharmacogenomics, and new drugs of all types emphasized in prior editions. In addition, it reflects the major expansion of large-molecule drugs in the pharmacopeia, with numerous new monoclonal antibodies and other biologic agents. Case studies accompany most chapters, and answers to questions posed in the case studies appear at the end of each chapter. The book is designed to provide a comprehensive, authoritative, and readable pharmacology textbook for students in the health sciences. Frequent revision is necessary to keep pace with the rapid changes in pharmacology and therapeutics; the 2-3 year revision cycle of this text is among the shortest in the field, and the availability of an online version provides even greater currency. The book also offers special features that make it a useful reference for house officers and practicing clinicians.\&quot; Preface. SECTION I: BASIC PRINCIPLES Chapter 1: Introduction: The Nature of Drugs &amp; Drug Development &amp; Regulation Chapter 2: Drug Receptors &amp; Pharmacodynamics Chapter 3: Pharmacokinetics &amp; Pharmacodynamics: Rational Dosing &amp; the Time Course of Drug Action Chapter 4: Drug Biotransformation Chapter 5: Pharmacogenomics SECTION II: AUTONOMIC DRUGS Chapter 6: Introduction to Autonomic Pharmacology Chapter 7: Cholinoceptor-Activating &amp; Cholinesterase-Inhibiting Drugs Chapter 8: Cholinoceptor-Blocking Drugs Chapter 9: Adrenoceptor Agonists &amp; Sympathomimetic Drugs Chapter 10: Adrenoceptor Antagonist Drugs SECTION III: CARDIOVASCULAR-RENAL DRUGS Chapter 11: Antihypertensive Agents Chapter 12: Vasodilators &amp; the Treatment of Angina Pectoris Chapter 13: Drugs Used in Heart Failure Chapter 14: Agents Used in Cardiac Arrhythmias Chapter 15: Diuretic Agents SECTION IV: DRUGS WITH IMPORTANT ACTIONS ON SMOOTH MUSCLE Chapter 16: Histamine, Serotonin, &amp; the Ergot Alkaloids Chapter 17: Vasoactive Peptides Chapter 18: The Eicosanoids: Prostaglandins, Thromboxanes, Leukotrienes, &amp; Related Compounds Chapter 19: Nitric Oxide Chapter 20: Drugs Used in Asthma SECTION V: DRUGS THAT ACT IN THE CENTRAL NERVOUS SYSTEM Chapter 21: Introduction to the Pharmacology of CNS Drugs Chapter 22: Sedative-Hypnotic Drugs Chapter 23: The Alcohols Chapter 24: Antiseizure Drugs Chapter 25: General Anesthetics Chapter 26: Local Anesthetics Chapter 27: Skeletal Muscle Relaxants Chapter 28: Pharmacologic Management of Parkinsonism &amp; Other Movement Disorders Chapter 29: Antipsychotic Agents &amp; Lithium Chapter 30: Antidepressant Agents Chapter 31: Opioid Agonists &amp; Antagonists Chapter 32: Drugs of Abuse SECTION VI: DRUGS USED TO TREAT DISEASES OF THE BLOOD, INFLAMMATION, &amp; GOUT Chapter 33: Agents Used in Cytopenias; Hematopoietic Growth Factors Chapter 34: Drugs Used in Disorders of Coagulation Chapter 35: Agents Used in Dyslipidemia Chapter 36: Nonsteroidal Anti-Inflammatory Drugs, Disease-Modifying Antirheumatic Drugs, Nonopioid Analgesics, &amp; Drugs Used in Gout SECTION VII: ENDOCRINE DRUGS Chapter 37: Hypothalamic &amp; Pituitary Hormones Chapter 38: Thyroid &amp; Antithyroid Drugs Chapter 39: Adrenocorticosteroids &amp; Adrenocortical Antagonists Chapter 40: The Gonadal Hormones &amp; Inhibitors Chapter 41: Pancreatic Hormones &amp; Antidiabetic Drugs Chapter 42: Agents That Affect Bone Mineral Homeostasis SECTION VIII: CHEMOTHERAPEUTIC DRUGS Section VIII: Chemotherapeutic Drugs: Introduction Chapter 43: Beta-Lactam &amp; Other Cell Wall- &amp; Membrane-Active Antibiotics Chapter 44: Tetracyclines, Macrolides, Clindamycin, Chloramphenicol, Streptogramins, &amp; Oxazolidinones Chapter 45: Aminoglycosides &amp; Spectinomycin Chapter 46: Sulfonamides, Trimethoprim, &amp; Quinolones Chapter 47: Antimycobacterial Drugs Chapter 48: Antifungal Agents Chapter 49: Antiviral Agents Chapter 50: Miscellaneous Antimicrobial Agents; Disinfectants, Antiseptics, &amp; Sterilants Chapter 51: Clinical Use of Antimicrobial Agents Chapter 52: Antiprotozoal Drugs Chapter 53: Clinical Pharmacology of the Antihelminthic Drugs Chapter 54: Cancer Chemotherapy Chapter 55: Immunopharmacology SECTION IX: TOXICOLOGY Chapter 56: Introduction to Toxicology: Occupational &amp; Environmental Chapter 57: Heavy Metal Intoxication &amp; Chelators Chapter 58: Management of the Poisoned Patient SECTION X: SPECIAL TOPICS Chapter 59: Special Aspects of Perinatal &amp; Pediatric Pharmacology Chapter 60: Special Aspects of Geriatric Pharmacology Chapter 61: Dermatologic Pharmacology Chapter 62: Drugs Used in the Treatment of Gastrointestinal Diseases Chapter 63: Therapeutic &amp; Toxic Potential of Over-the-Counter Agents Chapter 64: Dietary Supplements &amp; Herbal Medications Chapter 65: Rational Prescribing &amp; Prescription Writing Chapter 66: Important Drug Interactions &amp; Their Mechanisms Appendix: Vaccines, Immune Globulins, &amp; Other Complex Biologic Products&quot;,&quot;edition&quot;:&quot;14&quot;,&quot;publisher&quot;:&quot;McGraw-Hill&quot;,&quot;container-title-short&quot;:&quot;&quot;},&quot;isTemporary&quot;:false}]},{&quot;citationID&quot;:&quot;MENDELEY_CITATION_10c01e03-b5b4-45fb-b348-f396504fea8a&quot;,&quot;properties&quot;:{&quot;noteIndex&quot;:0},&quot;isEdited&quot;:false,&quot;manualOverride&quot;:{&quot;isManuallyOverridden&quot;:false,&quot;citeprocText&quot;:&quot;(3)&quot;,&quot;manualOverrideText&quot;:&quot;&quot;},&quot;citationTag&quot;:&quot;MENDELEY_CITATION_v3_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&quot;,&quot;citationItems&quot;:[{&quot;id&quot;:&quot;1e6769e5-77d7-3506-a7bb-993fbb016d3f&quot;,&quot;itemData&quot;:{&quot;type&quot;:&quot;article-journal&quot;,&quot;id&quot;:&quot;1e6769e5-77d7-3506-a7bb-993fbb016d3f&quot;,&quot;title&quot;:&quot;Evaluation of Adverse Events Associated with the Sulfamethoxazole/Trimethoprim Combination Drug&quot;,&quot;author&quot;:[{&quot;family&quot;:&quot;Sagawa&quot;,&quot;given&quot;:&quot;Takaya&quot;,&quot;parse-names&quot;:false,&quot;dropping-particle&quot;:&quot;&quot;,&quot;non-dropping-particle&quot;:&quot;&quot;},{&quot;family&quot;:&quot;Ishida&quot;,&quot;given&quot;:&quot;Tomoaki&quot;,&quot;parse-names&quot;:false,&quot;dropping-particle&quot;:&quot;&quot;,&quot;non-dropping-particle&quot;:&quot;&quot;},{&quot;family&quot;:&quot;Jobu&quot;,&quot;given&quot;:&quot;Kohei&quot;,&quot;parse-names&quot;:false,&quot;dropping-particle&quot;:&quot;&quot;,&quot;non-dropping-particle&quot;:&quot;&quot;},{&quot;family&quot;:&quot;Morisawa&quot;,&quot;given&quot;:&quot;Shumpei&quot;,&quot;parse-names&quot;:false,&quot;dropping-particle&quot;:&quot;&quot;,&quot;non-dropping-particle&quot;:&quot;&quot;},{&quot;family&quot;:&quot;Akagaki&quot;,&quot;given&quot;:&quot;Keita&quot;,&quot;parse-names&quot;:false,&quot;dropping-particle&quot;:&quot;&quot;,&quot;non-dropping-particle&quot;:&quot;&quot;},{&quot;family&quot;:&quot;Kato&quot;,&quot;given&quot;:&quot;Takahiro&quot;,&quot;parse-names&quot;:false,&quot;dropping-particle&quot;:&quot;&quot;,&quot;non-dropping-particle&quot;:&quot;&quot;},{&quot;family&quot;:&quot;Maruyama&quot;,&quot;given&quot;:&quot;Takumi&quot;,&quot;parse-names&quot;:false,&quot;dropping-particle&quot;:&quot;&quot;,&quot;non-dropping-particle&quot;:&quot;&quot;},{&quot;family&quot;:&quot;Yagi&quot;,&quot;given&quot;:&quot;Yusuke&quot;,&quot;parse-names&quot;:false,&quot;dropping-particle&quot;:&quot;&quot;,&quot;non-dropping-particle&quot;:&quot;&quot;},{&quot;family&quot;:&quot;Kihara&quot;,&quot;given&quot;:&quot;Tomomi&quot;,&quot;parse-names&quot;:false,&quot;dropping-particle&quot;:&quot;&quot;,&quot;non-dropping-particle&quot;:&quot;&quot;},{&quot;family&quot;:&quot;Suzuki&quot;,&quot;given&quot;:&quot;Sanae&quot;,&quot;parse-names&quot;:false,&quot;dropping-particle&quot;:&quot;&quot;,&quot;non-dropping-particle&quot;:&quot;&quot;},{&quot;family&quot;:&quot;Endo&quot;,&quot;given&quot;:&quot;Mio&quot;,&quot;parse-names&quot;:false,&quot;dropping-particle&quot;:&quot;&quot;,&quot;non-dropping-particle&quot;:&quot;&quot;},{&quot;family&quot;:&quot;Matsunaga&quot;,&quot;given&quot;:&quot;Nobuaki&quot;,&quot;parse-names&quot;:false,&quot;dropping-particle&quot;:&quot;&quot;,&quot;non-dropping-particle&quot;:&quot;&quot;},{&quot;family&quot;:&quot;Hamada&quot;,&quot;given&quot;:&quot;Yukihiro&quot;,&quot;parse-names&quot;:false,&quot;dropping-particle&quot;:&quot;&quot;,&quot;non-dropping-particle&quot;:&quot;&quot;}],&quot;container-title&quot;:&quot;Journal of Clinical Medicine&quot;,&quot;container-title-short&quot;:&quot;J. Clin. Med.&quot;,&quot;DOI&quot;:&quot;10.3390/jcm14144819&quot;,&quot;ISSN&quot;:&quot;2077-0383&quot;,&quot;issued&quot;:{&quot;date-parts&quot;:[[2025,7,8]]},&quot;page&quot;:&quot;4819&quot;,&quot;abstract&quot;:&quot;&lt;p&gt;Background/Objectives: The combination drug sulfamethoxazole/trimethoprim (ST) is a broad-spectrum antibiotic used against various infections; however, it is associated with several serious adverse events. The ST package inserts contain warnings about these adverse events. However, warnings vary internationally, and specific measures to address ST-related adverse events are unclear. Therefore, we aimed to comprehensively evaluate ST-related adverse events using the Japanese Adverse Drug Event Report (JADER) database and analyze the onset time for each event. Methods: Adverse events due to ST were analyzed using the JADER database between April 2004 and June 2023. The reported odds ratio and 95% confidence interval (95% confidence interval [CI]) were calculated, with a signal detected if the 95% CI lower limit exceeded 1. The Weibull distribution was used to characterize the onset time of adverse events with detected signals. Results: The total number of cases in the JADER database during the study period was 862,952, and the number of adverse events involving ST as a suspected drug was 4203. Adverse events associated with ST include hyperkalemia, syndrome of inappropriate antidiuretic hormone secretion, hematopoietic cytopenia, acute renal failure, hypoglycemia, disseminated intravascular coagulation syndrome, hepatic disorder, and the Stevens–Johnson syndrome/toxic epidermal necrolysis. Conclusions: Weibull analysis indicated an early failure-type onset time for all adverse events, suggesting the need for intensive adverse event monitoring of ST, especially in the first month of use. These findings may support revising drug package inserts in Japan to better reflect the identified risks.&lt;/p&gt;&quot;,&quot;issue&quot;:&quot;14&quot;,&quot;volume&quot;:&quot;14&quot;},&quot;isTemporary&quot;:false}]},{&quot;citationID&quot;:&quot;MENDELEY_CITATION_ccdb2b0e-7d97-4c55-868b-c64156ed6cc6&quot;,&quot;properties&quot;:{&quot;noteIndex&quot;:0},&quot;isEdited&quot;:false,&quot;manualOverride&quot;:{&quot;isManuallyOverridden&quot;:false,&quot;citeprocText&quot;:&quot;(2)&quot;,&quot;manualOverrideText&quot;:&quot;&quot;},&quot;citationTag&quot;:&quot;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&quot;,&quot;citationItems&quot;:[{&quot;id&quot;:&quot;73ed8541-ec07-3bf0-b353-3b593c0e0c1f&quot;,&quot;itemData&quot;:{&quot;type&quot;:&quot;book&quot;,&quot;id&quot;:&quot;73ed8541-ec07-3bf0-b353-3b593c0e0c1f&quot;,&quot;title&quot;:&quot;Basic &amp; clinical pharmacology&quot;,&quot;author&quot;:[{&quot;family&quot;:&quot;Katzung&quot;,&quot;given&quot;:&quot;Bertram G.&quot;,&quot;parse-names&quot;:false,&quot;dropping-particle&quot;:&quot;&quot;,&quot;non-dropping-particle&quot;:&quot;&quot;},{&quot;family&quot;:&quot;Trevor&quot;,&quot;given&quot;:&quot;A. J.&quot;,&quot;parse-names&quot;:false,&quot;dropping-particle&quot;:&quot;&quot;,&quot;non-dropping-particle&quot;:&quot;&quot;}],&quot;editor&quot;:[{&quot;family&quot;:&quot;Katzung&quot;,&quot;given&quot;:&quot;Bertram G.&quot;,&quot;parse-names&quot;:false,&quot;dropping-particle&quot;:&quot;&quot;,&quot;non-dropping-particle&quot;:&quot;&quot;},{&quot;family&quot;:&quot;Trevor&quot;,&quot;given&quot;:&quot;Anthony J.&quot;,&quot;parse-names&quot;:false,&quot;dropping-particle&quot;:&quot;&quot;,&quot;non-dropping-particle&quot;:&quot;&quot;}],&quot;ISBN&quot;:&quot;9780071825054&quot;,&quot;issued&quot;:{&quot;date-parts&quot;:[[2018]]},&quot;publisher-place&quot;:&quot;New York&quot;,&quot;abstract&quot;:&quot;Fourteenth edition. Previous edition: Thirteenth (2015). \&quot;The fourteenth edition of Basic &amp; Clinical Pharmacology continues the extensive use of full-color illustrations and expanded coverage of transporters, pharmacogenomics, and new drugs of all types emphasized in prior editions. In addition, it reflects the major expansion of large-molecule drugs in the pharmacopeia, with numerous new monoclonal antibodies and other biologic agents. Case studies accompany most chapters, and answers to questions posed in the case studies appear at the end of each chapter. The book is designed to provide a comprehensive, authoritative, and readable pharmacology textbook for students in the health sciences. Frequent revision is necessary to keep pace with the rapid changes in pharmacology and therapeutics; the 2-3 year revision cycle of this text is among the shortest in the field, and the availability of an online version provides even greater currency. The book also offers special features that make it a useful reference for house officers and practicing clinicians.\&quot; Preface. SECTION I: BASIC PRINCIPLES Chapter 1: Introduction: The Nature of Drugs &amp; Drug Development &amp; Regulation Chapter 2: Drug Receptors &amp; Pharmacodynamics Chapter 3: Pharmacokinetics &amp; Pharmacodynamics: Rational Dosing &amp; the Time Course of Drug Action Chapter 4: Drug Biotransformation Chapter 5: Pharmacogenomics SECTION II: AUTONOMIC DRUGS Chapter 6: Introduction to Autonomic Pharmacology Chapter 7: Cholinoceptor-Activating &amp; Cholinesterase-Inhibiting Drugs Chapter 8: Cholinoceptor-Blocking Drugs Chapter 9: Adrenoceptor Agonists &amp; Sympathomimetic Drugs Chapter 10: Adrenoceptor Antagonist Drugs SECTION III: CARDIOVASCULAR-RENAL DRUGS Chapter 11: Antihypertensive Agents Chapter 12: Vasodilators &amp; the Treatment of Angina Pectoris Chapter 13: Drugs Used in Heart Failure Chapter 14: Agents Used in Cardiac Arrhythmias Chapter 15: Diuretic Agents SECTION IV: DRUGS WITH IMPORTANT ACTIONS ON SMOOTH MUSCLE Chapter 16: Histamine, Serotonin, &amp; the Ergot Alkaloids Chapter 17: Vasoactive Peptides Chapter 18: The Eicosanoids: Prostaglandins, Thromboxanes, Leukotrienes, &amp; Related Compounds Chapter 19: Nitric Oxide Chapter 20: Drugs Used in Asthma SECTION V: DRUGS THAT ACT IN THE CENTRAL NERVOUS SYSTEM Chapter 21: Introduction to the Pharmacology of CNS Drugs Chapter 22: Sedative-Hypnotic Drugs Chapter 23: The Alcohols Chapter 24: Antiseizure Drugs Chapter 25: General Anesthetics Chapter 26: Local Anesthetics Chapter 27: Skeletal Muscle Relaxants Chapter 28: Pharmacologic Management of Parkinsonism &amp; Other Movement Disorders Chapter 29: Antipsychotic Agents &amp; Lithium Chapter 30: Antidepressant Agents Chapter 31: Opioid Agonists &amp; Antagonists Chapter 32: Drugs of Abuse SECTION VI: DRUGS USED TO TREAT DISEASES OF THE BLOOD, INFLAMMATION, &amp; GOUT Chapter 33: Agents Used in Cytopenias; Hematopoietic Growth Factors Chapter 34: Drugs Used in Disorders of Coagulation Chapter 35: Agents Used in Dyslipidemia Chapter 36: Nonsteroidal Anti-Inflammatory Drugs, Disease-Modifying Antirheumatic Drugs, Nonopioid Analgesics, &amp; Drugs Used in Gout SECTION VII: ENDOCRINE DRUGS Chapter 37: Hypothalamic &amp; Pituitary Hormones Chapter 38: Thyroid &amp; Antithyroid Drugs Chapter 39: Adrenocorticosteroids &amp; Adrenocortical Antagonists Chapter 40: The Gonadal Hormones &amp; Inhibitors Chapter 41: Pancreatic Hormones &amp; Antidiabetic Drugs Chapter 42: Agents That Affect Bone Mineral Homeostasis SECTION VIII: CHEMOTHERAPEUTIC DRUGS Section VIII: Chemotherapeutic Drugs: Introduction Chapter 43: Beta-Lactam &amp; Other Cell Wall- &amp; Membrane-Active Antibiotics Chapter 44: Tetracyclines, Macrolides, Clindamycin, Chloramphenicol, Streptogramins, &amp; Oxazolidinones Chapter 45: Aminoglycosides &amp; Spectinomycin Chapter 46: Sulfonamides, Trimethoprim, &amp; Quinolones Chapter 47: Antimycobacterial Drugs Chapter 48: Antifungal Agents Chapter 49: Antiviral Agents Chapter 50: Miscellaneous Antimicrobial Agents; Disinfectants, Antiseptics, &amp; Sterilants Chapter 51: Clinical Use of Antimicrobial Agents Chapter 52: Antiprotozoal Drugs Chapter 53: Clinical Pharmacology of the Antihelminthic Drugs Chapter 54: Cancer Chemotherapy Chapter 55: Immunopharmacology SECTION IX: TOXICOLOGY Chapter 56: Introduction to Toxicology: Occupational &amp; Environmental Chapter 57: Heavy Metal Intoxication &amp; Chelators Chapter 58: Management of the Poisoned Patient SECTION X: SPECIAL TOPICS Chapter 59: Special Aspects of Perinatal &amp; Pediatric Pharmacology Chapter 60: Special Aspects of Geriatric Pharmacology Chapter 61: Dermatologic Pharmacology Chapter 62: Drugs Used in the Treatment of Gastrointestinal Diseases Chapter 63: Therapeutic &amp; Toxic Potential of Over-the-Counter Agents Chapter 64: Dietary Supplements &amp; Herbal Medications Chapter 65: Rational Prescribing &amp; Prescription Writing Chapter 66: Important Drug Interactions &amp; Their Mechanisms Appendix: Vaccines, Immune Globulins, &amp; Other Complex Biologic Products&quot;,&quot;edition&quot;:&quot;14&quot;,&quot;publisher&quot;:&quot;McGraw-Hill&quot;,&quot;container-title-short&quot;:&quot;&quot;},&quot;isTemporary&quot;:false}]},{&quot;citationID&quot;:&quot;MENDELEY_CITATION_4dceb557-8235-4d42-add8-cc0754410458&quot;,&quot;properties&quot;:{&quot;noteIndex&quot;:0},&quot;isEdited&quot;:false,&quot;manualOverride&quot;:{&quot;isManuallyOverridden&quot;:false,&quot;citeprocText&quot;:&quot;(1)&quot;,&quot;manualOverrideText&quot;:&quot;&quot;},&quot;citationTag&quot;:&quot;MENDELEY_CITATION_v3_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9sZCBTcHJpbmcgSGFyYm9yIFBlcnNwZWN0aXZlcyBpbiBNZWRpY2luZSIsImNvbnRhaW5lci10aXRsZS1zaG9ydCI6IkNvbGQgU3ByaW5nIEhhcmIuIFBlcnNwZWN0LiBNZWQuIiwiRE9JIjoiMTAuMTEwMS9jc2hwZXJzcGVjdC5hMDI1MjQ3IiwiSVNTTiI6IjIxNTctMTQyMiIsImlzc3VlZCI6eyJkYXRlLXBhcnRzIjpbWzIwMTYsOF1dfSwicGFnZSI6ImEwMjUyNDciLCJpc3N1ZSI6IjgiLCJ2b2x1bWUiOiI2In0sImlzVGVtcG9yYXJ5IjpmYWxzZX1dfQ==&quot;,&quot;citationItems&quot;:[{&quot;id&quot;:&quot;c443169f-6258-3029-9a2d-9aff36a2522f&quot;,&quot;itemData&quot;:{&quot;type&quot;:&quot;article-journal&quot;,&quot;id&quot;:&quot;c443169f-6258-3029-9a2d-9aff36a2522f&quot;,&quot;title&quot;:&quot;β-Lactams and β-Lactamase Inhibitors: An Overview&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old Spring Harbor Perspectives in Medicine&quot;,&quot;container-title-short&quot;:&quot;Cold Spring Harb. Perspect. Med.&quot;,&quot;DOI&quot;:&quot;10.1101/cshperspect.a025247&quot;,&quot;ISSN&quot;:&quot;2157-1422&quot;,&quot;issued&quot;:{&quot;date-parts&quot;:[[2016,8]]},&quot;page&quot;:&quot;a025247&quot;,&quot;issue&quot;:&quot;8&quot;,&quot;volume&quot;:&quot;6&quot;},&quot;isTemporary&quot;:false}]},{&quot;citationID&quot;:&quot;MENDELEY_CITATION_886c436a-45c1-4aa7-9999-db8f88bc1aa2&quot;,&quot;properties&quot;:{&quot;noteIndex&quot;:0},&quot;isEdited&quot;:false,&quot;manualOverride&quot;:{&quot;isManuallyOverridden&quot;:false,&quot;citeprocText&quot;:&quot;(4)&quot;,&quot;manualOverrideText&quot;:&quot;&quot;},&quot;citationTag&quot;:&quot;MENDELEY_CITATION_v3_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&quot;,&quot;citationItems&quot;:[{&quot;id&quot;:&quot;8d31b17d-55a3-3735-b977-c5774f3d8a8e&quot;,&quot;itemData&quot;:{&quot;type&quot;:&quot;article-journal&quot;,&quot;id&quot;:&quot;8d31b17d-55a3-3735-b977-c5774f3d8a8e&quot;,&quot;title&quot;:&quot;Safe Penicillin Allergy Delabeling in Primary Care: A Systematic Review and Meta-Analysis&quot;,&quot;author&quot;:[{&quot;family&quot;:&quot;Stul&quot;,&quot;given&quot;:&quot;Florian&quot;,&quot;parse-names&quot;:false,&quot;dropping-particle&quot;:&quot;&quot;,&quot;non-dropping-particle&quot;:&quot;&quot;},{&quot;family&quot;:&quot;Heytens&quot;,&quot;given&quot;:&quot;Stefan&quot;,&quot;parse-names&quot;:false,&quot;dropping-particle&quot;:&quot;&quot;,&quot;non-dropping-particle&quot;:&quot;&quot;},{&quot;family&quot;:&quot;Ebo&quot;,&quot;given&quot;:&quot;Didier Gaston&quot;,&quot;parse-names&quot;:false,&quot;dropping-particle&quot;:&quot;&quot;,&quot;non-dropping-particle&quot;:&quot;&quot;},{&quot;family&quot;:&quot;Sabato&quot;,&quot;given&quot;:&quot;Vito&quot;,&quot;parse-names&quot;:false,&quot;dropping-particle&quot;:&quot;&quot;,&quot;non-dropping-particle&quot;:&quot;&quot;},{&quot;family&quot;:&quot;Piessens&quot;,&quot;given&quot;:&quot;Veerle&quot;,&quot;parse-names&quot;:false,&quot;dropping-particle&quot;:&quot;&quot;,&quot;non-dropping-particle&quot;:&quot;&quot;}],&quot;container-title&quot;:&quot;The Journal of Allergy and Clinical Immunology: In Practice&quot;,&quot;container-title-short&quot;:&quot;J. Allergy Clin. Immunol. Pract.&quot;,&quot;DOI&quot;:&quot;10.1016/j.jaip.2024.06.017&quot;,&quot;ISSN&quot;:&quot;22132198&quot;,&quot;issued&quot;:{&quot;date-parts&quot;:[[2024,9]]},&quot;page&quot;:&quot;2415-2426.e1&quot;,&quot;issue&quot;:&quot;9&quot;,&quot;volume&quot;:&quot;12&quot;},&quot;isTemporary&quot;:false}]},{&quot;citationID&quot;:&quot;MENDELEY_CITATION_228034b1-6c0b-4db1-b9db-043f3e48fa22&quot;,&quot;properties&quot;:{&quot;noteIndex&quot;:0},&quot;isEdited&quot;:false,&quot;manualOverride&quot;:{&quot;isManuallyOverridden&quot;:false,&quot;citeprocText&quot;:&quot;(4,5)&quot;,&quot;manualOverrideText&quot;:&quot;&quot;},&quot;citationTag&quot;:&quot;MENDELEY_CITATION_v3_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&quot;,&quot;citationItems&quot;:[{&quot;id&quot;:&quot;8d31b17d-55a3-3735-b977-c5774f3d8a8e&quot;,&quot;itemData&quot;:{&quot;type&quot;:&quot;article-journal&quot;,&quot;id&quot;:&quot;8d31b17d-55a3-3735-b977-c5774f3d8a8e&quot;,&quot;title&quot;:&quot;Safe Penicillin Allergy Delabeling in Primary Care: A Systematic Review and Meta-Analysis&quot;,&quot;author&quot;:[{&quot;family&quot;:&quot;Stul&quot;,&quot;given&quot;:&quot;Florian&quot;,&quot;parse-names&quot;:false,&quot;dropping-particle&quot;:&quot;&quot;,&quot;non-dropping-particle&quot;:&quot;&quot;},{&quot;family&quot;:&quot;Heytens&quot;,&quot;given&quot;:&quot;Stefan&quot;,&quot;parse-names&quot;:false,&quot;dropping-particle&quot;:&quot;&quot;,&quot;non-dropping-particle&quot;:&quot;&quot;},{&quot;family&quot;:&quot;Ebo&quot;,&quot;given&quot;:&quot;Didier Gaston&quot;,&quot;parse-names&quot;:false,&quot;dropping-particle&quot;:&quot;&quot;,&quot;non-dropping-particle&quot;:&quot;&quot;},{&quot;family&quot;:&quot;Sabato&quot;,&quot;given&quot;:&quot;Vito&quot;,&quot;parse-names&quot;:false,&quot;dropping-particle&quot;:&quot;&quot;,&quot;non-dropping-particle&quot;:&quot;&quot;},{&quot;family&quot;:&quot;Piessens&quot;,&quot;given&quot;:&quot;Veerle&quot;,&quot;parse-names&quot;:false,&quot;dropping-particle&quot;:&quot;&quot;,&quot;non-dropping-particle&quot;:&quot;&quot;}],&quot;container-title&quot;:&quot;The Journal of Allergy and Clinical Immunology: In Practice&quot;,&quot;container-title-short&quot;:&quot;J. Allergy Clin. Immunol. Pract.&quot;,&quot;DOI&quot;:&quot;10.1016/j.jaip.2024.06.017&quot;,&quot;ISSN&quot;:&quot;22132198&quot;,&quot;issued&quot;:{&quot;date-parts&quot;:[[2024,9]]},&quot;page&quot;:&quot;2415-2426.e1&quot;,&quot;issue&quot;:&quot;9&quot;,&quot;volume&quot;:&quot;12&quot;},&quot;isTemporary&quot;:false},{&quot;id&quot;:&quot;efcccd4e-a60b-3ad6-afd6-21658e1c4f0b&quot;,&quot;itemData&quot;:{&quot;type&quot;:&quot;article-journal&quot;,&quot;id&quot;:&quot;efcccd4e-a60b-3ad6-afd6-21658e1c4f0b&quot;,&quot;title&quot;:&quot;The action mechanism of daptomycin&quot;,&quot;author&quot;:[{&quot;family&quot;:&quot;Taylor&quot;,&quot;given&quot;:&quot;Scott D.&quot;,&quot;parse-names&quot;:false,&quot;dropping-particle&quot;:&quot;&quot;,&quot;non-dropping-particle&quot;:&quot;&quot;},{&quot;family&quot;:&quot;Palmer&quot;,&quot;given&quot;:&quot;Michael&quot;,&quot;parse-names&quot;:false,&quot;dropping-particle&quot;:&quot;&quot;,&quot;non-dropping-particle&quot;:&quot;&quot;}],&quot;container-title&quot;:&quot;Bioorganic &amp; Medicinal Chemistry&quot;,&quot;container-title-short&quot;:&quot;Bioorg. Med. Chem.&quot;,&quot;DOI&quot;:&quot;10.1016/j.bmc.2016.05.052&quot;,&quot;ISSN&quot;:&quot;09680896&quot;,&quot;issued&quot;:{&quot;date-parts&quot;:[[2016,12]]},&quot;page&quot;:&quot;6253-6268&quot;,&quot;issue&quot;:&quot;24&quot;,&quot;volume&quot;:&quot;24&quot;},&quot;isTemporary&quot;:false}]},{&quot;citationID&quot;:&quot;MENDELEY_CITATION_9111f0e7-0296-49f6-83d9-5542b7b2b114&quot;,&quot;properties&quot;:{&quot;noteIndex&quot;:0},&quot;isEdited&quot;:false,&quot;manualOverride&quot;:{&quot;isManuallyOverridden&quot;:false,&quot;citeprocText&quot;:&quot;(6)&quot;,&quot;manualOverrideText&quot;:&quot;&quot;},&quot;citationTag&quot;:&quot;MENDELEY_CITATION_v3_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&quot;,&quot;citationItems&quot;:[{&quot;id&quot;:&quot;de571278-c3f1-362d-9304-5bf947e23fd7&quot;,&quot;itemData&quot;:{&quot;type&quot;:&quot;article-journal&quot;,&quot;id&quot;:&quot;de571278-c3f1-362d-9304-5bf947e23fd7&quot;,&quot;title&quot;:&quot;Linezolid and tedizolid adverse effects: a review on serotonin syndrome, myelosuppression, neuropathies, and lactic acidosis&quot;,&quot;author&quot;:[{&quot;family&quot;:&quot;Greenfield&quot;,&quot;given&quot;:&quot;Adam&quot;,&quot;parse-names&quot;:false,&quot;dropping-particle&quot;:&quot;&quot;,&quot;non-dropping-particle&quot;:&quot;&quot;},{&quot;family&quot;:&quot;Deja&quot;,&quot;given&quot;:&quot;Erin&quot;,&quot;parse-names&quot;:false,&quot;dropping-particle&quot;:&quot;&quot;,&quot;non-dropping-particle&quot;:&quot;&quot;},{&quot;family&quot;:&quot;Lee&quot;,&quot;given&quot;:&quot;Kimberly&quot;,&quot;parse-names&quot;:false,&quot;dropping-particle&quot;:&quot;&quot;,&quot;non-dropping-particle&quot;:&quot;&quot;},{&quot;family&quot;:&quot;Sastry&quot;,&quot;given&quot;:&quot;Sangeeta&quot;,&quot;parse-names&quot;:false,&quot;dropping-particle&quot;:&quot;&quot;,&quot;non-dropping-particle&quot;:&quot;&quot;},{&quot;family&quot;:&quot;Rittmann&quot;,&quot;given&quot;:&quot;Barry&quot;,&quot;parse-names&quot;:false,&quot;dropping-particle&quot;:&quot;&quot;,&quot;non-dropping-particle&quot;:&quot;&quot;}],&quot;container-title&quot;:&quot;Antimicrobial Stewardship &amp; Healthcare Epidemiology&quot;,&quot;DOI&quot;:&quot;10.1017/ash.2024.487&quot;,&quot;ISSN&quot;:&quot;2732-494X&quot;,&quot;issued&quot;:{&quot;date-parts&quot;:[[2025,1,27]]},&quot;page&quot;:&quot;e20&quot;,&quot;abstract&quot;:&quot;&lt;p&gt;Oxazolidinone antibiotics—linezolid and tedizolid—are often used to treat multidrug-resistant infections. They are highly bioavailable and ideal for transition to enteral therapy when appropriate. However, multiple associated adverse effects are potentially treatment-limiting. The objective of this review is to discuss relevant adverse effects of linezolid and tedizolid, including serotonin syndrome, myelosuppression, neuropathies, and lactic acidosis, and their commonality in real-world experience in the last decade. Mitigation strategies, including the role of therapeutic drug monitoring, are also discussed.&lt;/p&gt;&quot;,&quot;issue&quot;:&quot;1&quot;,&quot;volume&quot;:&quot;5&quot;,&quot;container-title-short&quot;:&quot;&quot;},&quot;isTemporary&quot;:false}]},{&quot;citationID&quot;:&quot;MENDELEY_CITATION_bf581e76-95ee-4d88-b6d3-cc02f72393fd&quot;,&quot;properties&quot;:{&quot;noteIndex&quot;:0},&quot;isEdited&quot;:false,&quot;manualOverride&quot;:{&quot;isManuallyOverridden&quot;:false,&quot;citeprocText&quot;:&quot;(6)&quot;,&quot;manualOverrideText&quot;:&quot;&quot;},&quot;citationTag&quot;:&quot;MENDELEY_CITATION_v3_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&quot;,&quot;citationItems&quot;:[{&quot;id&quot;:&quot;de571278-c3f1-362d-9304-5bf947e23fd7&quot;,&quot;itemData&quot;:{&quot;type&quot;:&quot;article-journal&quot;,&quot;id&quot;:&quot;de571278-c3f1-362d-9304-5bf947e23fd7&quot;,&quot;title&quot;:&quot;Linezolid and tedizolid adverse effects: a review on serotonin syndrome, myelosuppression, neuropathies, and lactic acidosis&quot;,&quot;author&quot;:[{&quot;family&quot;:&quot;Greenfield&quot;,&quot;given&quot;:&quot;Adam&quot;,&quot;parse-names&quot;:false,&quot;dropping-particle&quot;:&quot;&quot;,&quot;non-dropping-particle&quot;:&quot;&quot;},{&quot;family&quot;:&quot;Deja&quot;,&quot;given&quot;:&quot;Erin&quot;,&quot;parse-names&quot;:false,&quot;dropping-particle&quot;:&quot;&quot;,&quot;non-dropping-particle&quot;:&quot;&quot;},{&quot;family&quot;:&quot;Lee&quot;,&quot;given&quot;:&quot;Kimberly&quot;,&quot;parse-names&quot;:false,&quot;dropping-particle&quot;:&quot;&quot;,&quot;non-dropping-particle&quot;:&quot;&quot;},{&quot;family&quot;:&quot;Sastry&quot;,&quot;given&quot;:&quot;Sangeeta&quot;,&quot;parse-names&quot;:false,&quot;dropping-particle&quot;:&quot;&quot;,&quot;non-dropping-particle&quot;:&quot;&quot;},{&quot;family&quot;:&quot;Rittmann&quot;,&quot;given&quot;:&quot;Barry&quot;,&quot;parse-names&quot;:false,&quot;dropping-particle&quot;:&quot;&quot;,&quot;non-dropping-particle&quot;:&quot;&quot;}],&quot;container-title&quot;:&quot;Antimicrobial Stewardship &amp; Healthcare Epidemiology&quot;,&quot;DOI&quot;:&quot;10.1017/ash.2024.487&quot;,&quot;ISSN&quot;:&quot;2732-494X&quot;,&quot;issued&quot;:{&quot;date-parts&quot;:[[2025,1,27]]},&quot;page&quot;:&quot;e20&quot;,&quot;abstract&quot;:&quot;&lt;p&gt;Oxazolidinone antibiotics—linezolid and tedizolid—are often used to treat multidrug-resistant infections. They are highly bioavailable and ideal for transition to enteral therapy when appropriate. However, multiple associated adverse effects are potentially treatment-limiting. The objective of this review is to discuss relevant adverse effects of linezolid and tedizolid, including serotonin syndrome, myelosuppression, neuropathies, and lactic acidosis, and their commonality in real-world experience in the last decade. Mitigation strategies, including the role of therapeutic drug monitoring, are also discussed.&lt;/p&gt;&quot;,&quot;issue&quot;:&quot;1&quot;,&quot;volume&quot;:&quot;5&quot;,&quot;container-title-short&quot;:&quot;&quot;},&quot;isTemporary&quot;:false}]},{&quot;citationID&quot;:&quot;MENDELEY_CITATION_5055083d-341d-4692-aeb0-6f73f289b217&quot;,&quot;properties&quot;:{&quot;noteIndex&quot;:0},&quot;isEdited&quot;:false,&quot;manualOverride&quot;:{&quot;isManuallyOverridden&quot;:false,&quot;citeprocText&quot;:&quot;(6)&quot;,&quot;manualOverrideText&quot;:&quot;&quot;},&quot;citationTag&quot;:&quot;MENDELEY_CITATION_v3_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&quot;,&quot;citationItems&quot;:[{&quot;id&quot;:&quot;de571278-c3f1-362d-9304-5bf947e23fd7&quot;,&quot;itemData&quot;:{&quot;type&quot;:&quot;article-journal&quot;,&quot;id&quot;:&quot;de571278-c3f1-362d-9304-5bf947e23fd7&quot;,&quot;title&quot;:&quot;Linezolid and tedizolid adverse effects: a review on serotonin syndrome, myelosuppression, neuropathies, and lactic acidosis&quot;,&quot;author&quot;:[{&quot;family&quot;:&quot;Greenfield&quot;,&quot;given&quot;:&quot;Adam&quot;,&quot;parse-names&quot;:false,&quot;dropping-particle&quot;:&quot;&quot;,&quot;non-dropping-particle&quot;:&quot;&quot;},{&quot;family&quot;:&quot;Deja&quot;,&quot;given&quot;:&quot;Erin&quot;,&quot;parse-names&quot;:false,&quot;dropping-particle&quot;:&quot;&quot;,&quot;non-dropping-particle&quot;:&quot;&quot;},{&quot;family&quot;:&quot;Lee&quot;,&quot;given&quot;:&quot;Kimberly&quot;,&quot;parse-names&quot;:false,&quot;dropping-particle&quot;:&quot;&quot;,&quot;non-dropping-particle&quot;:&quot;&quot;},{&quot;family&quot;:&quot;Sastry&quot;,&quot;given&quot;:&quot;Sangeeta&quot;,&quot;parse-names&quot;:false,&quot;dropping-particle&quot;:&quot;&quot;,&quot;non-dropping-particle&quot;:&quot;&quot;},{&quot;family&quot;:&quot;Rittmann&quot;,&quot;given&quot;:&quot;Barry&quot;,&quot;parse-names&quot;:false,&quot;dropping-particle&quot;:&quot;&quot;,&quot;non-dropping-particle&quot;:&quot;&quot;}],&quot;container-title&quot;:&quot;Antimicrobial Stewardship &amp; Healthcare Epidemiology&quot;,&quot;DOI&quot;:&quot;10.1017/ash.2024.487&quot;,&quot;ISSN&quot;:&quot;2732-494X&quot;,&quot;issued&quot;:{&quot;date-parts&quot;:[[2025,1,27]]},&quot;page&quot;:&quot;e20&quot;,&quot;abstract&quot;:&quot;&lt;p&gt;Oxazolidinone antibiotics—linezolid and tedizolid—are often used to treat multidrug-resistant infections. They are highly bioavailable and ideal for transition to enteral therapy when appropriate. However, multiple associated adverse effects are potentially treatment-limiting. The objective of this review is to discuss relevant adverse effects of linezolid and tedizolid, including serotonin syndrome, myelosuppression, neuropathies, and lactic acidosis, and their commonality in real-world experience in the last decade. Mitigation strategies, including the role of therapeutic drug monitoring, are also discussed.&lt;/p&gt;&quot;,&quot;issue&quot;:&quot;1&quot;,&quot;volume&quot;:&quot;5&quot;,&quot;container-title-short&quot;:&quot;&quot;},&quot;isTemporary&quot;:false}]},{&quot;citationID&quot;:&quot;MENDELEY_CITATION_a58e9bb1-7c0e-403e-90d1-b810d027a015&quot;,&quot;properties&quot;:{&quot;noteIndex&quot;:0},&quot;isEdited&quot;:false,&quot;manualOverride&quot;:{&quot;isManuallyOverridden&quot;:false,&quot;citeprocText&quot;:&quot;(6)&quot;,&quot;manualOverrideText&quot;:&quot;&quot;},&quot;citationTag&quot;:&quot;MENDELEY_CITATION_v3_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&quot;,&quot;citationItems&quot;:[{&quot;id&quot;:&quot;de571278-c3f1-362d-9304-5bf947e23fd7&quot;,&quot;itemData&quot;:{&quot;type&quot;:&quot;article-journal&quot;,&quot;id&quot;:&quot;de571278-c3f1-362d-9304-5bf947e23fd7&quot;,&quot;title&quot;:&quot;Linezolid and tedizolid adverse effects: a review on serotonin syndrome, myelosuppression, neuropathies, and lactic acidosis&quot;,&quot;author&quot;:[{&quot;family&quot;:&quot;Greenfield&quot;,&quot;given&quot;:&quot;Adam&quot;,&quot;parse-names&quot;:false,&quot;dropping-particle&quot;:&quot;&quot;,&quot;non-dropping-particle&quot;:&quot;&quot;},{&quot;family&quot;:&quot;Deja&quot;,&quot;given&quot;:&quot;Erin&quot;,&quot;parse-names&quot;:false,&quot;dropping-particle&quot;:&quot;&quot;,&quot;non-dropping-particle&quot;:&quot;&quot;},{&quot;family&quot;:&quot;Lee&quot;,&quot;given&quot;:&quot;Kimberly&quot;,&quot;parse-names&quot;:false,&quot;dropping-particle&quot;:&quot;&quot;,&quot;non-dropping-particle&quot;:&quot;&quot;},{&quot;family&quot;:&quot;Sastry&quot;,&quot;given&quot;:&quot;Sangeeta&quot;,&quot;parse-names&quot;:false,&quot;dropping-particle&quot;:&quot;&quot;,&quot;non-dropping-particle&quot;:&quot;&quot;},{&quot;family&quot;:&quot;Rittmann&quot;,&quot;given&quot;:&quot;Barry&quot;,&quot;parse-names&quot;:false,&quot;dropping-particle&quot;:&quot;&quot;,&quot;non-dropping-particle&quot;:&quot;&quot;}],&quot;container-title&quot;:&quot;Antimicrobial Stewardship &amp; Healthcare Epidemiology&quot;,&quot;DOI&quot;:&quot;10.1017/ash.2024.487&quot;,&quot;ISSN&quot;:&quot;2732-494X&quot;,&quot;issued&quot;:{&quot;date-parts&quot;:[[2025,1,27]]},&quot;page&quot;:&quot;e20&quot;,&quot;abstract&quot;:&quot;&lt;p&gt;Oxazolidinone antibiotics—linezolid and tedizolid—are often used to treat multidrug-resistant infections. They are highly bioavailable and ideal for transition to enteral therapy when appropriate. However, multiple associated adverse effects are potentially treatment-limiting. The objective of this review is to discuss relevant adverse effects of linezolid and tedizolid, including serotonin syndrome, myelosuppression, neuropathies, and lactic acidosis, and their commonality in real-world experience in the last decade. Mitigation strategies, including the role of therapeutic drug monitoring, are also discussed.&lt;/p&gt;&quot;,&quot;issue&quot;:&quot;1&quot;,&quot;volume&quot;:&quot;5&quot;,&quot;container-title-short&quot;:&quot;&quot;},&quot;isTemporary&quot;:false}]},{&quot;citationID&quot;:&quot;MENDELEY_CITATION_e27c7c5f-5aa4-422c-9abb-ebb2e0b53f7d&quot;,&quot;properties&quot;:{&quot;noteIndex&quot;:0},&quot;isEdited&quot;:false,&quot;manualOverride&quot;:{&quot;isManuallyOverridden&quot;:false,&quot;citeprocText&quot;:&quot;(7)&quot;,&quot;manualOverrideText&quot;:&quot;&quot;},&quot;citationTag&quot;:&quot;MENDELEY_CITATION_v3_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&quot;,&quot;citationItems&quot;:[{&quot;id&quot;:&quot;f2d25364-75b8-36b0-bfe7-6bccc0e92f9f&quot;,&quot;itemData&quot;:{&quot;type&quot;:&quot;article-journal&quot;,&quot;id&quot;:&quot;f2d25364-75b8-36b0-bfe7-6bccc0e92f9f&quot;,&quot;title&quot;:&quot;Tissue Penetration of Antimicrobials in Intensive Care Unit Patients: A Systematic Review—Part II&quot;,&quot;author&quot;:[{&quot;family&quot;:&quot;Viaggi&quot;,&quot;given&quot;:&quot;Bruno&quot;,&quot;parse-names&quot;:false,&quot;dropping-particle&quot;:&quot;&quot;,&quot;non-dropping-particle&quot;:&quot;&quot;},{&quot;family&quot;:&quot;Cangialosi&quot;,&quot;given&quot;:&quot;Alice&quot;,&quot;parse-names&quot;:false,&quot;dropping-particle&quot;:&quot;&quot;,&quot;non-dropping-particle&quot;:&quot;&quot;},{&quot;family&quot;:&quot;Langer&quot;,&quot;given&quot;:&quot;Martin&quot;,&quot;parse-names&quot;:false,&quot;dropping-particle&quot;:&quot;&quot;,&quot;non-dropping-particle&quot;:&quot;&quot;},{&quot;family&quot;:&quot;Olivieri&quot;,&quot;given&quot;:&quot;Carlo&quot;,&quot;parse-names&quot;:false,&quot;dropping-particle&quot;:&quot;&quot;,&quot;non-dropping-particle&quot;:&quot;&quot;},{&quot;family&quot;:&quot;Gori&quot;,&quot;given&quot;:&quot;Andrea&quot;,&quot;parse-names&quot;:false,&quot;dropping-particle&quot;:&quot;&quot;,&quot;non-dropping-particle&quot;:&quot;&quot;},{&quot;family&quot;:&quot;Corona&quot;,&quot;given&quot;:&quot;Alberto&quot;,&quot;parse-names&quot;:false,&quot;dropping-particle&quot;:&quot;&quot;,&quot;non-dropping-particle&quot;:&quot;&quot;},{&quot;family&quot;:&quot;Finazzi&quot;,&quot;given&quot;:&quot;Stefa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93&quot;,&quot;ISSN&quot;:&quot;2079-6382&quot;,&quot;issued&quot;:{&quot;date-parts&quot;:[[2022,9,3]]},&quot;page&quot;:&quot;1193&quot;,&quot;abstract&quot;:&quot;&lt;p&gt;In patients that are admitted to intensive care units (ICUs), the clinical outcome of severe infections depends on several factors, as well as the early administration of chemotherapies and comorbidities. Antimicrobials may be used in off-label regimens to maximize the probability of therapeutic concentrations within infected tissues and to prevent the selection of resistant clones. Interestingly, the literature clearly shows that the rate of tissue penetration is variable among antibacterial drugs, and the correlation between plasma and tissue concentrations may be inconstant. The present review harvests data about tissue penetration of antibacterial drugs in ICU patients, limiting the search to those drugs that mainly act as protein synthesis inhibitors and disrupting DNA structure and function. As expected, fluoroquinolones, macrolides, linezolid, and tigecycline have an excellent diffusion into epithelial lining fluid. That high penetration is fundamental for the therapy of ventilator and healthcare-associated pneumonia. Some drugs also display a high penetration rate within cerebrospinal fluid, while other agents diffuse into the skin and soft tissues. Further studies are needed to improve our knowledge about drug tissue penetration, especially in the presence of factors that may affect drug pharmacokinetics.&lt;/p&gt;&quot;,&quot;issue&quot;:&quot;9&quot;,&quot;volume&quot;:&quot;11&quot;,&quot;container-title-short&quot;:&quot;&quot;},&quot;isTemporary&quot;:false}]},{&quot;citationID&quot;:&quot;MENDELEY_CITATION_a8178254-efdb-4d90-a072-795ad9606409&quot;,&quot;properties&quot;:{&quot;noteIndex&quot;:0},&quot;isEdited&quot;:false,&quot;manualOverride&quot;:{&quot;isManuallyOverridden&quot;:false,&quot;citeprocText&quot;:&quot;(8)&quot;,&quot;manualOverrideText&quot;:&quot;&quot;},&quot;citationTag&quot;:&quot;MENDELEY_CITATION_v3_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&quot;,&quot;citationItems&quot;:[{&quot;id&quot;:&quot;c9f75d57-f3fa-3526-a429-b078ecdf7fc9&quot;,&quot;itemData&quot;:{&quot;type&quot;:&quot;article-journal&quot;,&quot;id&quot;:&quot;c9f75d57-f3fa-3526-a429-b078ecdf7fc9&quot;,&quot;title&quot;:&quot;Polymyxin B vs. colistin: the comparison of neurotoxic and nephrotoxic effects of the two polymyxins&quot;,&quot;author&quot;:[{&quot;family&quot;:&quot;AYSERT-YILDIZ&quot;,&quot;given&quot;:&quot;Pınar&quot;,&quot;parse-names&quot;:false,&quot;dropping-particle&quot;:&quot;&quot;,&quot;non-dropping-particle&quot;:&quot;&quot;},{&quot;family&quot;:&quot;ÖZGEN-TOP&quot;,&quot;given&quot;:&quot;Özge&quot;,&quot;parse-names&quot;:false,&quot;dropping-particle&quot;:&quot;&quot;,&quot;non-dropping-particle&quot;:&quot;&quot;},{&quot;family&quot;:&quot;ŞENTÜRK&quot;,&quot;given&quot;:&quot;Ahmet Furkan&quot;,&quot;parse-names&quot;:false,&quot;dropping-particle&quot;:&quot;&quot;,&quot;non-dropping-particle&quot;:&quot;&quot;},{&quot;family&quot;:&quot;KANIK&quot;,&quot;given&quot;:&quot;Sait&quot;,&quot;parse-names&quot;:false,&quot;dropping-particle&quot;:&quot;&quot;,&quot;non-dropping-particle&quot;:&quot;&quot;},{&quot;family&quot;:&quot;ÖZGER&quot;,&quot;given&quot;:&quot;Hasan Selçuk&quot;,&quot;parse-names&quot;:false,&quot;dropping-particle&quot;:&quot;&quot;,&quot;non-dropping-particle&quot;:&quot;&quot;},{&quot;family&quot;:&quot;DİZBAY&quot;,&quot;given&quot;:&quot;Murat&quot;,&quot;parse-names&quot;:false,&quot;dropping-particle&quot;:&quot;&quot;,&quot;non-dropping-particle&quot;:&quot;&quot;}],&quot;container-title&quot;:&quot;BMC Infectious Diseases&quot;,&quot;container-title-short&quot;:&quot;BMC Infect. Dis.&quot;,&quot;DOI&quot;:&quot;10.1186/s12879-024-09759-2&quot;,&quot;ISSN&quot;:&quot;1471-2334&quot;,&quot;issued&quot;:{&quot;date-parts&quot;:[[2024,8,26]]},&quot;page&quot;:&quot;862&quot;,&quot;issue&quot;:&quot;1&quot;,&quot;volume&quot;:&quot;24&quot;},&quot;isTemporary&quot;:false}]},{&quot;citationID&quot;:&quot;MENDELEY_CITATION_3d40cc4e-628e-4832-89e5-c1e9dc655af9&quot;,&quot;properties&quot;:{&quot;noteIndex&quot;:0},&quot;isEdited&quot;:false,&quot;manualOverride&quot;:{&quot;isManuallyOverridden&quot;:false,&quot;citeprocText&quot;:&quot;(9)&quot;,&quot;manualOverrideText&quot;:&quot;&quot;},&quot;citationTag&quot;:&quot;MENDELEY_CITATION_v3_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&quot;,&quot;citationItems&quot;:[{&quot;id&quot;:&quot;a635aadd-0fc1-32b8-b33f-1485ce5f5d0b&quot;,&quot;itemData&quot;:{&quot;type&quot;:&quot;article-journal&quot;,&quot;id&quot;:&quot;a635aadd-0fc1-32b8-b33f-1485ce5f5d0b&quot;,&quot;title&quot;:&quot;Incidence and risk factors for musculoskeletal adverse effects associated with daptomycin in patients receiving outpatient parenteral antimicrobial therapy&quot;,&quot;author&quot;:[{&quot;family&quot;:&quot;Wiley&quot;,&quot;given&quot;:&quot;Meaghen B.&quot;,&quot;parse-names&quot;:false,&quot;dropping-particle&quot;:&quot;&quot;,&quot;non-dropping-particle&quot;:&quot;&quot;},{&quot;family&quot;:&quot;Bennett&quot;,&quot;given&quot;:&quot;Kiya K.&quot;,&quot;parse-names&quot;:false,&quot;dropping-particle&quot;:&quot;&quot;,&quot;non-dropping-particle&quot;:&quot;&quot;},{&quot;family&quot;:&quot;Siegrist&quot;,&quot;given&quot;:&quot;Emily A.&quot;,&quot;parse-names&quot;:false,&quot;dropping-particle&quot;:&quot;&quot;,&quot;non-dropping-particle&quot;:&quot;&quot;},{&quot;family&quot;:&quot;Neely&quot;,&quot;given&quot;:&quot;Stephen B.&quot;,&quot;parse-names&quot;:false,&quot;dropping-particle&quot;:&quot;&quot;,&quot;non-dropping-particle&quot;:&quot;&quot;},{&quot;family&quot;:&quot;Sassine&quot;,&quot;given&quot;:&quot;Joseph&quot;,&quot;parse-names&quot;:false,&quot;dropping-particle&quot;:&quot;&quot;,&quot;non-dropping-particle&quot;:&quot;&quot;},{&quot;family&quot;:&quot;White&quot;,&quot;given&quot;:&quot;Bryan P.&quot;,&quot;parse-names&quot;:false,&quot;dropping-particle&quot;:&quot;&quot;,&quot;non-dropping-particle&quot;:&quot;&quot;}],&quot;container-title&quot;:&quot;Antimicrobial Stewardship &amp; Healthcare Epidemiology&quot;,&quot;DOI&quot;:&quot;10.1017/ash.2025.10087&quot;,&quot;ISSN&quot;:&quot;2732-494X&quot;,&quot;issued&quot;:{&quot;date-parts&quot;:[[2025,7,31]]},&quot;page&quot;:&quot;e169&quot;,&quot;issue&quot;:&quot;1&quot;,&quot;volume&quot;:&quot;5&quot;,&quot;container-title-short&quot;:&quot;&quot;},&quot;isTemporary&quot;:false}]},{&quot;citationID&quot;:&quot;MENDELEY_CITATION_6d6ef7ca-ac68-44f9-81f8-526a1fd1830d&quot;,&quot;properties&quot;:{&quot;noteIndex&quot;:0},&quot;isEdited&quot;:false,&quot;manualOverride&quot;:{&quot;isManuallyOverridden&quot;:false,&quot;citeprocText&quot;:&quot;(3)&quot;,&quot;manualOverrideText&quot;:&quot;&quot;},&quot;citationTag&quot;:&quot;MENDELEY_CITATION_v3_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&quot;,&quot;citationItems&quot;:[{&quot;id&quot;:&quot;1e6769e5-77d7-3506-a7bb-993fbb016d3f&quot;,&quot;itemData&quot;:{&quot;type&quot;:&quot;article-journal&quot;,&quot;id&quot;:&quot;1e6769e5-77d7-3506-a7bb-993fbb016d3f&quot;,&quot;title&quot;:&quot;Evaluation of Adverse Events Associated with the Sulfamethoxazole/Trimethoprim Combination Drug&quot;,&quot;author&quot;:[{&quot;family&quot;:&quot;Sagawa&quot;,&quot;given&quot;:&quot;Takaya&quot;,&quot;parse-names&quot;:false,&quot;dropping-particle&quot;:&quot;&quot;,&quot;non-dropping-particle&quot;:&quot;&quot;},{&quot;family&quot;:&quot;Ishida&quot;,&quot;given&quot;:&quot;Tomoaki&quot;,&quot;parse-names&quot;:false,&quot;dropping-particle&quot;:&quot;&quot;,&quot;non-dropping-particle&quot;:&quot;&quot;},{&quot;family&quot;:&quot;Jobu&quot;,&quot;given&quot;:&quot;Kohei&quot;,&quot;parse-names&quot;:false,&quot;dropping-particle&quot;:&quot;&quot;,&quot;non-dropping-particle&quot;:&quot;&quot;},{&quot;family&quot;:&quot;Morisawa&quot;,&quot;given&quot;:&quot;Shumpei&quot;,&quot;parse-names&quot;:false,&quot;dropping-particle&quot;:&quot;&quot;,&quot;non-dropping-particle&quot;:&quot;&quot;},{&quot;family&quot;:&quot;Akagaki&quot;,&quot;given&quot;:&quot;Keita&quot;,&quot;parse-names&quot;:false,&quot;dropping-particle&quot;:&quot;&quot;,&quot;non-dropping-particle&quot;:&quot;&quot;},{&quot;family&quot;:&quot;Kato&quot;,&quot;given&quot;:&quot;Takahiro&quot;,&quot;parse-names&quot;:false,&quot;dropping-particle&quot;:&quot;&quot;,&quot;non-dropping-particle&quot;:&quot;&quot;},{&quot;family&quot;:&quot;Maruyama&quot;,&quot;given&quot;:&quot;Takumi&quot;,&quot;parse-names&quot;:false,&quot;dropping-particle&quot;:&quot;&quot;,&quot;non-dropping-particle&quot;:&quot;&quot;},{&quot;family&quot;:&quot;Yagi&quot;,&quot;given&quot;:&quot;Yusuke&quot;,&quot;parse-names&quot;:false,&quot;dropping-particle&quot;:&quot;&quot;,&quot;non-dropping-particle&quot;:&quot;&quot;},{&quot;family&quot;:&quot;Kihara&quot;,&quot;given&quot;:&quot;Tomomi&quot;,&quot;parse-names&quot;:false,&quot;dropping-particle&quot;:&quot;&quot;,&quot;non-dropping-particle&quot;:&quot;&quot;},{&quot;family&quot;:&quot;Suzuki&quot;,&quot;given&quot;:&quot;Sanae&quot;,&quot;parse-names&quot;:false,&quot;dropping-particle&quot;:&quot;&quot;,&quot;non-dropping-particle&quot;:&quot;&quot;},{&quot;family&quot;:&quot;Endo&quot;,&quot;given&quot;:&quot;Mio&quot;,&quot;parse-names&quot;:false,&quot;dropping-particle&quot;:&quot;&quot;,&quot;non-dropping-particle&quot;:&quot;&quot;},{&quot;family&quot;:&quot;Matsunaga&quot;,&quot;given&quot;:&quot;Nobuaki&quot;,&quot;parse-names&quot;:false,&quot;dropping-particle&quot;:&quot;&quot;,&quot;non-dropping-particle&quot;:&quot;&quot;},{&quot;family&quot;:&quot;Hamada&quot;,&quot;given&quot;:&quot;Yukihiro&quot;,&quot;parse-names&quot;:false,&quot;dropping-particle&quot;:&quot;&quot;,&quot;non-dropping-particle&quot;:&quot;&quot;}],&quot;container-title&quot;:&quot;Journal of Clinical Medicine&quot;,&quot;container-title-short&quot;:&quot;J. Clin. Med.&quot;,&quot;DOI&quot;:&quot;10.3390/jcm14144819&quot;,&quot;ISSN&quot;:&quot;2077-0383&quot;,&quot;issued&quot;:{&quot;date-parts&quot;:[[2025,7,8]]},&quot;page&quot;:&quot;4819&quot;,&quot;abstract&quot;:&quot;&lt;p&gt;Background/Objectives: The combination drug sulfamethoxazole/trimethoprim (ST) is a broad-spectrum antibiotic used against various infections; however, it is associated with several serious adverse events. The ST package inserts contain warnings about these adverse events. However, warnings vary internationally, and specific measures to address ST-related adverse events are unclear. Therefore, we aimed to comprehensively evaluate ST-related adverse events using the Japanese Adverse Drug Event Report (JADER) database and analyze the onset time for each event. Methods: Adverse events due to ST were analyzed using the JADER database between April 2004 and June 2023. The reported odds ratio and 95% confidence interval (95% confidence interval [CI]) were calculated, with a signal detected if the 95% CI lower limit exceeded 1. The Weibull distribution was used to characterize the onset time of adverse events with detected signals. Results: The total number of cases in the JADER database during the study period was 862,952, and the number of adverse events involving ST as a suspected drug was 4203. Adverse events associated with ST include hyperkalemia, syndrome of inappropriate antidiuretic hormone secretion, hematopoietic cytopenia, acute renal failure, hypoglycemia, disseminated intravascular coagulation syndrome, hepatic disorder, and the Stevens–Johnson syndrome/toxic epidermal necrolysis. Conclusions: Weibull analysis indicated an early failure-type onset time for all adverse events, suggesting the need for intensive adverse event monitoring of ST, especially in the first month of use. These findings may support revising drug package inserts in Japan to better reflect the identified risks.&lt;/p&gt;&quot;,&quot;issue&quot;:&quot;14&quot;,&quot;volume&quot;:&quot;14&quot;},&quot;isTemporary&quot;:false}]},{&quot;citationID&quot;:&quot;MENDELEY_CITATION_9e948ad5-6693-406f-8d1e-b1ad9222cb68&quot;,&quot;properties&quot;:{&quot;noteIndex&quot;:0},&quot;isEdited&quot;:false,&quot;manualOverride&quot;:{&quot;isManuallyOverridden&quot;:false,&quot;citeprocText&quot;:&quot;(3)&quot;,&quot;manualOverrideText&quot;:&quot;&quot;},&quot;citationTag&quot;:&quot;MENDELEY_CITATION_v3_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&quot;,&quot;citationItems&quot;:[{&quot;id&quot;:&quot;1e6769e5-77d7-3506-a7bb-993fbb016d3f&quot;,&quot;itemData&quot;:{&quot;type&quot;:&quot;article-journal&quot;,&quot;id&quot;:&quot;1e6769e5-77d7-3506-a7bb-993fbb016d3f&quot;,&quot;title&quot;:&quot;Evaluation of Adverse Events Associated with the Sulfamethoxazole/Trimethoprim Combination Drug&quot;,&quot;author&quot;:[{&quot;family&quot;:&quot;Sagawa&quot;,&quot;given&quot;:&quot;Takaya&quot;,&quot;parse-names&quot;:false,&quot;dropping-particle&quot;:&quot;&quot;,&quot;non-dropping-particle&quot;:&quot;&quot;},{&quot;family&quot;:&quot;Ishida&quot;,&quot;given&quot;:&quot;Tomoaki&quot;,&quot;parse-names&quot;:false,&quot;dropping-particle&quot;:&quot;&quot;,&quot;non-dropping-particle&quot;:&quot;&quot;},{&quot;family&quot;:&quot;Jobu&quot;,&quot;given&quot;:&quot;Kohei&quot;,&quot;parse-names&quot;:false,&quot;dropping-particle&quot;:&quot;&quot;,&quot;non-dropping-particle&quot;:&quot;&quot;},{&quot;family&quot;:&quot;Morisawa&quot;,&quot;given&quot;:&quot;Shumpei&quot;,&quot;parse-names&quot;:false,&quot;dropping-particle&quot;:&quot;&quot;,&quot;non-dropping-particle&quot;:&quot;&quot;},{&quot;family&quot;:&quot;Akagaki&quot;,&quot;given&quot;:&quot;Keita&quot;,&quot;parse-names&quot;:false,&quot;dropping-particle&quot;:&quot;&quot;,&quot;non-dropping-particle&quot;:&quot;&quot;},{&quot;family&quot;:&quot;Kato&quot;,&quot;given&quot;:&quot;Takahiro&quot;,&quot;parse-names&quot;:false,&quot;dropping-particle&quot;:&quot;&quot;,&quot;non-dropping-particle&quot;:&quot;&quot;},{&quot;family&quot;:&quot;Maruyama&quot;,&quot;given&quot;:&quot;Takumi&quot;,&quot;parse-names&quot;:false,&quot;dropping-particle&quot;:&quot;&quot;,&quot;non-dropping-particle&quot;:&quot;&quot;},{&quot;family&quot;:&quot;Yagi&quot;,&quot;given&quot;:&quot;Yusuke&quot;,&quot;parse-names&quot;:false,&quot;dropping-particle&quot;:&quot;&quot;,&quot;non-dropping-particle&quot;:&quot;&quot;},{&quot;family&quot;:&quot;Kihara&quot;,&quot;given&quot;:&quot;Tomomi&quot;,&quot;parse-names&quot;:false,&quot;dropping-particle&quot;:&quot;&quot;,&quot;non-dropping-particle&quot;:&quot;&quot;},{&quot;family&quot;:&quot;Suzuki&quot;,&quot;given&quot;:&quot;Sanae&quot;,&quot;parse-names&quot;:false,&quot;dropping-particle&quot;:&quot;&quot;,&quot;non-dropping-particle&quot;:&quot;&quot;},{&quot;family&quot;:&quot;Endo&quot;,&quot;given&quot;:&quot;Mio&quot;,&quot;parse-names&quot;:false,&quot;dropping-particle&quot;:&quot;&quot;,&quot;non-dropping-particle&quot;:&quot;&quot;},{&quot;family&quot;:&quot;Matsunaga&quot;,&quot;given&quot;:&quot;Nobuaki&quot;,&quot;parse-names&quot;:false,&quot;dropping-particle&quot;:&quot;&quot;,&quot;non-dropping-particle&quot;:&quot;&quot;},{&quot;family&quot;:&quot;Hamada&quot;,&quot;given&quot;:&quot;Yukihiro&quot;,&quot;parse-names&quot;:false,&quot;dropping-particle&quot;:&quot;&quot;,&quot;non-dropping-particle&quot;:&quot;&quot;}],&quot;container-title&quot;:&quot;Journal of Clinical Medicine&quot;,&quot;container-title-short&quot;:&quot;J. Clin. Med.&quot;,&quot;DOI&quot;:&quot;10.3390/jcm14144819&quot;,&quot;ISSN&quot;:&quot;2077-0383&quot;,&quot;issued&quot;:{&quot;date-parts&quot;:[[2025,7,8]]},&quot;page&quot;:&quot;4819&quot;,&quot;abstract&quot;:&quot;&lt;p&gt;Background/Objectives: The combination drug sulfamethoxazole/trimethoprim (ST) is a broad-spectrum antibiotic used against various infections; however, it is associated with several serious adverse events. The ST package inserts contain warnings about these adverse events. However, warnings vary internationally, and specific measures to address ST-related adverse events are unclear. Therefore, we aimed to comprehensively evaluate ST-related adverse events using the Japanese Adverse Drug Event Report (JADER) database and analyze the onset time for each event. Methods: Adverse events due to ST were analyzed using the JADER database between April 2004 and June 2023. The reported odds ratio and 95% confidence interval (95% confidence interval [CI]) were calculated, with a signal detected if the 95% CI lower limit exceeded 1. The Weibull distribution was used to characterize the onset time of adverse events with detected signals. Results: The total number of cases in the JADER database during the study period was 862,952, and the number of adverse events involving ST as a suspected drug was 4203. Adverse events associated with ST include hyperkalemia, syndrome of inappropriate antidiuretic hormone secretion, hematopoietic cytopenia, acute renal failure, hypoglycemia, disseminated intravascular coagulation syndrome, hepatic disorder, and the Stevens–Johnson syndrome/toxic epidermal necrolysis. Conclusions: Weibull analysis indicated an early failure-type onset time for all adverse events, suggesting the need for intensive adverse event monitoring of ST, especially in the first month of use. These findings may support revising drug package inserts in Japan to better reflect the identified risks.&lt;/p&gt;&quot;,&quot;issue&quot;:&quot;14&quot;,&quot;volume&quot;:&quot;14&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y name="MENDELEY_BIBLIOGRAPHY_IS_DIRTY" value="false"/>
    <we:property name="MENDELEY_BIBLIOGRAPHY_LAST_MODIFIED" value="177363871230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5C2AA-96B9-4229-822A-6F13CB3AB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3362</Words>
  <Characters>18157</Characters>
  <Application>Microsoft Office Word</Application>
  <DocSecurity>0</DocSecurity>
  <Lines>151</Lines>
  <Paragraphs>42</Paragraphs>
  <ScaleCrop>false</ScaleCrop>
  <Company/>
  <LinksUpToDate>false</LinksUpToDate>
  <CharactersWithSpaces>21477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Coracini</dc:creator>
  <cp:keywords/>
  <dc:description/>
  <cp:lastModifiedBy>Juliana Coracini</cp:lastModifiedBy>
  <cp:revision>1</cp:revision>
  <dcterms:created xsi:type="dcterms:W3CDTF">2026-03-16T05:24:00Z</dcterms:created>
  <dcterms:modified xsi:type="dcterms:W3CDTF">2026-03-16T05:25:00Z</dcterms:modified>
</cp:coreProperties>
</file>