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Independent-particle XAS in FLEUR</w:t>
      </w:r>
    </w:p>
    <w:p>
      <w:pPr>
        <w:jc w:val="center"/>
      </w:pPr>
      <w:r>
        <w:rPr>
          <w:i/>
          <w:sz w:val="22"/>
        </w:rPr>
        <w:t>Physics background, implemented approximation, and current limitations</w:t>
      </w:r>
    </w:p>
    <w:p>
      <w:pPr>
        <w:pStyle w:val="Heading1"/>
      </w:pPr>
      <w:r>
        <w:t>1. What X-ray absorption spectroscopy measures</w:t>
      </w:r>
    </w:p>
    <w:p>
      <w:r>
        <w:t>X-ray absorption spectroscopy (XAS) describes the probability that an incoming photon excites a deep core electron into an available unoccupied state. In a transition-metal L-edge calculation, for example, an electron is excited from a 2p core shell into empty states with mainly s or d character. In a K-edge calculation, a 1s core electron is excited mainly into p-like final states.</w:t>
      </w:r>
    </w:p>
    <w:p>
      <w:r>
        <w:t>The calculated spectrum is therefore a weighted map of unoccupied electronic states, filtered by dipole selection rules, polarization, the atomic character of the final states, and the chosen absorber atom.</w:t>
      </w:r>
    </w:p>
    <w:p>
      <w:pPr>
        <w:pStyle w:val="Heading1"/>
      </w:pPr>
      <w:r>
        <w:t>2. Independent-particle approximation</w:t>
      </w:r>
    </w:p>
    <w:p>
      <w:r>
        <w:t>The implemented XAS prototype uses an independent-particle picture. The ground-state Kohn-Sham or generalized Kohn-Sham eigenvalues and eigenvectors are used as the initial electronic structure. A core electron is promoted into an unoccupied band, but the final state is not solved as a new interacting many-body state.</w:t>
      </w:r>
    </w:p>
    <w:p>
      <w:r>
        <w:t>In compact form, the spectrum for a polarization epsilon is evaluated as a weighted sum over transitions:</w:t>
      </w:r>
    </w:p>
    <w:p>
      <w:r>
        <w:t>I_epsilon(omega) = sum_{c,m_j,n,k} w_k [1 - f_{n,k}] | &lt; psi_{n,k} | epsilon · r | phi_{c,m_j} &gt; |^2 g_eta(omega - (epsilon_{n,k} - epsilon_c)).</w:t>
      </w:r>
    </w:p>
    <w:p>
      <w:r>
        <w:t>Here phi_{c,m_j} is a core state on the absorber atom, psi_{n,k} is an unoccupied valence/conduction state, w_k is the k-point weight, f_{n,k} is the occupation, and g_eta is the chosen broadening function.</w:t>
      </w:r>
    </w:p>
    <w:p>
      <w:pPr>
        <w:pStyle w:val="Heading1"/>
      </w:pPr>
      <w:r>
        <w:t>3. Core states and supported edges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9EAF7"/>
          </w:tcPr>
          <w:p>
            <w:r>
              <w:t>Edge</w:t>
            </w:r>
          </w:p>
        </w:tc>
        <w:tc>
          <w:tcPr>
            <w:tcW w:type="dxa" w:w="1958"/>
            <w:shd w:fill="D9EAF7"/>
          </w:tcPr>
          <w:p>
            <w:r>
              <w:t>Core shell</w:t>
            </w:r>
          </w:p>
        </w:tc>
        <w:tc>
          <w:tcPr>
            <w:tcW w:type="dxa" w:w="1958"/>
            <w:shd w:fill="D9EAF7"/>
          </w:tcPr>
          <w:p>
            <w:r>
              <w:t>Core l</w:t>
            </w:r>
          </w:p>
        </w:tc>
        <w:tc>
          <w:tcPr>
            <w:tcW w:type="dxa" w:w="1958"/>
            <w:shd w:fill="D9EAF7"/>
          </w:tcPr>
          <w:p>
            <w:r>
              <w:t>Core j</w:t>
            </w:r>
          </w:p>
        </w:tc>
        <w:tc>
          <w:tcPr>
            <w:tcW w:type="dxa" w:w="1958"/>
            <w:shd w:fill="D9EAF7"/>
          </w:tcPr>
          <w:p>
            <w:r>
              <w:t>Dipole-allowed final l</w:t>
            </w:r>
          </w:p>
        </w:tc>
      </w:tr>
      <w:tr>
        <w:tc>
          <w:tcPr>
            <w:tcW w:type="dxa" w:w="1958"/>
            <w:vAlign w:val="center"/>
          </w:tcPr>
          <w:p>
            <w:r>
              <w:t>K</w:t>
            </w:r>
          </w:p>
        </w:tc>
        <w:tc>
          <w:tcPr>
            <w:tcW w:type="dxa" w:w="1958"/>
            <w:vAlign w:val="center"/>
          </w:tcPr>
          <w:p>
            <w:r>
              <w:t>1s1/2</w:t>
            </w:r>
          </w:p>
        </w:tc>
        <w:tc>
          <w:tcPr>
            <w:tcW w:type="dxa" w:w="1958"/>
            <w:vAlign w:val="center"/>
          </w:tcPr>
          <w:p>
            <w:r>
              <w:t>0</w:t>
            </w:r>
          </w:p>
        </w:tc>
        <w:tc>
          <w:tcPr>
            <w:tcW w:type="dxa" w:w="1958"/>
            <w:vAlign w:val="center"/>
          </w:tcPr>
          <w:p>
            <w:r>
              <w:t>1/2</w:t>
            </w:r>
          </w:p>
        </w:tc>
        <w:tc>
          <w:tcPr>
            <w:tcW w:type="dxa" w:w="1958"/>
            <w:vAlign w:val="center"/>
          </w:tcPr>
          <w:p>
            <w:r>
              <w:t>1 (p-like)</w:t>
            </w:r>
          </w:p>
        </w:tc>
      </w:tr>
      <w:tr>
        <w:tc>
          <w:tcPr>
            <w:tcW w:type="dxa" w:w="1958"/>
            <w:vAlign w:val="center"/>
          </w:tcPr>
          <w:p>
            <w:r>
              <w:t>L2</w:t>
            </w:r>
          </w:p>
        </w:tc>
        <w:tc>
          <w:tcPr>
            <w:tcW w:type="dxa" w:w="1958"/>
            <w:vAlign w:val="center"/>
          </w:tcPr>
          <w:p>
            <w:r>
              <w:t>2p1/2</w:t>
            </w:r>
          </w:p>
        </w:tc>
        <w:tc>
          <w:tcPr>
            <w:tcW w:type="dxa" w:w="1958"/>
            <w:vAlign w:val="center"/>
          </w:tcPr>
          <w:p>
            <w:r>
              <w:t>1</w:t>
            </w:r>
          </w:p>
        </w:tc>
        <w:tc>
          <w:tcPr>
            <w:tcW w:type="dxa" w:w="1958"/>
            <w:vAlign w:val="center"/>
          </w:tcPr>
          <w:p>
            <w:r>
              <w:t>1/2</w:t>
            </w:r>
          </w:p>
        </w:tc>
        <w:tc>
          <w:tcPr>
            <w:tcW w:type="dxa" w:w="1958"/>
            <w:vAlign w:val="center"/>
          </w:tcPr>
          <w:p>
            <w:r>
              <w:t>0 and 2 (s-like and d-like)</w:t>
            </w:r>
          </w:p>
        </w:tc>
      </w:tr>
      <w:tr>
        <w:tc>
          <w:tcPr>
            <w:tcW w:type="dxa" w:w="1958"/>
            <w:vAlign w:val="center"/>
          </w:tcPr>
          <w:p>
            <w:r>
              <w:t>L3</w:t>
            </w:r>
          </w:p>
        </w:tc>
        <w:tc>
          <w:tcPr>
            <w:tcW w:type="dxa" w:w="1958"/>
            <w:vAlign w:val="center"/>
          </w:tcPr>
          <w:p>
            <w:r>
              <w:t>2p3/2</w:t>
            </w:r>
          </w:p>
        </w:tc>
        <w:tc>
          <w:tcPr>
            <w:tcW w:type="dxa" w:w="1958"/>
            <w:vAlign w:val="center"/>
          </w:tcPr>
          <w:p>
            <w:r>
              <w:t>1</w:t>
            </w:r>
          </w:p>
        </w:tc>
        <w:tc>
          <w:tcPr>
            <w:tcW w:type="dxa" w:w="1958"/>
            <w:vAlign w:val="center"/>
          </w:tcPr>
          <w:p>
            <w:r>
              <w:t>3/2</w:t>
            </w:r>
          </w:p>
        </w:tc>
        <w:tc>
          <w:tcPr>
            <w:tcW w:type="dxa" w:w="1958"/>
            <w:vAlign w:val="center"/>
          </w:tcPr>
          <w:p>
            <w:r>
              <w:t>0 and 2 (s-like and d-like)</w:t>
            </w:r>
          </w:p>
        </w:tc>
      </w:tr>
    </w:tbl>
    <w:p>
      <w:r>
        <w:t>The current implementation supports K, L2, and L3 as separate edges. A combined L23 mode is intentionally not implemented yet; L2 and L3 should be run separately for now.</w:t>
      </w:r>
    </w:p>
    <w:p>
      <w:pPr>
        <w:pStyle w:val="Heading1"/>
      </w:pPr>
      <w:r>
        <w:t>4. Dipole matrix elements in the LAPW basis</w:t>
      </w:r>
    </w:p>
    <w:p>
      <w:r>
        <w:t>Inside a muffin-tin sphere around the absorber atom, the final-state wavefunction is represented by angular functions and radial basis functions. The XAS matrix element separates naturally into three factors:</w:t>
      </w:r>
    </w:p>
    <w:p>
      <w:pPr>
        <w:pStyle w:val="ListBullet"/>
      </w:pPr>
      <w:r>
        <w:t>a core radial function and a final-state radial basis function, giving a radial integral;</w:t>
      </w:r>
    </w:p>
    <w:p>
      <w:pPr>
        <w:pStyle w:val="ListBullet"/>
      </w:pPr>
      <w:r>
        <w:t>an angular dipole coefficient, built from spherical polarizations, Gaunt coefficients, and Clebsch-Gordan coefficients;</w:t>
      </w:r>
    </w:p>
    <w:p>
      <w:pPr>
        <w:pStyle w:val="ListBullet"/>
      </w:pPr>
      <w:r>
        <w:t>the band-dependent muffin-tin expansion coefficients, usually called abc coefficients in the FLEUR code.</w:t>
      </w:r>
    </w:p>
    <w:p>
      <w:r>
        <w:t>The electric-dipole selection rule is Delta l = +/- 1. This is why a K edge from an s core state sees p-like final states, while L edges from p core states see s-like and d-like final states.</w:t>
      </w:r>
    </w:p>
    <w:p>
      <w:pPr>
        <w:pStyle w:val="Heading1"/>
      </w:pPr>
      <w:r>
        <w:t>5. Polarization dependence</w:t>
      </w:r>
    </w:p>
    <w:p>
      <w:r>
        <w:t>The photon polarization selects the spatial direction of the dipole operator. The current XML interface exposes linear polarizations x, y, and z. For a cubic nonmagnetic test, the three spectra should be equal. In lower symmetry or magnetic systems, differences between x, y, and z spectra are physically meaningful and can be used to analyze anisotropy.</w:t>
      </w:r>
    </w:p>
    <w:p>
      <w:r>
        <w:t>Internally, Cartesian polarizations are converted to spherical components before evaluating angular matrix elements. A pure angular sum-rule diagnostic has been implemented and used to verify the angular factors for K, L2, and L3 edges.</w:t>
      </w:r>
    </w:p>
    <w:p>
      <w:pPr>
        <w:pStyle w:val="Heading1"/>
      </w:pPr>
      <w:r>
        <w:t>6. Noncollinear magnetism and spin-orbit coupling</w:t>
      </w:r>
    </w:p>
    <w:p>
      <w:r>
        <w:t>For first-variation noncollinear spin-orbit calculations, the band states are spinors and the local spin direction can be different for different atom types. The XAS code contracts the core spin-angular coefficients with the local spinor abc coefficients in the same spin frame. This local-frame consistency is essential; otherwise the calculated spectrum can depend spuriously on the chosen spin quantization axis.</w:t>
      </w:r>
    </w:p>
    <w:p>
      <w:r>
        <w:t>For symmetry-reduced calculations, FLEUR uses symmetry-generated star members to reconstruct contributions from the full Brillouin zone. For spinors, the star reconstruction must rotate both the orbital and spinor parts. The validated coefficient-space spinor transform is:</w:t>
      </w:r>
    </w:p>
    <w:p>
      <w:r>
        <w:t>abc_local_star = U_mapped^dagger S_R^dagger U_parent abc_local_parent.</w:t>
      </w:r>
    </w:p>
    <w:p>
      <w:r>
        <w:t>The dagger on S_R appears because the code transforms expansion coefficients, not the basis functions themselves. This point was validated by comparing symmetry-reduced XAS with explicit full-k calculations.</w:t>
      </w:r>
    </w:p>
    <w:p>
      <w:pPr>
        <w:pStyle w:val="Heading1"/>
      </w:pPr>
      <w:r>
        <w:t>7. Broadening and energy windows</w:t>
      </w:r>
    </w:p>
    <w:p>
      <w:r>
        <w:t>The discrete transition strengths are broadened with a user-selected width eta. The XML input can either specify an explicit energy window or allow the code to determine an automatic transition-energy window. The output reports the actual resolved grid in Hartree and eV so that users can see precisely what spectrum was generated.</w:t>
      </w:r>
    </w:p>
    <w:p>
      <w:pPr>
        <w:pStyle w:val="Heading1"/>
      </w:pPr>
      <w:r>
        <w:t>8. What has been validated</w:t>
      </w:r>
    </w:p>
    <w:p>
      <w:pPr>
        <w:pStyle w:val="ListBullet"/>
      </w:pPr>
      <w:r>
        <w:t>Scalar Fe L3, L2, and K edges give isotropic x/y/z spectra in cubic tests.</w:t>
      </w:r>
    </w:p>
    <w:p>
      <w:pPr>
        <w:pStyle w:val="ListBullet"/>
      </w:pPr>
      <w:r>
        <w:t>Two-atom absorber summation was validated for scalar Fe L3.</w:t>
      </w:r>
    </w:p>
    <w:p>
      <w:pPr>
        <w:pStyle w:val="ListBullet"/>
      </w:pPr>
      <w:r>
        <w:t>First-variation noncollinear SOC full-k calculations were validated for different spin quantization axes.</w:t>
      </w:r>
    </w:p>
    <w:p>
      <w:pPr>
        <w:pStyle w:val="ListBullet"/>
      </w:pPr>
      <w:r>
        <w:t>First-variation noncollinear SOC symmetry-reduced calculations were validated against full-k references for L3.</w:t>
      </w:r>
    </w:p>
    <w:p>
      <w:pPr>
        <w:pStyle w:val="ListBullet"/>
      </w:pPr>
      <w:r>
        <w:t>A small MPI test reproduced the serial result for the validated L3 noncollinear SOC case.</w:t>
      </w:r>
    </w:p>
    <w:p>
      <w:pPr>
        <w:pStyle w:val="Heading1"/>
      </w:pPr>
      <w:r>
        <w:t>9. What the approximation does not include</w:t>
      </w:r>
    </w:p>
    <w:p>
      <w:r>
        <w:t>The independent-particle XAS implemented here is useful for studying orbital character, polarization dependence, and trends across calculations. It is not a complete many-body theory of core-level spectroscopy.</w:t>
      </w:r>
    </w:p>
    <w:p>
      <w:pPr>
        <w:pStyle w:val="ListBullet"/>
      </w:pPr>
      <w:r>
        <w:t>No explicit core hole is included unless the user performs a separate core-hole calculation.</w:t>
      </w:r>
    </w:p>
    <w:p>
      <w:pPr>
        <w:pStyle w:val="ListBullet"/>
      </w:pPr>
      <w:r>
        <w:t>The excited electron and core hole do not form a bound exciton in the present formula.</w:t>
      </w:r>
    </w:p>
    <w:p>
      <w:pPr>
        <w:pStyle w:val="ListBullet"/>
      </w:pPr>
      <w:r>
        <w:t>Atomic multiplet effects are not included.</w:t>
      </w:r>
    </w:p>
    <w:p>
      <w:pPr>
        <w:pStyle w:val="ListBullet"/>
      </w:pPr>
      <w:r>
        <w:t>Lifetime broadening and instrumental broadening are represented only through the chosen broadening parameter.</w:t>
      </w:r>
    </w:p>
    <w:p>
      <w:pPr>
        <w:pStyle w:val="ListBullet"/>
      </w:pPr>
      <w:r>
        <w:t>Absolute edge energies usually require alignment to experiment or to a reference calculation.</w:t>
      </w:r>
    </w:p>
    <w:p>
      <w:pPr>
        <w:pStyle w:val="ListBullet"/>
      </w:pPr>
      <w:r>
        <w:t>Strongly correlated final-state physics can require methods beyond this independent-particle treatment.</w:t>
      </w:r>
    </w:p>
    <w:p>
      <w:pPr>
        <w:pStyle w:val="Heading1"/>
      </w:pPr>
      <w:r>
        <w:t>10. Relation to DFT+U</w:t>
      </w:r>
    </w:p>
    <w:p>
      <w:r>
        <w:t>The XAS matrix-element machinery should also work with DFT+U in principle, because it uses the final eigenvalues, occupations, and wavefunctions produced by the electronic-structure calculation. DFT+U changes the band energies and orbital character, especially the d-like final states important for transition-metal L edges, but it does not require a different dipole matrix-element formula. This should still be explicitly validated for representative +U cases before being advertised as fully tested.</w:t>
      </w:r>
    </w:p>
    <w:p>
      <w:pPr>
        <w:pStyle w:val="Heading1"/>
      </w:pPr>
      <w:r>
        <w:t>11. Current implementation limitations</w:t>
      </w:r>
    </w:p>
    <w:p>
      <w:pPr>
        <w:pStyle w:val="ListBullet"/>
      </w:pPr>
      <w:r>
        <w:t>Only K, L2, and L3 are exposed as separate edges. Combined L23 is deliberately rejected for now.</w:t>
      </w:r>
    </w:p>
    <w:p>
      <w:pPr>
        <w:pStyle w:val="ListBullet"/>
      </w:pPr>
      <w:r>
        <w:t>The XML interface currently exposes only linear x, y, and z polarizations.</w:t>
      </w:r>
    </w:p>
    <w:p>
      <w:pPr>
        <w:pStyle w:val="ListBullet"/>
      </w:pPr>
      <w:r>
        <w:t>Second-variation SOC is protected by a guard and is not supported in the validated path.</w:t>
      </w:r>
    </w:p>
    <w:p>
      <w:pPr>
        <w:pStyle w:val="ListBullet"/>
      </w:pPr>
      <w:r>
        <w:t>Time-reversal-generated star members for SOC/noncollinear XAS remain guarded.</w:t>
      </w:r>
    </w:p>
    <w:p>
      <w:pPr>
        <w:pStyle w:val="ListBullet"/>
      </w:pPr>
      <w:r>
        <w:t>The inpgen noco+SOC theta/phi workflow has a known consistency issue: angles used for symmetry generation can be written as runtime SOC theta/phi, which FLEUR rejects for noco calculations.</w:t>
      </w:r>
    </w:p>
    <w:p>
      <w:pPr>
        <w:pStyle w:val="Heading1"/>
      </w:pPr>
      <w:r>
        <w:t>12. How students should read the spectra</w:t>
      </w:r>
    </w:p>
    <w:p>
      <w:r>
        <w:t>A helpful way to read these spectra is to ask: which unoccupied states are visible to a given core state and photon polarization? At the K edge, the answer is mainly p-like final states. At the L edges, it is mainly s- and d-like final states. Differences between x, y, and z spectra indicate anisotropy in the unoccupied states projected onto the absorber atom. In magnetic systems with SOC, the polarization dependence can also reflect spin-orbital coupling and the local magnetic geometry.</w:t>
      </w:r>
    </w:p>
    <w:p>
      <w:r>
        <w:t>The method is therefore very useful for qualitative and semi-quantitative analysis of orbital character and anisotropy. It should not be interpreted as a complete prediction of experimental core-level line shapes when core-hole attraction, multiplets, or strong final-state correlations dominate.</w:t>
      </w:r>
    </w:p>
    <w:p>
      <w:pPr>
        <w:jc w:val="center"/>
      </w:pPr>
      <w:r>
        <w:rPr>
          <w:i/>
          <w:sz w:val="18"/>
        </w:rPr>
        <w:t>Prepared as implementation notes for the FLEUR XAS prototype.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