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8CB02" w14:textId="238A61C1" w:rsidR="007E301D" w:rsidRPr="007E301D" w:rsidRDefault="007E301D" w:rsidP="007E301D">
      <w:pPr>
        <w:jc w:val="center"/>
        <w:rPr>
          <w:rFonts w:ascii="Arial" w:hAnsi="Arial" w:cs="Arial"/>
          <w:b/>
          <w:bCs/>
          <w:sz w:val="32"/>
          <w:szCs w:val="32"/>
        </w:rPr>
      </w:pPr>
      <w:proofErr w:type="spellStart"/>
      <w:r>
        <w:rPr>
          <w:rFonts w:ascii="Arial" w:hAnsi="Arial" w:cs="Arial"/>
          <w:b/>
          <w:bCs/>
          <w:sz w:val="32"/>
          <w:szCs w:val="32"/>
        </w:rPr>
        <w:t>AiiDA</w:t>
      </w:r>
      <w:proofErr w:type="spellEnd"/>
    </w:p>
    <w:p w14:paraId="7BAE2309" w14:textId="77777777" w:rsidR="007E301D" w:rsidRDefault="007E301D" w:rsidP="003F60ED">
      <w:pPr>
        <w:jc w:val="both"/>
        <w:rPr>
          <w:rFonts w:ascii="Arial" w:hAnsi="Arial" w:cs="Arial"/>
          <w:sz w:val="20"/>
          <w:szCs w:val="20"/>
        </w:rPr>
      </w:pPr>
    </w:p>
    <w:p w14:paraId="71CCB509" w14:textId="559EFC81" w:rsidR="00BF57A9" w:rsidRPr="007E301D" w:rsidRDefault="00BF57A9" w:rsidP="003F60ED">
      <w:pPr>
        <w:jc w:val="both"/>
        <w:rPr>
          <w:rFonts w:ascii="Arial" w:hAnsi="Arial" w:cs="Arial"/>
        </w:rPr>
      </w:pPr>
      <w:proofErr w:type="spellStart"/>
      <w:r w:rsidRPr="007E301D">
        <w:rPr>
          <w:rFonts w:ascii="Arial" w:hAnsi="Arial" w:cs="Arial"/>
        </w:rPr>
        <w:t>AiiDA</w:t>
      </w:r>
      <w:proofErr w:type="spellEnd"/>
      <w:r w:rsidRPr="007E301D">
        <w:rPr>
          <w:rFonts w:ascii="Arial" w:hAnsi="Arial" w:cs="Arial"/>
        </w:rPr>
        <w:t xml:space="preserve"> </w:t>
      </w:r>
      <w:r w:rsidR="007E301D" w:rsidRPr="007E301D">
        <w:rPr>
          <w:rFonts w:ascii="Arial" w:hAnsi="Arial" w:cs="Arial"/>
        </w:rPr>
        <w:t>is</w:t>
      </w:r>
      <w:r w:rsidRPr="007E301D">
        <w:rPr>
          <w:rFonts w:ascii="Arial" w:hAnsi="Arial" w:cs="Arial"/>
        </w:rPr>
        <w:t xml:space="preserve"> a robust open-source high-throughput infrastructure addressing the challenges arising from the needs of automated workflow management and data provenance recording. </w:t>
      </w:r>
      <w:proofErr w:type="spellStart"/>
      <w:r w:rsidRPr="007E301D">
        <w:rPr>
          <w:rFonts w:ascii="Arial" w:hAnsi="Arial" w:cs="Arial"/>
        </w:rPr>
        <w:t>AiiDA’s</w:t>
      </w:r>
      <w:proofErr w:type="spellEnd"/>
      <w:r w:rsidRPr="007E301D">
        <w:rPr>
          <w:rFonts w:ascii="Arial" w:hAnsi="Arial" w:cs="Arial"/>
        </w:rPr>
        <w:t xml:space="preserve"> workflow language provides advanced automation, error handling features and a flexible plugin model to allow interfacing with external simulation software. The associated plugin registry enables seamless sharing of extensions, empowering a vibrant user community dedicated to making simulations more robust, </w:t>
      </w:r>
      <w:proofErr w:type="gramStart"/>
      <w:r w:rsidRPr="007E301D">
        <w:rPr>
          <w:rFonts w:ascii="Arial" w:hAnsi="Arial" w:cs="Arial"/>
        </w:rPr>
        <w:t>user-friendly</w:t>
      </w:r>
      <w:proofErr w:type="gramEnd"/>
      <w:r w:rsidRPr="007E301D">
        <w:rPr>
          <w:rFonts w:ascii="Arial" w:hAnsi="Arial" w:cs="Arial"/>
        </w:rPr>
        <w:t xml:space="preserve"> and reproducible.</w:t>
      </w:r>
    </w:p>
    <w:p w14:paraId="4F49CE1C" w14:textId="5D74DB91" w:rsidR="007E301D" w:rsidRPr="007E301D" w:rsidRDefault="007E301D" w:rsidP="003F60ED">
      <w:pPr>
        <w:jc w:val="both"/>
        <w:rPr>
          <w:rFonts w:ascii="Arial" w:hAnsi="Arial" w:cs="Arial"/>
        </w:rPr>
      </w:pPr>
    </w:p>
    <w:p w14:paraId="671829E2" w14:textId="0981DAC9" w:rsidR="007E301D" w:rsidRPr="007E301D" w:rsidRDefault="007E301D" w:rsidP="003F60ED">
      <w:pPr>
        <w:jc w:val="both"/>
        <w:rPr>
          <w:rFonts w:ascii="Arial" w:hAnsi="Arial" w:cs="Arial"/>
          <w:u w:val="single"/>
        </w:rPr>
      </w:pPr>
      <w:r w:rsidRPr="007E301D">
        <w:rPr>
          <w:rFonts w:ascii="Arial" w:hAnsi="Arial" w:cs="Arial"/>
          <w:u w:val="single"/>
        </w:rPr>
        <w:t>Architecture</w:t>
      </w:r>
      <w:r w:rsidR="003F60ED">
        <w:rPr>
          <w:rFonts w:ascii="Arial" w:hAnsi="Arial" w:cs="Arial"/>
          <w:u w:val="single"/>
        </w:rPr>
        <w:t xml:space="preserve"> Overview</w:t>
      </w:r>
    </w:p>
    <w:p w14:paraId="39F9A6A1" w14:textId="20EE0A71" w:rsidR="00AC05CB" w:rsidRDefault="007E301D" w:rsidP="003F60ED">
      <w:pPr>
        <w:jc w:val="both"/>
        <w:rPr>
          <w:rFonts w:ascii="Arial" w:hAnsi="Arial" w:cs="Arial"/>
        </w:rPr>
      </w:pPr>
      <w:proofErr w:type="spellStart"/>
      <w:r w:rsidRPr="007E301D">
        <w:rPr>
          <w:rFonts w:ascii="Arial" w:hAnsi="Arial" w:cs="Arial"/>
        </w:rPr>
        <w:t>AiiDA</w:t>
      </w:r>
      <w:proofErr w:type="spellEnd"/>
      <w:r w:rsidRPr="007E301D">
        <w:rPr>
          <w:rFonts w:ascii="Arial" w:hAnsi="Arial" w:cs="Arial"/>
        </w:rPr>
        <w:t xml:space="preserve"> aims to provide a framework that enables designing and running complex high-throughput computational workflows with </w:t>
      </w:r>
      <w:proofErr w:type="gramStart"/>
      <w:r w:rsidRPr="007E301D">
        <w:rPr>
          <w:rFonts w:ascii="Arial" w:hAnsi="Arial" w:cs="Arial"/>
        </w:rPr>
        <w:t>full</w:t>
      </w:r>
      <w:proofErr w:type="gramEnd"/>
      <w:r w:rsidRPr="007E301D">
        <w:rPr>
          <w:rFonts w:ascii="Arial" w:hAnsi="Arial" w:cs="Arial"/>
        </w:rPr>
        <w:t xml:space="preserve"> automatic provenance and built-in support for high-performance computing on remote supercomputers. The architecture, as shown in Fig. 1, is designed with these goals in mind</w:t>
      </w:r>
      <w:r w:rsidR="00AC05CB">
        <w:rPr>
          <w:rFonts w:ascii="Arial" w:hAnsi="Arial" w:cs="Arial"/>
        </w:rPr>
        <w:t>.</w:t>
      </w:r>
    </w:p>
    <w:p w14:paraId="67136305" w14:textId="77777777" w:rsidR="00AC05CB" w:rsidRPr="00AC05CB" w:rsidRDefault="00AC05CB" w:rsidP="00AC05CB">
      <w:pPr>
        <w:rPr>
          <w:rFonts w:ascii="Arial" w:hAnsi="Arial" w:cs="Arial"/>
        </w:rPr>
      </w:pPr>
    </w:p>
    <w:p w14:paraId="6316DDB1" w14:textId="16BCD917" w:rsidR="007E301D" w:rsidRDefault="00AC05CB" w:rsidP="00AC05CB">
      <w:pPr>
        <w:keepNext/>
        <w:jc w:val="center"/>
      </w:pPr>
      <w:r>
        <w:rPr>
          <w:noProof/>
        </w:rPr>
        <w:drawing>
          <wp:inline distT="0" distB="0" distL="0" distR="0" wp14:anchorId="65E10804" wp14:editId="1585B23C">
            <wp:extent cx="5972810" cy="2738120"/>
            <wp:effectExtent l="0" t="0" r="889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2810" cy="2738120"/>
                    </a:xfrm>
                    <a:prstGeom prst="rect">
                      <a:avLst/>
                    </a:prstGeom>
                  </pic:spPr>
                </pic:pic>
              </a:graphicData>
            </a:graphic>
          </wp:inline>
        </w:drawing>
      </w:r>
    </w:p>
    <w:p w14:paraId="5C2B4BB2" w14:textId="2FE87F6B" w:rsidR="00BF57A9" w:rsidRPr="00F8260A" w:rsidRDefault="007E301D" w:rsidP="007E301D">
      <w:pPr>
        <w:pStyle w:val="Caption"/>
        <w:jc w:val="center"/>
        <w:rPr>
          <w:rFonts w:ascii="Arial" w:hAnsi="Arial" w:cs="Arial"/>
          <w:sz w:val="20"/>
          <w:szCs w:val="20"/>
        </w:rPr>
      </w:pPr>
      <w:r w:rsidRPr="00F8260A">
        <w:rPr>
          <w:rFonts w:ascii="Arial" w:hAnsi="Arial" w:cs="Arial"/>
          <w:sz w:val="20"/>
          <w:szCs w:val="20"/>
        </w:rPr>
        <w:t xml:space="preserve">Figure </w:t>
      </w:r>
      <w:r w:rsidRPr="00F8260A">
        <w:rPr>
          <w:rFonts w:ascii="Arial" w:hAnsi="Arial" w:cs="Arial"/>
          <w:sz w:val="20"/>
          <w:szCs w:val="20"/>
        </w:rPr>
        <w:fldChar w:fldCharType="begin"/>
      </w:r>
      <w:r w:rsidRPr="00F8260A">
        <w:rPr>
          <w:rFonts w:ascii="Arial" w:hAnsi="Arial" w:cs="Arial"/>
          <w:sz w:val="20"/>
          <w:szCs w:val="20"/>
        </w:rPr>
        <w:instrText xml:space="preserve"> SEQ Figure \* ARABIC </w:instrText>
      </w:r>
      <w:r w:rsidRPr="00F8260A">
        <w:rPr>
          <w:rFonts w:ascii="Arial" w:hAnsi="Arial" w:cs="Arial"/>
          <w:sz w:val="20"/>
          <w:szCs w:val="20"/>
        </w:rPr>
        <w:fldChar w:fldCharType="separate"/>
      </w:r>
      <w:r w:rsidR="0058389D">
        <w:rPr>
          <w:rFonts w:ascii="Arial" w:hAnsi="Arial" w:cs="Arial"/>
          <w:noProof/>
          <w:sz w:val="20"/>
          <w:szCs w:val="20"/>
        </w:rPr>
        <w:t>1</w:t>
      </w:r>
      <w:r w:rsidRPr="00F8260A">
        <w:rPr>
          <w:rFonts w:ascii="Arial" w:hAnsi="Arial" w:cs="Arial"/>
          <w:sz w:val="20"/>
          <w:szCs w:val="20"/>
        </w:rPr>
        <w:fldChar w:fldCharType="end"/>
      </w:r>
      <w:r w:rsidRPr="00F8260A">
        <w:rPr>
          <w:rFonts w:ascii="Arial" w:hAnsi="Arial" w:cs="Arial"/>
          <w:sz w:val="20"/>
          <w:szCs w:val="20"/>
        </w:rPr>
        <w:t xml:space="preserve"> Schematic overview of the architecture of </w:t>
      </w:r>
      <w:proofErr w:type="spellStart"/>
      <w:r w:rsidRPr="00F8260A">
        <w:rPr>
          <w:rFonts w:ascii="Arial" w:hAnsi="Arial" w:cs="Arial"/>
          <w:sz w:val="20"/>
          <w:szCs w:val="20"/>
        </w:rPr>
        <w:t>AiiDA</w:t>
      </w:r>
      <w:proofErr w:type="spellEnd"/>
      <w:r w:rsidRPr="00F8260A">
        <w:rPr>
          <w:rFonts w:ascii="Arial" w:hAnsi="Arial" w:cs="Arial"/>
          <w:sz w:val="20"/>
          <w:szCs w:val="20"/>
        </w:rPr>
        <w:t xml:space="preserve"> 1.</w:t>
      </w:r>
    </w:p>
    <w:p w14:paraId="6342A310" w14:textId="77777777" w:rsidR="00BF57A9" w:rsidRDefault="00BF57A9" w:rsidP="009E2863">
      <w:pPr>
        <w:rPr>
          <w:rFonts w:ascii="Arial" w:hAnsi="Arial" w:cs="Arial"/>
          <w:sz w:val="20"/>
          <w:szCs w:val="20"/>
        </w:rPr>
      </w:pPr>
    </w:p>
    <w:p w14:paraId="735F0311" w14:textId="77777777" w:rsidR="00BF57A9" w:rsidRDefault="00BF57A9" w:rsidP="009E2863">
      <w:pPr>
        <w:rPr>
          <w:rFonts w:ascii="Arial" w:hAnsi="Arial" w:cs="Arial"/>
          <w:sz w:val="20"/>
          <w:szCs w:val="20"/>
        </w:rPr>
      </w:pPr>
    </w:p>
    <w:p w14:paraId="363FB33A" w14:textId="77777777" w:rsidR="00BF57A9" w:rsidRDefault="00BF57A9" w:rsidP="009E2863">
      <w:pPr>
        <w:rPr>
          <w:rFonts w:ascii="Arial" w:hAnsi="Arial" w:cs="Arial"/>
          <w:sz w:val="20"/>
          <w:szCs w:val="20"/>
        </w:rPr>
      </w:pPr>
    </w:p>
    <w:p w14:paraId="4CBE3673" w14:textId="77777777" w:rsidR="00BF57A9" w:rsidRDefault="00BF57A9" w:rsidP="009E2863">
      <w:pPr>
        <w:rPr>
          <w:rFonts w:ascii="Arial" w:hAnsi="Arial" w:cs="Arial"/>
          <w:sz w:val="20"/>
          <w:szCs w:val="20"/>
        </w:rPr>
      </w:pPr>
    </w:p>
    <w:p w14:paraId="6826C662" w14:textId="77777777" w:rsidR="00BF57A9" w:rsidRDefault="00BF57A9" w:rsidP="009E2863">
      <w:pPr>
        <w:rPr>
          <w:rFonts w:ascii="Arial" w:hAnsi="Arial" w:cs="Arial"/>
          <w:sz w:val="20"/>
          <w:szCs w:val="20"/>
        </w:rPr>
      </w:pPr>
    </w:p>
    <w:p w14:paraId="78926765" w14:textId="77777777" w:rsidR="003F60ED" w:rsidRDefault="003F60ED" w:rsidP="00AC05CB">
      <w:pPr>
        <w:rPr>
          <w:rFonts w:ascii="Arial" w:hAnsi="Arial" w:cs="Arial"/>
          <w:sz w:val="20"/>
          <w:szCs w:val="20"/>
        </w:rPr>
      </w:pPr>
    </w:p>
    <w:p w14:paraId="44B340FA" w14:textId="5CA672E3" w:rsidR="00AC05CB" w:rsidRPr="003F60ED" w:rsidRDefault="00AC05CB" w:rsidP="003F60ED">
      <w:pPr>
        <w:jc w:val="both"/>
        <w:rPr>
          <w:rFonts w:ascii="Arial" w:hAnsi="Arial" w:cs="Arial"/>
        </w:rPr>
      </w:pPr>
      <w:r w:rsidRPr="003F60ED">
        <w:rPr>
          <w:rFonts w:ascii="Arial" w:hAnsi="Arial" w:cs="Arial"/>
        </w:rPr>
        <w:lastRenderedPageBreak/>
        <w:t xml:space="preserve">One of the core components, the engine, is responsible for running all calculations and workflows that are submitted by the user Calculations and workflows can be implemented in the custom language provided by </w:t>
      </w:r>
      <w:proofErr w:type="spellStart"/>
      <w:r w:rsidRPr="003F60ED">
        <w:rPr>
          <w:rFonts w:ascii="Arial" w:hAnsi="Arial" w:cs="Arial"/>
        </w:rPr>
        <w:t>AiiDA’s</w:t>
      </w:r>
      <w:proofErr w:type="spellEnd"/>
      <w:r w:rsidRPr="003F60ED">
        <w:rPr>
          <w:rFonts w:ascii="Arial" w:hAnsi="Arial" w:cs="Arial"/>
        </w:rPr>
        <w:t xml:space="preserve"> core API which is implemented in Python. </w:t>
      </w:r>
    </w:p>
    <w:p w14:paraId="7BC8EF5F" w14:textId="319CC4E4" w:rsidR="00AC05CB" w:rsidRPr="003F60ED" w:rsidRDefault="00AC05CB" w:rsidP="003F60ED">
      <w:pPr>
        <w:jc w:val="both"/>
        <w:rPr>
          <w:rFonts w:ascii="Arial" w:hAnsi="Arial" w:cs="Arial"/>
        </w:rPr>
      </w:pPr>
      <w:r w:rsidRPr="003F60ED">
        <w:rPr>
          <w:rFonts w:ascii="Arial" w:hAnsi="Arial" w:cs="Arial"/>
        </w:rPr>
        <w:t xml:space="preserve">Any calculation or workflow that is run by the engine will be automatically recorded in the provenance graph </w:t>
      </w:r>
      <w:proofErr w:type="gramStart"/>
      <w:r w:rsidRPr="003F60ED">
        <w:rPr>
          <w:rFonts w:ascii="Arial" w:hAnsi="Arial" w:cs="Arial"/>
        </w:rPr>
        <w:t>in order to</w:t>
      </w:r>
      <w:proofErr w:type="gramEnd"/>
      <w:r w:rsidRPr="003F60ED">
        <w:rPr>
          <w:rFonts w:ascii="Arial" w:hAnsi="Arial" w:cs="Arial"/>
        </w:rPr>
        <w:t xml:space="preserve"> enable the reproducibility of the results. Besides the workflow language, the ORM also provides the tools to interact with the nodes of the provenance graph and inspect their content. The </w:t>
      </w:r>
      <w:proofErr w:type="spellStart"/>
      <w:r w:rsidRPr="003F60ED">
        <w:rPr>
          <w:rFonts w:ascii="Arial" w:hAnsi="Arial" w:cs="Arial"/>
        </w:rPr>
        <w:t>QueryBuilder</w:t>
      </w:r>
      <w:proofErr w:type="spellEnd"/>
      <w:r w:rsidRPr="003F60ED">
        <w:rPr>
          <w:rFonts w:ascii="Arial" w:hAnsi="Arial" w:cs="Arial"/>
        </w:rPr>
        <w:t xml:space="preserve"> is the tool that allows efficient traversal of the provenance graph to select (sets of) nodes of interest</w:t>
      </w:r>
      <w:r w:rsidR="00AC297B" w:rsidRPr="003F60ED">
        <w:rPr>
          <w:rFonts w:ascii="Arial" w:hAnsi="Arial" w:cs="Arial"/>
        </w:rPr>
        <w:t>.</w:t>
      </w:r>
    </w:p>
    <w:p w14:paraId="5AACDFE5" w14:textId="663A3FA2" w:rsidR="00AC05CB" w:rsidRPr="003F60ED" w:rsidRDefault="00AC05CB" w:rsidP="003F60ED">
      <w:pPr>
        <w:jc w:val="both"/>
        <w:rPr>
          <w:rFonts w:ascii="Arial" w:hAnsi="Arial" w:cs="Arial"/>
        </w:rPr>
      </w:pPr>
      <w:r w:rsidRPr="003F60ED">
        <w:rPr>
          <w:rFonts w:ascii="Arial" w:hAnsi="Arial" w:cs="Arial"/>
        </w:rPr>
        <w:t xml:space="preserve">The contents of the provenance graph are stored in a file repository on the local file system and a relational database. The mapping between the database and the Python API is performed by an Object Relational Mapper (ORM): currently the user can choose between the Django (djangoproject.com) or </w:t>
      </w:r>
      <w:proofErr w:type="spellStart"/>
      <w:r w:rsidRPr="003F60ED">
        <w:rPr>
          <w:rFonts w:ascii="Arial" w:hAnsi="Arial" w:cs="Arial"/>
        </w:rPr>
        <w:t>SQLAlchemy</w:t>
      </w:r>
      <w:proofErr w:type="spellEnd"/>
      <w:r w:rsidRPr="003F60ED">
        <w:rPr>
          <w:rFonts w:ascii="Arial" w:hAnsi="Arial" w:cs="Arial"/>
        </w:rPr>
        <w:t xml:space="preserve"> (sqlalchemy.org) library.</w:t>
      </w:r>
    </w:p>
    <w:p w14:paraId="5384F8D3" w14:textId="71E392CF" w:rsidR="00BF57A9" w:rsidRDefault="00AC05CB" w:rsidP="003F60ED">
      <w:pPr>
        <w:jc w:val="both"/>
        <w:rPr>
          <w:rFonts w:ascii="Arial" w:hAnsi="Arial" w:cs="Arial"/>
        </w:rPr>
      </w:pPr>
      <w:r w:rsidRPr="003F60ED">
        <w:rPr>
          <w:rFonts w:ascii="Arial" w:hAnsi="Arial" w:cs="Arial"/>
        </w:rPr>
        <w:t xml:space="preserve">From the outside, users can interact with </w:t>
      </w:r>
      <w:proofErr w:type="spellStart"/>
      <w:r w:rsidRPr="003F60ED">
        <w:rPr>
          <w:rFonts w:ascii="Arial" w:hAnsi="Arial" w:cs="Arial"/>
        </w:rPr>
        <w:t>AiiDA</w:t>
      </w:r>
      <w:proofErr w:type="spellEnd"/>
      <w:r w:rsidRPr="003F60ED">
        <w:rPr>
          <w:rFonts w:ascii="Arial" w:hAnsi="Arial" w:cs="Arial"/>
        </w:rPr>
        <w:t xml:space="preserve"> through a command line interface called </w:t>
      </w:r>
      <w:proofErr w:type="spellStart"/>
      <w:r w:rsidRPr="003F60ED">
        <w:rPr>
          <w:rFonts w:ascii="Arial" w:hAnsi="Arial" w:cs="Arial"/>
        </w:rPr>
        <w:t>verdi</w:t>
      </w:r>
      <w:proofErr w:type="spellEnd"/>
      <w:r w:rsidRPr="003F60ED">
        <w:rPr>
          <w:rFonts w:ascii="Arial" w:hAnsi="Arial" w:cs="Arial"/>
        </w:rPr>
        <w:t xml:space="preserve">, an interactive Python shell or normal Python scripts. The REST API allows one to query the provenance graph through HTTP calls (see section “The REST API” for more details). </w:t>
      </w:r>
      <w:proofErr w:type="spellStart"/>
      <w:r w:rsidRPr="003F60ED">
        <w:rPr>
          <w:rFonts w:ascii="Arial" w:hAnsi="Arial" w:cs="Arial"/>
        </w:rPr>
        <w:t>AiiDA</w:t>
      </w:r>
      <w:proofErr w:type="spellEnd"/>
      <w:r w:rsidRPr="003F60ED">
        <w:rPr>
          <w:rFonts w:ascii="Arial" w:hAnsi="Arial" w:cs="Arial"/>
        </w:rPr>
        <w:t xml:space="preserve"> itself can communicate with computing resources either locally or over SSH to run calculations on those resources and comes with built-in support for most well-known and used job schedulers.</w:t>
      </w:r>
    </w:p>
    <w:p w14:paraId="3C6890D1" w14:textId="77777777" w:rsidR="003F60ED" w:rsidRDefault="003F60ED" w:rsidP="003F60ED">
      <w:pPr>
        <w:jc w:val="both"/>
        <w:rPr>
          <w:rFonts w:ascii="Arial" w:hAnsi="Arial" w:cs="Arial"/>
        </w:rPr>
      </w:pPr>
    </w:p>
    <w:p w14:paraId="11614D79" w14:textId="23959457" w:rsidR="003F60ED" w:rsidRPr="003F60ED" w:rsidRDefault="003F60ED" w:rsidP="003F60ED">
      <w:pPr>
        <w:jc w:val="both"/>
        <w:rPr>
          <w:rFonts w:ascii="Arial" w:hAnsi="Arial" w:cs="Arial"/>
          <w:u w:val="single"/>
        </w:rPr>
      </w:pPr>
      <w:r w:rsidRPr="003F60ED">
        <w:rPr>
          <w:rFonts w:ascii="Arial" w:hAnsi="Arial" w:cs="Arial"/>
          <w:u w:val="single"/>
        </w:rPr>
        <w:t>Engine and Workflow Language</w:t>
      </w:r>
    </w:p>
    <w:p w14:paraId="5CE5D0AE" w14:textId="789ED8D8" w:rsidR="003F60ED" w:rsidRPr="003F60ED" w:rsidRDefault="003F60ED" w:rsidP="003F60ED">
      <w:pPr>
        <w:jc w:val="both"/>
        <w:rPr>
          <w:rFonts w:ascii="Arial" w:hAnsi="Arial" w:cs="Arial"/>
        </w:rPr>
      </w:pPr>
      <w:r w:rsidRPr="003F60ED">
        <w:rPr>
          <w:rFonts w:ascii="Arial" w:hAnsi="Arial" w:cs="Arial"/>
        </w:rPr>
        <w:t xml:space="preserve">The engine is the component of </w:t>
      </w:r>
      <w:proofErr w:type="spellStart"/>
      <w:r w:rsidRPr="003F60ED">
        <w:rPr>
          <w:rFonts w:ascii="Arial" w:hAnsi="Arial" w:cs="Arial"/>
        </w:rPr>
        <w:t>AiiDA</w:t>
      </w:r>
      <w:proofErr w:type="spellEnd"/>
      <w:r w:rsidRPr="003F60ED">
        <w:rPr>
          <w:rFonts w:ascii="Arial" w:hAnsi="Arial" w:cs="Arial"/>
        </w:rPr>
        <w:t xml:space="preserve"> in charge of automating the execution of calculations and workflows</w:t>
      </w:r>
      <w:r w:rsidRPr="003F60ED">
        <w:rPr>
          <w:rFonts w:ascii="Arial" w:hAnsi="Arial" w:cs="Arial"/>
        </w:rPr>
        <w:t xml:space="preserve">. </w:t>
      </w:r>
      <w:proofErr w:type="spellStart"/>
      <w:r w:rsidRPr="003F60ED">
        <w:rPr>
          <w:rFonts w:ascii="Arial" w:hAnsi="Arial" w:cs="Arial"/>
        </w:rPr>
        <w:t>AiiDA</w:t>
      </w:r>
      <w:proofErr w:type="spellEnd"/>
      <w:r w:rsidRPr="003F60ED">
        <w:rPr>
          <w:rFonts w:ascii="Arial" w:hAnsi="Arial" w:cs="Arial"/>
        </w:rPr>
        <w:t xml:space="preserve"> provides a workflow language to define the logic to run complex sequences of steps, with potentially nested </w:t>
      </w:r>
      <w:proofErr w:type="spellStart"/>
      <w:r w:rsidRPr="003F60ED">
        <w:rPr>
          <w:rFonts w:ascii="Arial" w:hAnsi="Arial" w:cs="Arial"/>
        </w:rPr>
        <w:t>subworkflows</w:t>
      </w:r>
      <w:proofErr w:type="spellEnd"/>
      <w:r w:rsidRPr="003F60ED">
        <w:rPr>
          <w:rFonts w:ascii="Arial" w:hAnsi="Arial" w:cs="Arial"/>
        </w:rPr>
        <w:t xml:space="preserve"> and calculations.</w:t>
      </w:r>
    </w:p>
    <w:p w14:paraId="0BBCFDC0" w14:textId="60ECBB4E" w:rsidR="003F60ED" w:rsidRPr="003F60ED" w:rsidRDefault="003F60ED" w:rsidP="003F60ED">
      <w:pPr>
        <w:jc w:val="both"/>
        <w:rPr>
          <w:rFonts w:ascii="Arial" w:hAnsi="Arial" w:cs="Arial"/>
        </w:rPr>
      </w:pPr>
      <w:r w:rsidRPr="003F60ED">
        <w:rPr>
          <w:rFonts w:ascii="Arial" w:hAnsi="Arial" w:cs="Arial"/>
        </w:rPr>
        <w:t>The engine consists of runners that are executed in parallel as different operating system processes, supervised by a daemon that monitors and relaunches them if they were to die. Each runner can process tasks independently and concurrently, distributing the workload involved in workflow and calculation execution. Task distribution is achieved via a task queue implemented using the AMQP protocol through RabbitMQ</w:t>
      </w:r>
      <w:r w:rsidRPr="003F60ED">
        <w:rPr>
          <w:rFonts w:ascii="Arial" w:hAnsi="Arial" w:cs="Arial"/>
        </w:rPr>
        <w:t xml:space="preserve">, </w:t>
      </w:r>
      <w:r w:rsidRPr="003F60ED">
        <w:rPr>
          <w:rFonts w:ascii="Arial" w:hAnsi="Arial" w:cs="Arial"/>
        </w:rPr>
        <w:t xml:space="preserve">to guarantee reliable scheduling and almost instantaneous reaction to events such as the request for the submission of a new calculation or workflow, or continuing a workflow when the calculations or </w:t>
      </w:r>
      <w:proofErr w:type="spellStart"/>
      <w:r w:rsidRPr="003F60ED">
        <w:rPr>
          <w:rFonts w:ascii="Arial" w:hAnsi="Arial" w:cs="Arial"/>
        </w:rPr>
        <w:t>subworkflows</w:t>
      </w:r>
      <w:proofErr w:type="spellEnd"/>
      <w:r w:rsidRPr="003F60ED">
        <w:rPr>
          <w:rFonts w:ascii="Arial" w:hAnsi="Arial" w:cs="Arial"/>
        </w:rPr>
        <w:t xml:space="preserve"> it depends upon are completed. </w:t>
      </w:r>
    </w:p>
    <w:p w14:paraId="223C9D43" w14:textId="231A61C4" w:rsidR="003F60ED" w:rsidRPr="003F60ED" w:rsidRDefault="003F60ED" w:rsidP="003F60ED">
      <w:pPr>
        <w:jc w:val="both"/>
        <w:rPr>
          <w:rFonts w:ascii="Arial" w:hAnsi="Arial" w:cs="Arial"/>
        </w:rPr>
      </w:pPr>
      <w:r w:rsidRPr="003F60ED">
        <w:rPr>
          <w:rFonts w:ascii="Arial" w:hAnsi="Arial" w:cs="Arial"/>
        </w:rPr>
        <w:t xml:space="preserve">Thanks to this scalable architecture, the </w:t>
      </w:r>
      <w:proofErr w:type="spellStart"/>
      <w:r w:rsidRPr="003F60ED">
        <w:rPr>
          <w:rFonts w:ascii="Arial" w:hAnsi="Arial" w:cs="Arial"/>
        </w:rPr>
        <w:t>AiiDA</w:t>
      </w:r>
      <w:proofErr w:type="spellEnd"/>
      <w:r w:rsidRPr="003F60ED">
        <w:rPr>
          <w:rFonts w:ascii="Arial" w:hAnsi="Arial" w:cs="Arial"/>
        </w:rPr>
        <w:t xml:space="preserve"> engine </w:t>
      </w:r>
      <w:proofErr w:type="gramStart"/>
      <w:r w:rsidRPr="003F60ED">
        <w:rPr>
          <w:rFonts w:ascii="Arial" w:hAnsi="Arial" w:cs="Arial"/>
        </w:rPr>
        <w:t>is able to</w:t>
      </w:r>
      <w:proofErr w:type="gramEnd"/>
      <w:r w:rsidRPr="003F60ED">
        <w:rPr>
          <w:rFonts w:ascii="Arial" w:hAnsi="Arial" w:cs="Arial"/>
        </w:rPr>
        <w:t xml:space="preserve"> sustain high-throughput workloads involving tens of thousands of concurrent tasks every hour distributed on multiple computational resources</w:t>
      </w:r>
      <w:r w:rsidRPr="003F60ED">
        <w:rPr>
          <w:rFonts w:ascii="Arial" w:hAnsi="Arial" w:cs="Arial"/>
        </w:rPr>
        <w:t xml:space="preserve">. </w:t>
      </w:r>
      <w:r w:rsidRPr="003F60ED">
        <w:rPr>
          <w:rFonts w:ascii="Arial" w:hAnsi="Arial" w:cs="Arial"/>
        </w:rPr>
        <w:t xml:space="preserve">Additionally, during execution </w:t>
      </w:r>
      <w:proofErr w:type="spellStart"/>
      <w:r w:rsidRPr="003F60ED">
        <w:rPr>
          <w:rFonts w:ascii="Arial" w:hAnsi="Arial" w:cs="Arial"/>
        </w:rPr>
        <w:t>AiiDA</w:t>
      </w:r>
      <w:proofErr w:type="spellEnd"/>
      <w:r w:rsidRPr="003F60ED">
        <w:rPr>
          <w:rFonts w:ascii="Arial" w:hAnsi="Arial" w:cs="Arial"/>
        </w:rPr>
        <w:t xml:space="preserve"> automatically stores all data and actions in the provenance graph, including the workflows, the calculations and their inputs and outputs, to provide full traceability.</w:t>
      </w:r>
    </w:p>
    <w:p w14:paraId="0A69D701" w14:textId="77777777" w:rsidR="003F60ED" w:rsidRPr="003F60ED" w:rsidRDefault="003F60ED" w:rsidP="003F60ED">
      <w:pPr>
        <w:jc w:val="both"/>
        <w:rPr>
          <w:rFonts w:ascii="Arial" w:hAnsi="Arial" w:cs="Arial"/>
          <w:sz w:val="20"/>
          <w:szCs w:val="20"/>
        </w:rPr>
      </w:pPr>
    </w:p>
    <w:p w14:paraId="686CA359" w14:textId="1375A317" w:rsidR="003F60ED" w:rsidRDefault="003F60ED" w:rsidP="003F60ED">
      <w:pPr>
        <w:jc w:val="both"/>
        <w:rPr>
          <w:rFonts w:ascii="Arial" w:hAnsi="Arial" w:cs="Arial"/>
          <w:sz w:val="20"/>
          <w:szCs w:val="20"/>
        </w:rPr>
      </w:pPr>
      <w:r w:rsidRPr="003F60ED">
        <w:rPr>
          <w:rFonts w:ascii="Arial" w:hAnsi="Arial" w:cs="Arial"/>
          <w:sz w:val="20"/>
          <w:szCs w:val="20"/>
        </w:rPr>
        <w:t>.</w:t>
      </w:r>
    </w:p>
    <w:p w14:paraId="2822B496" w14:textId="56769F4E" w:rsidR="003F60ED" w:rsidRDefault="003F60ED" w:rsidP="003F60ED">
      <w:pPr>
        <w:jc w:val="both"/>
        <w:rPr>
          <w:rFonts w:ascii="Arial" w:hAnsi="Arial" w:cs="Arial"/>
          <w:sz w:val="20"/>
          <w:szCs w:val="20"/>
        </w:rPr>
      </w:pPr>
    </w:p>
    <w:p w14:paraId="1FCA51BF" w14:textId="2FAEE122" w:rsidR="003F60ED" w:rsidRDefault="003F60ED" w:rsidP="003F60ED">
      <w:pPr>
        <w:jc w:val="both"/>
        <w:rPr>
          <w:rFonts w:ascii="Arial" w:hAnsi="Arial" w:cs="Arial"/>
          <w:sz w:val="20"/>
          <w:szCs w:val="20"/>
        </w:rPr>
      </w:pPr>
    </w:p>
    <w:p w14:paraId="62FF9989" w14:textId="02B201DA" w:rsidR="003F60ED" w:rsidRDefault="003F60ED" w:rsidP="003F60ED">
      <w:pPr>
        <w:jc w:val="both"/>
        <w:rPr>
          <w:rFonts w:ascii="Arial" w:hAnsi="Arial" w:cs="Arial"/>
          <w:sz w:val="20"/>
          <w:szCs w:val="20"/>
        </w:rPr>
      </w:pPr>
    </w:p>
    <w:p w14:paraId="7576DDAC" w14:textId="77777777" w:rsidR="003F60ED" w:rsidRPr="003F60ED" w:rsidRDefault="003F60ED" w:rsidP="003F60ED">
      <w:pPr>
        <w:jc w:val="both"/>
        <w:rPr>
          <w:rFonts w:ascii="Arial" w:hAnsi="Arial" w:cs="Arial"/>
          <w:u w:val="single"/>
        </w:rPr>
      </w:pPr>
      <w:r w:rsidRPr="003F60ED">
        <w:rPr>
          <w:rFonts w:ascii="Arial" w:hAnsi="Arial" w:cs="Arial"/>
          <w:u w:val="single"/>
        </w:rPr>
        <w:lastRenderedPageBreak/>
        <w:t xml:space="preserve">Processes in </w:t>
      </w:r>
      <w:proofErr w:type="spellStart"/>
      <w:r w:rsidRPr="003F60ED">
        <w:rPr>
          <w:rFonts w:ascii="Arial" w:hAnsi="Arial" w:cs="Arial"/>
          <w:u w:val="single"/>
        </w:rPr>
        <w:t>AiiDA</w:t>
      </w:r>
      <w:proofErr w:type="spellEnd"/>
    </w:p>
    <w:p w14:paraId="6C2307BE" w14:textId="631AEF66" w:rsidR="003F60ED" w:rsidRPr="003F60ED" w:rsidRDefault="003F60ED" w:rsidP="003F60ED">
      <w:pPr>
        <w:jc w:val="both"/>
        <w:rPr>
          <w:rFonts w:ascii="Arial" w:hAnsi="Arial" w:cs="Arial"/>
        </w:rPr>
      </w:pPr>
      <w:r w:rsidRPr="003F60ED">
        <w:rPr>
          <w:rFonts w:ascii="Arial" w:hAnsi="Arial" w:cs="Arial"/>
        </w:rPr>
        <w:t xml:space="preserve">In </w:t>
      </w:r>
      <w:proofErr w:type="spellStart"/>
      <w:r w:rsidRPr="003F60ED">
        <w:rPr>
          <w:rFonts w:ascii="Arial" w:hAnsi="Arial" w:cs="Arial"/>
        </w:rPr>
        <w:t>AiiDA</w:t>
      </w:r>
      <w:proofErr w:type="spellEnd"/>
      <w:r w:rsidRPr="003F60ED">
        <w:rPr>
          <w:rFonts w:ascii="Arial" w:hAnsi="Arial" w:cs="Arial"/>
        </w:rPr>
        <w:t xml:space="preserve">, any entity that handles input data to produce output data, and that is run by the engine, is called a process. Processes come in two </w:t>
      </w:r>
      <w:proofErr w:type="spellStart"/>
      <w:r w:rsidRPr="003F60ED">
        <w:rPr>
          <w:rFonts w:ascii="Arial" w:hAnsi="Arial" w:cs="Arial"/>
        </w:rPr>
        <w:t>flavours</w:t>
      </w:r>
      <w:proofErr w:type="spellEnd"/>
      <w:r w:rsidRPr="003F60ED">
        <w:rPr>
          <w:rFonts w:ascii="Arial" w:hAnsi="Arial" w:cs="Arial"/>
        </w:rPr>
        <w:t>: calculations and workflows</w:t>
      </w:r>
      <w:r>
        <w:rPr>
          <w:rFonts w:ascii="Arial" w:hAnsi="Arial" w:cs="Arial"/>
        </w:rPr>
        <w:t xml:space="preserve"> </w:t>
      </w:r>
      <w:proofErr w:type="gramStart"/>
      <w:r w:rsidRPr="003F60ED">
        <w:rPr>
          <w:rFonts w:ascii="Arial" w:hAnsi="Arial" w:cs="Arial"/>
        </w:rPr>
        <w:t>In</w:t>
      </w:r>
      <w:proofErr w:type="gramEnd"/>
      <w:r w:rsidRPr="003F60ED">
        <w:rPr>
          <w:rFonts w:ascii="Arial" w:hAnsi="Arial" w:cs="Arial"/>
        </w:rPr>
        <w:t xml:space="preserve"> particular, calculations are defined as processes that create new data as output, given certain data as input. A typical case is the execution of a simulation code on a remote computer. In contrast, workflows in </w:t>
      </w:r>
      <w:proofErr w:type="spellStart"/>
      <w:r w:rsidRPr="003F60ED">
        <w:rPr>
          <w:rFonts w:ascii="Arial" w:hAnsi="Arial" w:cs="Arial"/>
        </w:rPr>
        <w:t>AiiDA</w:t>
      </w:r>
      <w:proofErr w:type="spellEnd"/>
      <w:r w:rsidRPr="003F60ED">
        <w:rPr>
          <w:rFonts w:ascii="Arial" w:hAnsi="Arial" w:cs="Arial"/>
        </w:rPr>
        <w:t xml:space="preserve"> are solely tasked with the orchestration of subprocesses, calling calculations and/or other workflows in a certain logical sequence. Consequently, workflows are not allowed to generate new data, but can only return existing data</w:t>
      </w:r>
      <w:r>
        <w:rPr>
          <w:rFonts w:ascii="Arial" w:hAnsi="Arial" w:cs="Arial"/>
        </w:rPr>
        <w:t>.</w:t>
      </w:r>
    </w:p>
    <w:p w14:paraId="15DE1E4F" w14:textId="4EEFE34F" w:rsidR="003F60ED" w:rsidRPr="003F60ED" w:rsidRDefault="003F60ED" w:rsidP="003F60ED">
      <w:pPr>
        <w:jc w:val="both"/>
        <w:rPr>
          <w:rFonts w:ascii="Arial" w:hAnsi="Arial" w:cs="Arial"/>
        </w:rPr>
      </w:pPr>
      <w:r w:rsidRPr="003F60ED">
        <w:rPr>
          <w:rFonts w:ascii="Arial" w:hAnsi="Arial" w:cs="Arial"/>
        </w:rPr>
        <w:t xml:space="preserve">This distinction is critical in the design of the provenance model of </w:t>
      </w:r>
      <w:proofErr w:type="spellStart"/>
      <w:r w:rsidRPr="003F60ED">
        <w:rPr>
          <w:rFonts w:ascii="Arial" w:hAnsi="Arial" w:cs="Arial"/>
        </w:rPr>
        <w:t>AiiDA</w:t>
      </w:r>
      <w:proofErr w:type="spellEnd"/>
      <w:r w:rsidRPr="003F60ED">
        <w:rPr>
          <w:rFonts w:ascii="Arial" w:hAnsi="Arial" w:cs="Arial"/>
        </w:rPr>
        <w:t xml:space="preserve">, allowing to differentiate the part of the provenance graph that represents exactly how data was generated from the logical provenance that captures the </w:t>
      </w:r>
      <w:r>
        <w:rPr>
          <w:rFonts w:ascii="Arial" w:hAnsi="Arial" w:cs="Arial"/>
        </w:rPr>
        <w:t>reason behind the data creation.</w:t>
      </w:r>
    </w:p>
    <w:p w14:paraId="7CA203EA" w14:textId="6E7D15C6" w:rsidR="003F60ED" w:rsidRDefault="003F60ED" w:rsidP="009E2863">
      <w:pPr>
        <w:rPr>
          <w:rFonts w:ascii="Arial" w:hAnsi="Arial" w:cs="Arial"/>
          <w:sz w:val="20"/>
          <w:szCs w:val="20"/>
        </w:rPr>
      </w:pPr>
    </w:p>
    <w:p w14:paraId="4FB9512D" w14:textId="136C1C1E" w:rsidR="003F60ED" w:rsidRDefault="003F60ED" w:rsidP="009E2863">
      <w:pPr>
        <w:rPr>
          <w:rFonts w:ascii="Arial" w:hAnsi="Arial" w:cs="Arial"/>
          <w:sz w:val="20"/>
          <w:szCs w:val="20"/>
        </w:rPr>
      </w:pPr>
    </w:p>
    <w:p w14:paraId="357F6C89" w14:textId="7473A21A" w:rsidR="003F60ED" w:rsidRDefault="003F60ED" w:rsidP="009E2863">
      <w:pPr>
        <w:rPr>
          <w:rFonts w:ascii="Arial" w:hAnsi="Arial" w:cs="Arial"/>
          <w:sz w:val="20"/>
          <w:szCs w:val="20"/>
        </w:rPr>
      </w:pPr>
    </w:p>
    <w:p w14:paraId="131EB396" w14:textId="1BDC49F3" w:rsidR="003F60ED" w:rsidRDefault="003F60ED" w:rsidP="009E2863">
      <w:pPr>
        <w:rPr>
          <w:rFonts w:ascii="Arial" w:hAnsi="Arial" w:cs="Arial"/>
          <w:sz w:val="20"/>
          <w:szCs w:val="20"/>
        </w:rPr>
      </w:pPr>
    </w:p>
    <w:p w14:paraId="6D0DBB8D" w14:textId="42E10CFA" w:rsidR="003F60ED" w:rsidRDefault="003F60ED" w:rsidP="009E2863">
      <w:pPr>
        <w:rPr>
          <w:rFonts w:ascii="Arial" w:hAnsi="Arial" w:cs="Arial"/>
          <w:sz w:val="20"/>
          <w:szCs w:val="20"/>
        </w:rPr>
      </w:pPr>
    </w:p>
    <w:p w14:paraId="4EBBBD4B" w14:textId="1359C45C" w:rsidR="003F60ED" w:rsidRDefault="003F60ED" w:rsidP="009E2863">
      <w:pPr>
        <w:rPr>
          <w:rFonts w:ascii="Arial" w:hAnsi="Arial" w:cs="Arial"/>
          <w:sz w:val="20"/>
          <w:szCs w:val="20"/>
        </w:rPr>
      </w:pPr>
    </w:p>
    <w:p w14:paraId="75CEB64A" w14:textId="16342FEB" w:rsidR="003F60ED" w:rsidRDefault="003F60ED" w:rsidP="009E2863">
      <w:pPr>
        <w:rPr>
          <w:rFonts w:ascii="Arial" w:hAnsi="Arial" w:cs="Arial"/>
          <w:sz w:val="20"/>
          <w:szCs w:val="20"/>
        </w:rPr>
      </w:pPr>
    </w:p>
    <w:p w14:paraId="6B1F07BC" w14:textId="2078AE6F" w:rsidR="003F60ED" w:rsidRDefault="003F60ED" w:rsidP="009E2863">
      <w:pPr>
        <w:rPr>
          <w:rFonts w:ascii="Arial" w:hAnsi="Arial" w:cs="Arial"/>
          <w:sz w:val="20"/>
          <w:szCs w:val="20"/>
        </w:rPr>
      </w:pPr>
    </w:p>
    <w:p w14:paraId="50C8AAF8" w14:textId="77777777" w:rsidR="003F60ED" w:rsidRDefault="003F60ED" w:rsidP="009E2863">
      <w:pPr>
        <w:rPr>
          <w:rFonts w:ascii="Arial" w:hAnsi="Arial" w:cs="Arial"/>
          <w:sz w:val="20"/>
          <w:szCs w:val="20"/>
        </w:rPr>
      </w:pPr>
    </w:p>
    <w:p w14:paraId="559224B4" w14:textId="77777777" w:rsidR="00BF57A9" w:rsidRDefault="00BF57A9" w:rsidP="009E2863">
      <w:pPr>
        <w:rPr>
          <w:rFonts w:ascii="Arial" w:hAnsi="Arial" w:cs="Arial"/>
          <w:sz w:val="20"/>
          <w:szCs w:val="20"/>
        </w:rPr>
      </w:pPr>
    </w:p>
    <w:p w14:paraId="55566FE5" w14:textId="77777777" w:rsidR="00BF57A9" w:rsidRDefault="00BF57A9" w:rsidP="009E2863">
      <w:pPr>
        <w:rPr>
          <w:rFonts w:ascii="Arial" w:hAnsi="Arial" w:cs="Arial"/>
          <w:sz w:val="20"/>
          <w:szCs w:val="20"/>
        </w:rPr>
      </w:pPr>
    </w:p>
    <w:p w14:paraId="1CDE9088" w14:textId="77777777" w:rsidR="00BF57A9" w:rsidRDefault="00BF57A9" w:rsidP="009E2863">
      <w:pPr>
        <w:rPr>
          <w:rFonts w:ascii="Arial" w:hAnsi="Arial" w:cs="Arial"/>
          <w:sz w:val="20"/>
          <w:szCs w:val="20"/>
        </w:rPr>
      </w:pPr>
    </w:p>
    <w:p w14:paraId="49D2886E" w14:textId="77777777" w:rsidR="00BF57A9" w:rsidRDefault="00BF57A9" w:rsidP="009E2863">
      <w:pPr>
        <w:rPr>
          <w:rFonts w:ascii="Arial" w:hAnsi="Arial" w:cs="Arial"/>
          <w:sz w:val="20"/>
          <w:szCs w:val="20"/>
        </w:rPr>
      </w:pPr>
    </w:p>
    <w:p w14:paraId="2B517CB7" w14:textId="77777777" w:rsidR="00BF57A9" w:rsidRDefault="00BF57A9" w:rsidP="009E2863">
      <w:pPr>
        <w:rPr>
          <w:rFonts w:ascii="Arial" w:hAnsi="Arial" w:cs="Arial"/>
          <w:sz w:val="20"/>
          <w:szCs w:val="20"/>
        </w:rPr>
      </w:pPr>
    </w:p>
    <w:p w14:paraId="2248E99A" w14:textId="77777777" w:rsidR="00BF57A9" w:rsidRDefault="00BF57A9" w:rsidP="009E2863">
      <w:pPr>
        <w:rPr>
          <w:rFonts w:ascii="Arial" w:hAnsi="Arial" w:cs="Arial"/>
          <w:sz w:val="20"/>
          <w:szCs w:val="20"/>
        </w:rPr>
      </w:pPr>
    </w:p>
    <w:p w14:paraId="5F62A074" w14:textId="77777777" w:rsidR="00BF57A9" w:rsidRDefault="00BF57A9" w:rsidP="009E2863">
      <w:pPr>
        <w:rPr>
          <w:rFonts w:ascii="Arial" w:hAnsi="Arial" w:cs="Arial"/>
          <w:sz w:val="20"/>
          <w:szCs w:val="20"/>
        </w:rPr>
      </w:pPr>
    </w:p>
    <w:p w14:paraId="088AA652" w14:textId="77777777" w:rsidR="00BF57A9" w:rsidRDefault="00BF57A9" w:rsidP="009E2863">
      <w:pPr>
        <w:rPr>
          <w:rFonts w:ascii="Arial" w:hAnsi="Arial" w:cs="Arial"/>
          <w:sz w:val="20"/>
          <w:szCs w:val="20"/>
        </w:rPr>
      </w:pPr>
    </w:p>
    <w:p w14:paraId="16A72469" w14:textId="77777777" w:rsidR="00BF57A9" w:rsidRDefault="00BF57A9" w:rsidP="009E2863">
      <w:pPr>
        <w:rPr>
          <w:rFonts w:ascii="Arial" w:hAnsi="Arial" w:cs="Arial"/>
          <w:sz w:val="20"/>
          <w:szCs w:val="20"/>
        </w:rPr>
      </w:pPr>
    </w:p>
    <w:p w14:paraId="37550159" w14:textId="77777777" w:rsidR="00BF57A9" w:rsidRDefault="00BF57A9" w:rsidP="009E2863">
      <w:pPr>
        <w:rPr>
          <w:rFonts w:ascii="Arial" w:hAnsi="Arial" w:cs="Arial"/>
          <w:sz w:val="20"/>
          <w:szCs w:val="20"/>
        </w:rPr>
      </w:pPr>
    </w:p>
    <w:p w14:paraId="49991E00" w14:textId="77777777" w:rsidR="00BF57A9" w:rsidRDefault="00BF57A9" w:rsidP="009E2863">
      <w:pPr>
        <w:rPr>
          <w:rFonts w:ascii="Arial" w:hAnsi="Arial" w:cs="Arial"/>
          <w:sz w:val="20"/>
          <w:szCs w:val="20"/>
        </w:rPr>
      </w:pPr>
    </w:p>
    <w:p w14:paraId="0E1EA4C3" w14:textId="77777777" w:rsidR="00BF57A9" w:rsidRDefault="00BF57A9" w:rsidP="009E2863">
      <w:pPr>
        <w:rPr>
          <w:rFonts w:ascii="Arial" w:hAnsi="Arial" w:cs="Arial"/>
          <w:sz w:val="20"/>
          <w:szCs w:val="20"/>
        </w:rPr>
      </w:pPr>
    </w:p>
    <w:p w14:paraId="45615F5F" w14:textId="77777777" w:rsidR="00BF57A9" w:rsidRDefault="00BF57A9" w:rsidP="009E2863">
      <w:pPr>
        <w:rPr>
          <w:rFonts w:ascii="Arial" w:hAnsi="Arial" w:cs="Arial"/>
          <w:sz w:val="20"/>
          <w:szCs w:val="20"/>
        </w:rPr>
      </w:pPr>
    </w:p>
    <w:p w14:paraId="3675A73F" w14:textId="77777777" w:rsidR="00BF57A9" w:rsidRDefault="00BF57A9" w:rsidP="009E2863">
      <w:pPr>
        <w:rPr>
          <w:rFonts w:ascii="Arial" w:hAnsi="Arial" w:cs="Arial"/>
          <w:sz w:val="20"/>
          <w:szCs w:val="20"/>
        </w:rPr>
      </w:pPr>
    </w:p>
    <w:p w14:paraId="54A79416" w14:textId="77777777" w:rsidR="00426C59" w:rsidRDefault="00426C59" w:rsidP="009E2863">
      <w:pPr>
        <w:rPr>
          <w:rFonts w:ascii="Arial" w:hAnsi="Arial" w:cs="Arial"/>
          <w:sz w:val="20"/>
          <w:szCs w:val="20"/>
        </w:rPr>
      </w:pPr>
    </w:p>
    <w:p w14:paraId="74B7FB82" w14:textId="4CCC440D" w:rsidR="00426C59" w:rsidRPr="00426C59" w:rsidRDefault="00426C59" w:rsidP="009E2863">
      <w:pPr>
        <w:rPr>
          <w:rFonts w:ascii="Arial" w:hAnsi="Arial" w:cs="Arial"/>
          <w:b/>
          <w:bCs/>
          <w:u w:val="single"/>
        </w:rPr>
      </w:pPr>
      <w:r w:rsidRPr="00426C59">
        <w:rPr>
          <w:rFonts w:ascii="Arial" w:hAnsi="Arial" w:cs="Arial"/>
          <w:b/>
          <w:bCs/>
          <w:u w:val="single"/>
        </w:rPr>
        <w:lastRenderedPageBreak/>
        <w:t>The Provenance Model</w:t>
      </w:r>
    </w:p>
    <w:p w14:paraId="69D60A28" w14:textId="77777777" w:rsidR="00F8260A" w:rsidRDefault="00F8260A" w:rsidP="00F8260A">
      <w:pPr>
        <w:jc w:val="both"/>
        <w:rPr>
          <w:rFonts w:ascii="Arial" w:hAnsi="Arial" w:cs="Arial"/>
        </w:rPr>
      </w:pPr>
      <w:proofErr w:type="spellStart"/>
      <w:r w:rsidRPr="00F8260A">
        <w:rPr>
          <w:rFonts w:ascii="Arial" w:hAnsi="Arial" w:cs="Arial"/>
        </w:rPr>
        <w:t>AiiDA’s</w:t>
      </w:r>
      <w:proofErr w:type="spellEnd"/>
      <w:r w:rsidRPr="00F8260A">
        <w:rPr>
          <w:rFonts w:ascii="Arial" w:hAnsi="Arial" w:cs="Arial"/>
        </w:rPr>
        <w:t xml:space="preserve"> engine automatically represents the execution of processes, along with their inputs and outputs, as </w:t>
      </w:r>
      <w:r>
        <w:rPr>
          <w:rFonts w:ascii="Arial" w:hAnsi="Arial" w:cs="Arial"/>
        </w:rPr>
        <w:t>nodes</w:t>
      </w:r>
      <w:r w:rsidRPr="00F8260A">
        <w:rPr>
          <w:rFonts w:ascii="Arial" w:hAnsi="Arial" w:cs="Arial"/>
        </w:rPr>
        <w:t xml:space="preserve"> of a directed graph. </w:t>
      </w:r>
      <w:r>
        <w:rPr>
          <w:rFonts w:ascii="Arial" w:hAnsi="Arial" w:cs="Arial"/>
        </w:rPr>
        <w:t>Links</w:t>
      </w:r>
      <w:r w:rsidRPr="00F8260A">
        <w:rPr>
          <w:rFonts w:ascii="Arial" w:hAnsi="Arial" w:cs="Arial"/>
        </w:rPr>
        <w:t xml:space="preserve"> connect the </w:t>
      </w:r>
      <w:proofErr w:type="gramStart"/>
      <w:r w:rsidRPr="00F8260A">
        <w:rPr>
          <w:rFonts w:ascii="Arial" w:hAnsi="Arial" w:cs="Arial"/>
        </w:rPr>
        <w:t>nodes;</w:t>
      </w:r>
      <w:proofErr w:type="gramEnd"/>
      <w:r w:rsidRPr="00F8260A">
        <w:rPr>
          <w:rFonts w:ascii="Arial" w:hAnsi="Arial" w:cs="Arial"/>
        </w:rPr>
        <w:t xml:space="preserve"> process nodes</w:t>
      </w:r>
      <w:r>
        <w:rPr>
          <w:rFonts w:ascii="Arial" w:hAnsi="Arial" w:cs="Arial"/>
        </w:rPr>
        <w:t xml:space="preserve">. </w:t>
      </w:r>
      <w:r w:rsidRPr="00F8260A">
        <w:rPr>
          <w:rFonts w:ascii="Arial" w:hAnsi="Arial" w:cs="Arial"/>
        </w:rPr>
        <w:t xml:space="preserve">Since output data can in turn be used as input to new processes, extensive graphs are generated. </w:t>
      </w:r>
      <w:r>
        <w:rPr>
          <w:rFonts w:ascii="Arial" w:hAnsi="Arial" w:cs="Arial"/>
        </w:rPr>
        <w:t>The</w:t>
      </w:r>
      <w:r w:rsidRPr="00F8260A">
        <w:rPr>
          <w:rFonts w:ascii="Arial" w:hAnsi="Arial" w:cs="Arial"/>
        </w:rPr>
        <w:t>y</w:t>
      </w:r>
      <w:r>
        <w:rPr>
          <w:rFonts w:ascii="Arial" w:hAnsi="Arial" w:cs="Arial"/>
        </w:rPr>
        <w:t xml:space="preserve"> are called</w:t>
      </w:r>
      <w:r w:rsidRPr="00F8260A">
        <w:rPr>
          <w:rFonts w:ascii="Arial" w:hAnsi="Arial" w:cs="Arial"/>
        </w:rPr>
        <w:t xml:space="preserve"> </w:t>
      </w:r>
      <w:proofErr w:type="spellStart"/>
      <w:r w:rsidRPr="00F8260A">
        <w:rPr>
          <w:rFonts w:ascii="Arial" w:hAnsi="Arial" w:cs="Arial"/>
        </w:rPr>
        <w:t>AiiDA</w:t>
      </w:r>
      <w:proofErr w:type="spellEnd"/>
      <w:r w:rsidRPr="00F8260A">
        <w:rPr>
          <w:rFonts w:ascii="Arial" w:hAnsi="Arial" w:cs="Arial"/>
        </w:rPr>
        <w:t xml:space="preserve"> provenance graphs</w:t>
      </w:r>
      <w:r>
        <w:rPr>
          <w:rFonts w:ascii="Arial" w:hAnsi="Arial" w:cs="Arial"/>
        </w:rPr>
        <w:t xml:space="preserve">, as </w:t>
      </w:r>
      <w:r w:rsidRPr="00F8260A">
        <w:rPr>
          <w:rFonts w:ascii="Arial" w:hAnsi="Arial" w:cs="Arial"/>
        </w:rPr>
        <w:t>they allow to retrace the exact steps that led to the creation of a piece of data. An example of a simple provenance graph is shown in Fig. 2.</w:t>
      </w:r>
    </w:p>
    <w:p w14:paraId="5F01F17B" w14:textId="77777777" w:rsidR="00F8260A" w:rsidRDefault="00F8260A" w:rsidP="00F8260A">
      <w:pPr>
        <w:keepNext/>
        <w:jc w:val="both"/>
      </w:pPr>
      <w:r>
        <w:rPr>
          <w:rFonts w:ascii="Arial" w:hAnsi="Arial" w:cs="Arial"/>
          <w:noProof/>
        </w:rPr>
        <w:drawing>
          <wp:inline distT="0" distB="0" distL="0" distR="0" wp14:anchorId="4F740E66" wp14:editId="65AB7BC2">
            <wp:extent cx="5972810" cy="3978910"/>
            <wp:effectExtent l="0" t="0" r="8890" b="2540"/>
            <wp:docPr id="4" name="Picture 4"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3978910"/>
                    </a:xfrm>
                    <a:prstGeom prst="rect">
                      <a:avLst/>
                    </a:prstGeom>
                  </pic:spPr>
                </pic:pic>
              </a:graphicData>
            </a:graphic>
          </wp:inline>
        </w:drawing>
      </w:r>
    </w:p>
    <w:p w14:paraId="4AF4831C" w14:textId="56DA000B" w:rsidR="00F8260A" w:rsidRPr="00F8260A" w:rsidRDefault="00F8260A" w:rsidP="00F8260A">
      <w:pPr>
        <w:pStyle w:val="Caption"/>
        <w:jc w:val="center"/>
        <w:rPr>
          <w:rFonts w:ascii="Arial" w:hAnsi="Arial" w:cs="Arial"/>
          <w:sz w:val="20"/>
          <w:szCs w:val="20"/>
        </w:rPr>
      </w:pPr>
      <w:r w:rsidRPr="00F8260A">
        <w:rPr>
          <w:rFonts w:ascii="Arial" w:hAnsi="Arial" w:cs="Arial"/>
          <w:sz w:val="20"/>
          <w:szCs w:val="20"/>
        </w:rPr>
        <w:t xml:space="preserve">Figure </w:t>
      </w:r>
      <w:r w:rsidRPr="00F8260A">
        <w:rPr>
          <w:rFonts w:ascii="Arial" w:hAnsi="Arial" w:cs="Arial"/>
          <w:sz w:val="20"/>
          <w:szCs w:val="20"/>
        </w:rPr>
        <w:fldChar w:fldCharType="begin"/>
      </w:r>
      <w:r w:rsidRPr="00F8260A">
        <w:rPr>
          <w:rFonts w:ascii="Arial" w:hAnsi="Arial" w:cs="Arial"/>
          <w:sz w:val="20"/>
          <w:szCs w:val="20"/>
        </w:rPr>
        <w:instrText xml:space="preserve"> SEQ Figure \* ARABIC </w:instrText>
      </w:r>
      <w:r w:rsidRPr="00F8260A">
        <w:rPr>
          <w:rFonts w:ascii="Arial" w:hAnsi="Arial" w:cs="Arial"/>
          <w:sz w:val="20"/>
          <w:szCs w:val="20"/>
        </w:rPr>
        <w:fldChar w:fldCharType="separate"/>
      </w:r>
      <w:r w:rsidR="0058389D">
        <w:rPr>
          <w:rFonts w:ascii="Arial" w:hAnsi="Arial" w:cs="Arial"/>
          <w:noProof/>
          <w:sz w:val="20"/>
          <w:szCs w:val="20"/>
        </w:rPr>
        <w:t>2</w:t>
      </w:r>
      <w:r w:rsidRPr="00F8260A">
        <w:rPr>
          <w:rFonts w:ascii="Arial" w:hAnsi="Arial" w:cs="Arial"/>
          <w:sz w:val="20"/>
          <w:szCs w:val="20"/>
        </w:rPr>
        <w:fldChar w:fldCharType="end"/>
      </w:r>
    </w:p>
    <w:p w14:paraId="18CB2735" w14:textId="77777777" w:rsidR="00426C59" w:rsidRDefault="00426C59" w:rsidP="009E2863">
      <w:pPr>
        <w:rPr>
          <w:rFonts w:ascii="Arial" w:hAnsi="Arial" w:cs="Arial"/>
          <w:sz w:val="20"/>
          <w:szCs w:val="20"/>
        </w:rPr>
      </w:pPr>
    </w:p>
    <w:p w14:paraId="244A5047" w14:textId="77777777" w:rsidR="005108DE" w:rsidRDefault="00F8260A" w:rsidP="00F8260A">
      <w:pPr>
        <w:jc w:val="both"/>
        <w:rPr>
          <w:rFonts w:ascii="Arial" w:hAnsi="Arial" w:cs="Arial"/>
        </w:rPr>
      </w:pPr>
      <w:r w:rsidRPr="00F8260A">
        <w:rPr>
          <w:rFonts w:ascii="Arial" w:hAnsi="Arial" w:cs="Arial"/>
        </w:rPr>
        <w:t xml:space="preserve">(a) A schematic provenance graph representing the execution of a workflow W1 receiving three data nodes D1, D2 and D3 as input, containing the values x, </w:t>
      </w:r>
      <w:proofErr w:type="gramStart"/>
      <w:r w:rsidRPr="00F8260A">
        <w:rPr>
          <w:rFonts w:ascii="Arial" w:hAnsi="Arial" w:cs="Arial"/>
        </w:rPr>
        <w:t>y</w:t>
      </w:r>
      <w:proofErr w:type="gramEnd"/>
      <w:r w:rsidRPr="00F8260A">
        <w:rPr>
          <w:rFonts w:ascii="Arial" w:hAnsi="Arial" w:cs="Arial"/>
        </w:rPr>
        <w:t xml:space="preserve"> and z respectively. W1 computes the expression (x + y) · z by calling two calculations C1 (to perform the sum) and C2 (to perform the product), forwarding the correct inputs to them. C1 creates the intermediate node D4 (with the value x + y) and C2 then creates the node D5 with </w:t>
      </w:r>
      <w:proofErr w:type="gramStart"/>
      <w:r w:rsidRPr="00F8260A">
        <w:rPr>
          <w:rFonts w:ascii="Arial" w:hAnsi="Arial" w:cs="Arial"/>
        </w:rPr>
        <w:t>the final result</w:t>
      </w:r>
      <w:proofErr w:type="gramEnd"/>
      <w:r w:rsidRPr="00F8260A">
        <w:rPr>
          <w:rFonts w:ascii="Arial" w:hAnsi="Arial" w:cs="Arial"/>
        </w:rPr>
        <w:t xml:space="preserve">, that is then also returned by W1. While this simplified example is purely for illustrative purposes, it demonstrates that by storing execution information as a graph, the provenance of all data is fully recorded. </w:t>
      </w:r>
    </w:p>
    <w:p w14:paraId="787C6A5A" w14:textId="77777777" w:rsidR="005108DE" w:rsidRDefault="00F8260A" w:rsidP="00F8260A">
      <w:pPr>
        <w:jc w:val="both"/>
        <w:rPr>
          <w:rFonts w:ascii="Arial" w:hAnsi="Arial" w:cs="Arial"/>
        </w:rPr>
      </w:pPr>
      <w:r w:rsidRPr="00F8260A">
        <w:rPr>
          <w:rFonts w:ascii="Arial" w:hAnsi="Arial" w:cs="Arial"/>
        </w:rPr>
        <w:t xml:space="preserve">(b) Data-provenance layer: it includes calculation and data nodes only, showing the exact sequence of steps that led to the creation of the data nodes. </w:t>
      </w:r>
    </w:p>
    <w:p w14:paraId="12943956" w14:textId="51F67F3F" w:rsidR="00426C59" w:rsidRPr="00F8260A" w:rsidRDefault="00F8260A" w:rsidP="00F8260A">
      <w:pPr>
        <w:jc w:val="both"/>
        <w:rPr>
          <w:rFonts w:ascii="Arial" w:hAnsi="Arial" w:cs="Arial"/>
        </w:rPr>
      </w:pPr>
      <w:r w:rsidRPr="00F8260A">
        <w:rPr>
          <w:rFonts w:ascii="Arial" w:hAnsi="Arial" w:cs="Arial"/>
        </w:rPr>
        <w:t xml:space="preserve">(c) Logical-provenance layer: it hides the details of all intermediate results and focuses only on how the workflow produced the </w:t>
      </w:r>
      <w:proofErr w:type="gramStart"/>
      <w:r w:rsidRPr="00F8260A">
        <w:rPr>
          <w:rFonts w:ascii="Arial" w:hAnsi="Arial" w:cs="Arial"/>
        </w:rPr>
        <w:t>final results</w:t>
      </w:r>
      <w:proofErr w:type="gramEnd"/>
      <w:r w:rsidRPr="00F8260A">
        <w:rPr>
          <w:rFonts w:ascii="Arial" w:hAnsi="Arial" w:cs="Arial"/>
        </w:rPr>
        <w:t xml:space="preserve"> from a given set of inputs.</w:t>
      </w:r>
    </w:p>
    <w:p w14:paraId="2A7D739D" w14:textId="77777777" w:rsidR="00BE05F6" w:rsidRDefault="00BE05F6" w:rsidP="005108DE">
      <w:pPr>
        <w:jc w:val="both"/>
        <w:rPr>
          <w:rFonts w:ascii="Arial" w:hAnsi="Arial" w:cs="Arial"/>
          <w:sz w:val="20"/>
          <w:szCs w:val="20"/>
        </w:rPr>
      </w:pPr>
    </w:p>
    <w:p w14:paraId="6AA8AE61" w14:textId="58E02878" w:rsidR="005108DE" w:rsidRPr="005108DE" w:rsidRDefault="005108DE" w:rsidP="005108DE">
      <w:pPr>
        <w:jc w:val="both"/>
        <w:rPr>
          <w:rFonts w:ascii="Arial" w:hAnsi="Arial" w:cs="Arial"/>
          <w:u w:val="single"/>
        </w:rPr>
      </w:pPr>
      <w:r>
        <w:rPr>
          <w:rFonts w:ascii="Arial" w:hAnsi="Arial" w:cs="Arial"/>
          <w:u w:val="single"/>
        </w:rPr>
        <w:lastRenderedPageBreak/>
        <w:t>Node Types</w:t>
      </w:r>
    </w:p>
    <w:p w14:paraId="5BB84DFC" w14:textId="5E6677AD" w:rsidR="005108DE" w:rsidRPr="005108DE" w:rsidRDefault="005108DE" w:rsidP="005108DE">
      <w:pPr>
        <w:rPr>
          <w:rFonts w:ascii="Arial" w:hAnsi="Arial" w:cs="Arial"/>
          <w:sz w:val="20"/>
          <w:szCs w:val="20"/>
        </w:rPr>
      </w:pPr>
      <w:r w:rsidRPr="005108DE">
        <w:rPr>
          <w:rFonts w:ascii="Arial" w:hAnsi="Arial" w:cs="Arial"/>
          <w:sz w:val="20"/>
          <w:szCs w:val="20"/>
        </w:rPr>
        <w:t>While all nodes of the graph share a set of common properties, there is a need to define custom properties based on what the node represents.</w:t>
      </w:r>
      <w:r>
        <w:rPr>
          <w:rFonts w:ascii="Arial" w:hAnsi="Arial" w:cs="Arial"/>
          <w:sz w:val="20"/>
          <w:szCs w:val="20"/>
        </w:rPr>
        <w:t xml:space="preserve"> </w:t>
      </w:r>
      <w:r w:rsidRPr="005108DE">
        <w:rPr>
          <w:rFonts w:ascii="Arial" w:hAnsi="Arial" w:cs="Arial"/>
          <w:sz w:val="20"/>
          <w:szCs w:val="20"/>
        </w:rPr>
        <w:t xml:space="preserve">Therefore, the various </w:t>
      </w:r>
      <w:proofErr w:type="spellStart"/>
      <w:r w:rsidRPr="005108DE">
        <w:rPr>
          <w:rFonts w:ascii="Arial" w:hAnsi="Arial" w:cs="Arial"/>
          <w:sz w:val="20"/>
          <w:szCs w:val="20"/>
        </w:rPr>
        <w:t>AiiDA</w:t>
      </w:r>
      <w:proofErr w:type="spellEnd"/>
      <w:r w:rsidRPr="005108DE">
        <w:rPr>
          <w:rFonts w:ascii="Arial" w:hAnsi="Arial" w:cs="Arial"/>
          <w:sz w:val="20"/>
          <w:szCs w:val="20"/>
        </w:rPr>
        <w:t xml:space="preserve"> processes as well as data are represented by different node subtypes. This makes it possible to implement functionality specific to each of them and to explicitly target nodes of a certain type when querying the graph.</w:t>
      </w:r>
    </w:p>
    <w:p w14:paraId="0436E3E2" w14:textId="62D94C64" w:rsidR="005108DE" w:rsidRDefault="005108DE" w:rsidP="005108DE">
      <w:pPr>
        <w:rPr>
          <w:rFonts w:ascii="Arial" w:hAnsi="Arial" w:cs="Arial"/>
          <w:sz w:val="20"/>
          <w:szCs w:val="20"/>
        </w:rPr>
      </w:pPr>
      <w:r w:rsidRPr="005108DE">
        <w:rPr>
          <w:rFonts w:ascii="Arial" w:hAnsi="Arial" w:cs="Arial"/>
          <w:sz w:val="20"/>
          <w:szCs w:val="20"/>
        </w:rPr>
        <w:t xml:space="preserve">In </w:t>
      </w:r>
      <w:proofErr w:type="spellStart"/>
      <w:r w:rsidRPr="005108DE">
        <w:rPr>
          <w:rFonts w:ascii="Arial" w:hAnsi="Arial" w:cs="Arial"/>
          <w:sz w:val="20"/>
          <w:szCs w:val="20"/>
        </w:rPr>
        <w:t>AiiDA</w:t>
      </w:r>
      <w:proofErr w:type="spellEnd"/>
      <w:r w:rsidRPr="005108DE">
        <w:rPr>
          <w:rFonts w:ascii="Arial" w:hAnsi="Arial" w:cs="Arial"/>
          <w:sz w:val="20"/>
          <w:szCs w:val="20"/>
        </w:rPr>
        <w:t xml:space="preserve">, the Node class is the base class to represent any node in the graph. The common properties of any node include the user who created it, the creation and last modification times, an optional computer on which it was run or stored, and a human-readable label and description. Node classes are subclassed to build a hierarchy of node types, schematically represented in Fig. 3. </w:t>
      </w:r>
      <w:proofErr w:type="gramStart"/>
      <w:r w:rsidRPr="005108DE">
        <w:rPr>
          <w:rFonts w:ascii="Arial" w:hAnsi="Arial" w:cs="Arial"/>
          <w:sz w:val="20"/>
          <w:szCs w:val="20"/>
        </w:rPr>
        <w:t>In particular, data</w:t>
      </w:r>
      <w:proofErr w:type="gramEnd"/>
      <w:r w:rsidRPr="005108DE">
        <w:rPr>
          <w:rFonts w:ascii="Arial" w:hAnsi="Arial" w:cs="Arial"/>
          <w:sz w:val="20"/>
          <w:szCs w:val="20"/>
        </w:rPr>
        <w:t xml:space="preserve"> and process nodes are represented by the Data and </w:t>
      </w:r>
      <w:proofErr w:type="spellStart"/>
      <w:r w:rsidRPr="005108DE">
        <w:rPr>
          <w:rFonts w:ascii="Arial" w:hAnsi="Arial" w:cs="Arial"/>
          <w:sz w:val="20"/>
          <w:szCs w:val="20"/>
        </w:rPr>
        <w:t>ProcessNode</w:t>
      </w:r>
      <w:proofErr w:type="spellEnd"/>
      <w:r w:rsidRPr="005108DE">
        <w:rPr>
          <w:rFonts w:ascii="Arial" w:hAnsi="Arial" w:cs="Arial"/>
          <w:sz w:val="20"/>
          <w:szCs w:val="20"/>
        </w:rPr>
        <w:t xml:space="preserve"> subclasses, respectively.</w:t>
      </w:r>
    </w:p>
    <w:p w14:paraId="45547BC2" w14:textId="77777777" w:rsidR="005108DE" w:rsidRDefault="005108DE" w:rsidP="005108DE">
      <w:pPr>
        <w:rPr>
          <w:rFonts w:ascii="Arial" w:hAnsi="Arial" w:cs="Arial"/>
          <w:sz w:val="20"/>
          <w:szCs w:val="20"/>
        </w:rPr>
      </w:pPr>
    </w:p>
    <w:p w14:paraId="1F9BF4DD" w14:textId="77777777" w:rsidR="00D55382" w:rsidRDefault="005108DE" w:rsidP="00D55382">
      <w:pPr>
        <w:keepNext/>
        <w:jc w:val="center"/>
      </w:pPr>
      <w:r>
        <w:rPr>
          <w:rFonts w:ascii="Arial" w:hAnsi="Arial" w:cs="Arial"/>
          <w:noProof/>
          <w:sz w:val="20"/>
          <w:szCs w:val="20"/>
        </w:rPr>
        <w:drawing>
          <wp:inline distT="0" distB="0" distL="0" distR="0" wp14:anchorId="544A27D0" wp14:editId="0D41971A">
            <wp:extent cx="5972810" cy="1621790"/>
            <wp:effectExtent l="0" t="0" r="889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1621790"/>
                    </a:xfrm>
                    <a:prstGeom prst="rect">
                      <a:avLst/>
                    </a:prstGeom>
                  </pic:spPr>
                </pic:pic>
              </a:graphicData>
            </a:graphic>
          </wp:inline>
        </w:drawing>
      </w:r>
    </w:p>
    <w:p w14:paraId="67808008" w14:textId="3731CA6A" w:rsidR="005108DE" w:rsidRPr="00D55382" w:rsidRDefault="00D55382" w:rsidP="00D55382">
      <w:pPr>
        <w:pStyle w:val="Caption"/>
        <w:jc w:val="center"/>
        <w:rPr>
          <w:rFonts w:ascii="Arial" w:hAnsi="Arial" w:cs="Arial"/>
          <w:sz w:val="20"/>
          <w:szCs w:val="20"/>
        </w:rPr>
      </w:pPr>
      <w:r w:rsidRPr="00D55382">
        <w:rPr>
          <w:rFonts w:ascii="Arial" w:hAnsi="Arial" w:cs="Arial"/>
          <w:sz w:val="20"/>
          <w:szCs w:val="20"/>
        </w:rPr>
        <w:t xml:space="preserve">Figure </w:t>
      </w:r>
      <w:r w:rsidRPr="00D55382">
        <w:rPr>
          <w:rFonts w:ascii="Arial" w:hAnsi="Arial" w:cs="Arial"/>
          <w:sz w:val="20"/>
          <w:szCs w:val="20"/>
        </w:rPr>
        <w:fldChar w:fldCharType="begin"/>
      </w:r>
      <w:r w:rsidRPr="00D55382">
        <w:rPr>
          <w:rFonts w:ascii="Arial" w:hAnsi="Arial" w:cs="Arial"/>
          <w:sz w:val="20"/>
          <w:szCs w:val="20"/>
        </w:rPr>
        <w:instrText xml:space="preserve"> SEQ Figure \* ARABIC </w:instrText>
      </w:r>
      <w:r w:rsidRPr="00D55382">
        <w:rPr>
          <w:rFonts w:ascii="Arial" w:hAnsi="Arial" w:cs="Arial"/>
          <w:sz w:val="20"/>
          <w:szCs w:val="20"/>
        </w:rPr>
        <w:fldChar w:fldCharType="separate"/>
      </w:r>
      <w:r w:rsidR="0058389D">
        <w:rPr>
          <w:rFonts w:ascii="Arial" w:hAnsi="Arial" w:cs="Arial"/>
          <w:noProof/>
          <w:sz w:val="20"/>
          <w:szCs w:val="20"/>
        </w:rPr>
        <w:t>3</w:t>
      </w:r>
      <w:r w:rsidRPr="00D55382">
        <w:rPr>
          <w:rFonts w:ascii="Arial" w:hAnsi="Arial" w:cs="Arial"/>
          <w:sz w:val="20"/>
          <w:szCs w:val="20"/>
        </w:rPr>
        <w:fldChar w:fldCharType="end"/>
      </w:r>
      <w:r w:rsidRPr="00D55382">
        <w:rPr>
          <w:rFonts w:ascii="Arial" w:hAnsi="Arial" w:cs="Arial"/>
          <w:sz w:val="20"/>
          <w:szCs w:val="20"/>
        </w:rPr>
        <w:t xml:space="preserve"> </w:t>
      </w:r>
      <w:proofErr w:type="spellStart"/>
      <w:r w:rsidRPr="00D55382">
        <w:rPr>
          <w:rFonts w:ascii="Arial" w:hAnsi="Arial" w:cs="Arial"/>
          <w:sz w:val="20"/>
          <w:szCs w:val="20"/>
        </w:rPr>
        <w:t>Hierarcy</w:t>
      </w:r>
      <w:proofErr w:type="spellEnd"/>
      <w:r w:rsidRPr="00D55382">
        <w:rPr>
          <w:rFonts w:ascii="Arial" w:hAnsi="Arial" w:cs="Arial"/>
          <w:sz w:val="20"/>
          <w:szCs w:val="20"/>
        </w:rPr>
        <w:t xml:space="preserve"> of node types in </w:t>
      </w:r>
      <w:proofErr w:type="spellStart"/>
      <w:r w:rsidRPr="00D55382">
        <w:rPr>
          <w:rFonts w:ascii="Arial" w:hAnsi="Arial" w:cs="Arial"/>
          <w:sz w:val="20"/>
          <w:szCs w:val="20"/>
        </w:rPr>
        <w:t>AiiDa</w:t>
      </w:r>
      <w:proofErr w:type="spellEnd"/>
    </w:p>
    <w:p w14:paraId="4705B920" w14:textId="77777777" w:rsidR="00D55382" w:rsidRDefault="00D55382" w:rsidP="005108DE">
      <w:pPr>
        <w:jc w:val="both"/>
        <w:rPr>
          <w:rFonts w:ascii="Arial" w:hAnsi="Arial" w:cs="Arial"/>
        </w:rPr>
      </w:pPr>
    </w:p>
    <w:p w14:paraId="7FC5396E" w14:textId="39269001" w:rsidR="00426C59" w:rsidRPr="00D55382" w:rsidRDefault="005108DE" w:rsidP="0058389D">
      <w:pPr>
        <w:jc w:val="both"/>
        <w:rPr>
          <w:rFonts w:ascii="Arial" w:hAnsi="Arial" w:cs="Arial"/>
        </w:rPr>
      </w:pPr>
      <w:r w:rsidRPr="005108DE">
        <w:rPr>
          <w:rFonts w:ascii="Arial" w:hAnsi="Arial" w:cs="Arial"/>
        </w:rPr>
        <w:t>The different node classes allow to implement custom functionality for each subtype. Additionally, the subclass hierarchy allows to query for specific node types, or a set thereof.</w:t>
      </w:r>
    </w:p>
    <w:p w14:paraId="4668494D" w14:textId="3839234C" w:rsidR="00426C59" w:rsidRPr="00D55382" w:rsidRDefault="00D55382" w:rsidP="0058389D">
      <w:pPr>
        <w:jc w:val="both"/>
        <w:rPr>
          <w:rFonts w:ascii="Arial" w:hAnsi="Arial" w:cs="Arial"/>
        </w:rPr>
      </w:pPr>
      <w:r w:rsidRPr="00D55382">
        <w:rPr>
          <w:rFonts w:ascii="Arial" w:hAnsi="Arial" w:cs="Arial"/>
        </w:rPr>
        <w:t xml:space="preserve">The hierarchy of </w:t>
      </w:r>
      <w:proofErr w:type="spellStart"/>
      <w:r w:rsidRPr="00D55382">
        <w:rPr>
          <w:rFonts w:ascii="Arial" w:hAnsi="Arial" w:cs="Arial"/>
          <w:i/>
          <w:iCs/>
        </w:rPr>
        <w:t>ProcessNode</w:t>
      </w:r>
      <w:proofErr w:type="spellEnd"/>
      <w:r w:rsidRPr="00D55382">
        <w:rPr>
          <w:rFonts w:ascii="Arial" w:hAnsi="Arial" w:cs="Arial"/>
        </w:rPr>
        <w:t xml:space="preserve"> subclasses reflects the distinction in </w:t>
      </w:r>
      <w:proofErr w:type="spellStart"/>
      <w:r w:rsidRPr="00D55382">
        <w:rPr>
          <w:rFonts w:ascii="Arial" w:hAnsi="Arial" w:cs="Arial"/>
        </w:rPr>
        <w:t>AiiDA</w:t>
      </w:r>
      <w:proofErr w:type="spellEnd"/>
      <w:r w:rsidRPr="00D55382">
        <w:rPr>
          <w:rFonts w:ascii="Arial" w:hAnsi="Arial" w:cs="Arial"/>
        </w:rPr>
        <w:t xml:space="preserve"> between calculations and workflows, represented by subclasses of </w:t>
      </w:r>
      <w:proofErr w:type="spellStart"/>
      <w:r w:rsidRPr="00D55382">
        <w:rPr>
          <w:rFonts w:ascii="Arial" w:hAnsi="Arial" w:cs="Arial"/>
          <w:i/>
          <w:iCs/>
        </w:rPr>
        <w:t>CalculationNode</w:t>
      </w:r>
      <w:proofErr w:type="spellEnd"/>
      <w:r w:rsidRPr="00D55382">
        <w:rPr>
          <w:rFonts w:ascii="Arial" w:hAnsi="Arial" w:cs="Arial"/>
        </w:rPr>
        <w:t xml:space="preserve"> or </w:t>
      </w:r>
      <w:proofErr w:type="spellStart"/>
      <w:r w:rsidRPr="00D55382">
        <w:rPr>
          <w:rFonts w:ascii="Arial" w:hAnsi="Arial" w:cs="Arial"/>
          <w:i/>
          <w:iCs/>
        </w:rPr>
        <w:t>WorkflowNode</w:t>
      </w:r>
      <w:proofErr w:type="spellEnd"/>
      <w:r w:rsidRPr="00D55382">
        <w:rPr>
          <w:rFonts w:ascii="Arial" w:hAnsi="Arial" w:cs="Arial"/>
        </w:rPr>
        <w:t xml:space="preserve">, respectively. In practice, in a provenance graph one finds instances of </w:t>
      </w:r>
      <w:proofErr w:type="spellStart"/>
      <w:r w:rsidRPr="00D55382">
        <w:rPr>
          <w:rFonts w:ascii="Arial" w:hAnsi="Arial" w:cs="Arial"/>
        </w:rPr>
        <w:t>CalcJobNode</w:t>
      </w:r>
      <w:proofErr w:type="spellEnd"/>
      <w:r w:rsidRPr="00D55382">
        <w:rPr>
          <w:rFonts w:ascii="Arial" w:hAnsi="Arial" w:cs="Arial"/>
        </w:rPr>
        <w:t xml:space="preserve">, </w:t>
      </w:r>
      <w:proofErr w:type="spellStart"/>
      <w:r w:rsidRPr="00D55382">
        <w:rPr>
          <w:rFonts w:ascii="Arial" w:hAnsi="Arial" w:cs="Arial"/>
          <w:i/>
          <w:iCs/>
        </w:rPr>
        <w:t>CalcFunctionNode</w:t>
      </w:r>
      <w:proofErr w:type="spellEnd"/>
      <w:r w:rsidRPr="00D55382">
        <w:rPr>
          <w:rFonts w:ascii="Arial" w:hAnsi="Arial" w:cs="Arial"/>
        </w:rPr>
        <w:t xml:space="preserve">, </w:t>
      </w:r>
      <w:proofErr w:type="spellStart"/>
      <w:r w:rsidRPr="00D55382">
        <w:rPr>
          <w:rFonts w:ascii="Arial" w:hAnsi="Arial" w:cs="Arial"/>
          <w:i/>
          <w:iCs/>
        </w:rPr>
        <w:t>WorkChainNode</w:t>
      </w:r>
      <w:proofErr w:type="spellEnd"/>
      <w:r w:rsidRPr="00D55382">
        <w:rPr>
          <w:rFonts w:ascii="Arial" w:hAnsi="Arial" w:cs="Arial"/>
        </w:rPr>
        <w:t xml:space="preserve"> or </w:t>
      </w:r>
      <w:proofErr w:type="spellStart"/>
      <w:r w:rsidRPr="00D55382">
        <w:rPr>
          <w:rFonts w:ascii="Arial" w:hAnsi="Arial" w:cs="Arial"/>
          <w:i/>
          <w:iCs/>
        </w:rPr>
        <w:t>WorkFunctionNode</w:t>
      </w:r>
      <w:proofErr w:type="spellEnd"/>
      <w:r w:rsidRPr="00D55382">
        <w:rPr>
          <w:rFonts w:ascii="Arial" w:hAnsi="Arial" w:cs="Arial"/>
        </w:rPr>
        <w:t>, representing executions by the engine of the corresponding process classes. The intermediate classes in the hierarchy serve mostly as a taxonomic classifier and they are useful when querying the provenance graph</w:t>
      </w:r>
      <w:r>
        <w:rPr>
          <w:rFonts w:ascii="Arial" w:hAnsi="Arial" w:cs="Arial"/>
        </w:rPr>
        <w:t>.</w:t>
      </w:r>
    </w:p>
    <w:p w14:paraId="4F749A3E" w14:textId="58C7F016" w:rsidR="00426C59" w:rsidRDefault="00426C59" w:rsidP="0058389D">
      <w:pPr>
        <w:jc w:val="both"/>
        <w:rPr>
          <w:rFonts w:ascii="Arial" w:hAnsi="Arial" w:cs="Arial"/>
          <w:sz w:val="20"/>
          <w:szCs w:val="20"/>
        </w:rPr>
      </w:pPr>
    </w:p>
    <w:p w14:paraId="095250BD" w14:textId="35F026D9" w:rsidR="0058389D" w:rsidRDefault="0058389D" w:rsidP="0058389D">
      <w:pPr>
        <w:jc w:val="both"/>
        <w:rPr>
          <w:rFonts w:ascii="Arial" w:hAnsi="Arial" w:cs="Arial"/>
          <w:sz w:val="20"/>
          <w:szCs w:val="20"/>
        </w:rPr>
      </w:pPr>
    </w:p>
    <w:p w14:paraId="590F118C" w14:textId="322102F9" w:rsidR="0058389D" w:rsidRDefault="0058389D" w:rsidP="0058389D">
      <w:pPr>
        <w:jc w:val="both"/>
        <w:rPr>
          <w:rFonts w:ascii="Arial" w:hAnsi="Arial" w:cs="Arial"/>
          <w:sz w:val="20"/>
          <w:szCs w:val="20"/>
        </w:rPr>
      </w:pPr>
    </w:p>
    <w:p w14:paraId="377BDF80" w14:textId="263A118F" w:rsidR="0058389D" w:rsidRDefault="0058389D" w:rsidP="0058389D">
      <w:pPr>
        <w:jc w:val="both"/>
        <w:rPr>
          <w:rFonts w:ascii="Arial" w:hAnsi="Arial" w:cs="Arial"/>
          <w:sz w:val="20"/>
          <w:szCs w:val="20"/>
        </w:rPr>
      </w:pPr>
    </w:p>
    <w:p w14:paraId="1CC06F8C" w14:textId="1D84041C" w:rsidR="0058389D" w:rsidRDefault="0058389D" w:rsidP="0058389D">
      <w:pPr>
        <w:jc w:val="both"/>
        <w:rPr>
          <w:rFonts w:ascii="Arial" w:hAnsi="Arial" w:cs="Arial"/>
          <w:sz w:val="20"/>
          <w:szCs w:val="20"/>
        </w:rPr>
      </w:pPr>
    </w:p>
    <w:p w14:paraId="6C9E6D20" w14:textId="14CD655B" w:rsidR="0058389D" w:rsidRDefault="0058389D" w:rsidP="0058389D">
      <w:pPr>
        <w:jc w:val="both"/>
        <w:rPr>
          <w:rFonts w:ascii="Arial" w:hAnsi="Arial" w:cs="Arial"/>
          <w:sz w:val="20"/>
          <w:szCs w:val="20"/>
        </w:rPr>
      </w:pPr>
    </w:p>
    <w:p w14:paraId="26B609EF" w14:textId="30A7E04E" w:rsidR="0058389D" w:rsidRDefault="0058389D" w:rsidP="0058389D">
      <w:pPr>
        <w:jc w:val="both"/>
        <w:rPr>
          <w:rFonts w:ascii="Arial" w:hAnsi="Arial" w:cs="Arial"/>
          <w:sz w:val="20"/>
          <w:szCs w:val="20"/>
        </w:rPr>
      </w:pPr>
    </w:p>
    <w:p w14:paraId="3354D8F1" w14:textId="59136FC3" w:rsidR="0058389D" w:rsidRDefault="0058389D" w:rsidP="0058389D">
      <w:pPr>
        <w:jc w:val="both"/>
        <w:rPr>
          <w:rFonts w:ascii="Arial" w:hAnsi="Arial" w:cs="Arial"/>
          <w:sz w:val="20"/>
          <w:szCs w:val="20"/>
        </w:rPr>
      </w:pPr>
    </w:p>
    <w:p w14:paraId="59B3805A" w14:textId="77777777" w:rsidR="0058389D" w:rsidRDefault="0058389D" w:rsidP="0058389D">
      <w:pPr>
        <w:jc w:val="both"/>
        <w:rPr>
          <w:rFonts w:ascii="Arial" w:hAnsi="Arial" w:cs="Arial"/>
          <w:sz w:val="20"/>
          <w:szCs w:val="20"/>
        </w:rPr>
      </w:pPr>
    </w:p>
    <w:p w14:paraId="4C923912" w14:textId="75D5292B" w:rsidR="0058389D" w:rsidRDefault="0058389D" w:rsidP="0058389D">
      <w:pPr>
        <w:jc w:val="both"/>
        <w:rPr>
          <w:rFonts w:ascii="Arial" w:hAnsi="Arial" w:cs="Arial"/>
          <w:u w:val="single"/>
        </w:rPr>
      </w:pPr>
      <w:r w:rsidRPr="0058389D">
        <w:rPr>
          <w:rFonts w:ascii="Arial" w:hAnsi="Arial" w:cs="Arial"/>
          <w:u w:val="single"/>
        </w:rPr>
        <w:lastRenderedPageBreak/>
        <w:t>Link Types</w:t>
      </w:r>
    </w:p>
    <w:p w14:paraId="0D99479E" w14:textId="4A829C22" w:rsidR="0058389D" w:rsidRDefault="0058389D" w:rsidP="0058389D">
      <w:pPr>
        <w:jc w:val="both"/>
        <w:rPr>
          <w:rFonts w:ascii="Arial" w:hAnsi="Arial" w:cs="Arial"/>
        </w:rPr>
      </w:pPr>
      <w:r w:rsidRPr="0058389D">
        <w:rPr>
          <w:rFonts w:ascii="Arial" w:hAnsi="Arial" w:cs="Arial"/>
        </w:rPr>
        <w:t xml:space="preserve">All links have a type to indicate the semantic meaning of the relationship. In addition, links have a label that can be used, given a node, to distinguish nodes connected to it with the same link type. For example, labels identify the different input nodes to a process. A summary of all link types in </w:t>
      </w:r>
      <w:proofErr w:type="spellStart"/>
      <w:r w:rsidRPr="0058389D">
        <w:rPr>
          <w:rFonts w:ascii="Arial" w:hAnsi="Arial" w:cs="Arial"/>
        </w:rPr>
        <w:t>AiiDA</w:t>
      </w:r>
      <w:proofErr w:type="spellEnd"/>
      <w:r w:rsidRPr="0058389D">
        <w:rPr>
          <w:rFonts w:ascii="Arial" w:hAnsi="Arial" w:cs="Arial"/>
        </w:rPr>
        <w:t xml:space="preserve"> is shown in Fig. 4.</w:t>
      </w:r>
    </w:p>
    <w:p w14:paraId="58A0C3C5" w14:textId="77777777" w:rsidR="0058389D" w:rsidRDefault="0058389D" w:rsidP="0058389D">
      <w:pPr>
        <w:keepNext/>
        <w:jc w:val="center"/>
      </w:pPr>
      <w:r>
        <w:rPr>
          <w:rFonts w:ascii="Arial" w:hAnsi="Arial" w:cs="Arial"/>
          <w:noProof/>
        </w:rPr>
        <w:drawing>
          <wp:inline distT="0" distB="0" distL="0" distR="0" wp14:anchorId="0D8A789C" wp14:editId="04669AB3">
            <wp:extent cx="2190750" cy="308629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0099" cy="3127637"/>
                    </a:xfrm>
                    <a:prstGeom prst="rect">
                      <a:avLst/>
                    </a:prstGeom>
                  </pic:spPr>
                </pic:pic>
              </a:graphicData>
            </a:graphic>
          </wp:inline>
        </w:drawing>
      </w:r>
    </w:p>
    <w:p w14:paraId="0FAC9D72" w14:textId="093B13F8" w:rsidR="0058389D" w:rsidRPr="0058389D" w:rsidRDefault="0058389D" w:rsidP="0058389D">
      <w:pPr>
        <w:pStyle w:val="Caption"/>
        <w:jc w:val="center"/>
        <w:rPr>
          <w:rFonts w:ascii="Arial" w:hAnsi="Arial" w:cs="Arial"/>
          <w:i w:val="0"/>
          <w:iCs w:val="0"/>
          <w:sz w:val="20"/>
          <w:szCs w:val="20"/>
        </w:rPr>
      </w:pPr>
      <w:r w:rsidRPr="0058389D">
        <w:rPr>
          <w:rFonts w:ascii="Arial" w:hAnsi="Arial" w:cs="Arial"/>
          <w:i w:val="0"/>
          <w:iCs w:val="0"/>
          <w:sz w:val="20"/>
          <w:szCs w:val="20"/>
        </w:rPr>
        <w:t xml:space="preserve">Figure </w:t>
      </w:r>
      <w:r w:rsidRPr="0058389D">
        <w:rPr>
          <w:rFonts w:ascii="Arial" w:hAnsi="Arial" w:cs="Arial"/>
          <w:i w:val="0"/>
          <w:iCs w:val="0"/>
          <w:sz w:val="20"/>
          <w:szCs w:val="20"/>
        </w:rPr>
        <w:fldChar w:fldCharType="begin"/>
      </w:r>
      <w:r w:rsidRPr="0058389D">
        <w:rPr>
          <w:rFonts w:ascii="Arial" w:hAnsi="Arial" w:cs="Arial"/>
          <w:i w:val="0"/>
          <w:iCs w:val="0"/>
          <w:sz w:val="20"/>
          <w:szCs w:val="20"/>
        </w:rPr>
        <w:instrText xml:space="preserve"> SEQ Figure \* ARABIC </w:instrText>
      </w:r>
      <w:r w:rsidRPr="0058389D">
        <w:rPr>
          <w:rFonts w:ascii="Arial" w:hAnsi="Arial" w:cs="Arial"/>
          <w:i w:val="0"/>
          <w:iCs w:val="0"/>
          <w:sz w:val="20"/>
          <w:szCs w:val="20"/>
        </w:rPr>
        <w:fldChar w:fldCharType="separate"/>
      </w:r>
      <w:r w:rsidRPr="0058389D">
        <w:rPr>
          <w:rFonts w:ascii="Arial" w:hAnsi="Arial" w:cs="Arial"/>
          <w:i w:val="0"/>
          <w:iCs w:val="0"/>
          <w:noProof/>
          <w:sz w:val="20"/>
          <w:szCs w:val="20"/>
        </w:rPr>
        <w:t>4</w:t>
      </w:r>
      <w:r w:rsidRPr="0058389D">
        <w:rPr>
          <w:rFonts w:ascii="Arial" w:hAnsi="Arial" w:cs="Arial"/>
          <w:i w:val="0"/>
          <w:iCs w:val="0"/>
          <w:sz w:val="20"/>
          <w:szCs w:val="20"/>
        </w:rPr>
        <w:fldChar w:fldCharType="end"/>
      </w:r>
      <w:r w:rsidRPr="0058389D">
        <w:rPr>
          <w:rFonts w:ascii="Arial" w:hAnsi="Arial" w:cs="Arial"/>
          <w:i w:val="0"/>
          <w:iCs w:val="0"/>
          <w:sz w:val="20"/>
          <w:szCs w:val="20"/>
        </w:rPr>
        <w:t xml:space="preserve"> Link types allowed in the </w:t>
      </w:r>
      <w:proofErr w:type="spellStart"/>
      <w:r w:rsidRPr="0058389D">
        <w:rPr>
          <w:rFonts w:ascii="Arial" w:hAnsi="Arial" w:cs="Arial"/>
          <w:i w:val="0"/>
          <w:iCs w:val="0"/>
          <w:sz w:val="20"/>
          <w:szCs w:val="20"/>
        </w:rPr>
        <w:t>AiiDa</w:t>
      </w:r>
      <w:proofErr w:type="spellEnd"/>
      <w:r w:rsidRPr="0058389D">
        <w:rPr>
          <w:rFonts w:ascii="Arial" w:hAnsi="Arial" w:cs="Arial"/>
          <w:i w:val="0"/>
          <w:iCs w:val="0"/>
          <w:sz w:val="20"/>
          <w:szCs w:val="20"/>
        </w:rPr>
        <w:t xml:space="preserve"> provenance graph</w:t>
      </w:r>
    </w:p>
    <w:p w14:paraId="735E1EFA" w14:textId="46493C02" w:rsidR="0058389D" w:rsidRDefault="0058389D" w:rsidP="0058389D">
      <w:pPr>
        <w:jc w:val="both"/>
        <w:rPr>
          <w:rFonts w:ascii="Arial" w:hAnsi="Arial" w:cs="Arial"/>
        </w:rPr>
      </w:pPr>
      <w:r w:rsidRPr="0058389D">
        <w:rPr>
          <w:rFonts w:ascii="Arial" w:hAnsi="Arial" w:cs="Arial"/>
        </w:rPr>
        <w:t xml:space="preserve">Rectangles represent node types and arrows connecting them indicate the direction and the type of each link. The symbols at the start and end of each arrow indicate the cardinality of the corresponding link types: </w:t>
      </w:r>
      <w:proofErr w:type="gramStart"/>
      <w:r w:rsidRPr="0058389D">
        <w:rPr>
          <w:rFonts w:ascii="Arial" w:hAnsi="Arial" w:cs="Arial"/>
        </w:rPr>
        <w:t>0..</w:t>
      </w:r>
      <w:proofErr w:type="gramEnd"/>
      <w:r w:rsidRPr="0058389D">
        <w:rPr>
          <w:rFonts w:ascii="Arial" w:hAnsi="Arial" w:cs="Arial"/>
        </w:rPr>
        <w:t>1 means that at most one node is allowed on that link endpoint for a given node on the opposite endpoint</w:t>
      </w:r>
      <w:r w:rsidR="00070B4C">
        <w:rPr>
          <w:rFonts w:ascii="Arial" w:hAnsi="Arial" w:cs="Arial"/>
        </w:rPr>
        <w:t xml:space="preserve">. </w:t>
      </w:r>
      <w:r w:rsidRPr="0058389D">
        <w:rPr>
          <w:rFonts w:ascii="Arial" w:hAnsi="Arial" w:cs="Arial"/>
        </w:rPr>
        <w:t>Additionally, a dagger (†) indicates that link labels must be unique for a given node on the opposite endpoint</w:t>
      </w:r>
      <w:r w:rsidR="00070B4C">
        <w:rPr>
          <w:rFonts w:ascii="Arial" w:hAnsi="Arial" w:cs="Arial"/>
        </w:rPr>
        <w:t>.</w:t>
      </w:r>
    </w:p>
    <w:p w14:paraId="029002FB" w14:textId="396C228D" w:rsidR="00534810" w:rsidRPr="0058389D" w:rsidRDefault="00534810" w:rsidP="0058389D">
      <w:pPr>
        <w:jc w:val="both"/>
        <w:rPr>
          <w:rFonts w:ascii="Arial" w:hAnsi="Arial" w:cs="Arial"/>
        </w:rPr>
      </w:pPr>
      <w:r w:rsidRPr="00534810">
        <w:rPr>
          <w:rFonts w:ascii="Arial" w:hAnsi="Arial" w:cs="Arial"/>
        </w:rPr>
        <w:t>Process nodes can have input and output links to data nodes, representing their inputs and outputs.</w:t>
      </w:r>
      <w:r>
        <w:rPr>
          <w:rFonts w:ascii="Arial" w:hAnsi="Arial" w:cs="Arial"/>
        </w:rPr>
        <w:t xml:space="preserve"> </w:t>
      </w:r>
      <w:r w:rsidRPr="00534810">
        <w:rPr>
          <w:rFonts w:ascii="Arial" w:hAnsi="Arial" w:cs="Arial"/>
        </w:rPr>
        <w:t xml:space="preserve">More specifically, in the implementation, input links can be of type </w:t>
      </w:r>
      <w:r w:rsidRPr="00534810">
        <w:rPr>
          <w:rFonts w:ascii="Arial" w:hAnsi="Arial" w:cs="Arial"/>
          <w:i/>
          <w:iCs/>
        </w:rPr>
        <w:t>INPUT_CALC</w:t>
      </w:r>
      <w:r w:rsidRPr="00534810">
        <w:rPr>
          <w:rFonts w:ascii="Arial" w:hAnsi="Arial" w:cs="Arial"/>
        </w:rPr>
        <w:t xml:space="preserve"> and </w:t>
      </w:r>
      <w:r w:rsidRPr="00534810">
        <w:rPr>
          <w:rFonts w:ascii="Arial" w:hAnsi="Arial" w:cs="Arial"/>
          <w:i/>
          <w:iCs/>
        </w:rPr>
        <w:t>INPUT_WORK</w:t>
      </w:r>
      <w:r w:rsidRPr="00534810">
        <w:rPr>
          <w:rFonts w:ascii="Arial" w:hAnsi="Arial" w:cs="Arial"/>
        </w:rPr>
        <w:t xml:space="preserve"> depending on the type of the linked process node. Similarly, output links can either be of type </w:t>
      </w:r>
      <w:r w:rsidRPr="00534810">
        <w:rPr>
          <w:rFonts w:ascii="Arial" w:hAnsi="Arial" w:cs="Arial"/>
          <w:i/>
          <w:iCs/>
        </w:rPr>
        <w:t>CREATE</w:t>
      </w:r>
      <w:r w:rsidRPr="00534810">
        <w:rPr>
          <w:rFonts w:ascii="Arial" w:hAnsi="Arial" w:cs="Arial"/>
        </w:rPr>
        <w:t xml:space="preserve"> or </w:t>
      </w:r>
      <w:r w:rsidRPr="00534810">
        <w:rPr>
          <w:rFonts w:ascii="Arial" w:hAnsi="Arial" w:cs="Arial"/>
          <w:i/>
          <w:iCs/>
        </w:rPr>
        <w:t>RETURN</w:t>
      </w:r>
      <w:r w:rsidRPr="00534810">
        <w:rPr>
          <w:rFonts w:ascii="Arial" w:hAnsi="Arial" w:cs="Arial"/>
        </w:rPr>
        <w:t xml:space="preserve"> explicitly highlighting the difference between calculation and workflow processes</w:t>
      </w:r>
      <w:r>
        <w:rPr>
          <w:rFonts w:ascii="Arial" w:hAnsi="Arial" w:cs="Arial"/>
        </w:rPr>
        <w:t>.</w:t>
      </w:r>
    </w:p>
    <w:p w14:paraId="18EAE8E7" w14:textId="77777777" w:rsidR="00426C59" w:rsidRDefault="00426C59" w:rsidP="009E2863">
      <w:pPr>
        <w:rPr>
          <w:rFonts w:ascii="Arial" w:hAnsi="Arial" w:cs="Arial"/>
          <w:sz w:val="20"/>
          <w:szCs w:val="20"/>
        </w:rPr>
      </w:pPr>
    </w:p>
    <w:p w14:paraId="1610749E" w14:textId="77777777" w:rsidR="00426C59" w:rsidRDefault="00426C59" w:rsidP="009E2863">
      <w:pPr>
        <w:rPr>
          <w:rFonts w:ascii="Arial" w:hAnsi="Arial" w:cs="Arial"/>
          <w:sz w:val="20"/>
          <w:szCs w:val="20"/>
        </w:rPr>
      </w:pPr>
    </w:p>
    <w:p w14:paraId="641FE0EE" w14:textId="77777777" w:rsidR="00426C59" w:rsidRDefault="00426C59" w:rsidP="009E2863">
      <w:pPr>
        <w:rPr>
          <w:rFonts w:ascii="Arial" w:hAnsi="Arial" w:cs="Arial"/>
          <w:sz w:val="20"/>
          <w:szCs w:val="20"/>
        </w:rPr>
      </w:pPr>
    </w:p>
    <w:p w14:paraId="784666A5" w14:textId="77777777" w:rsidR="00426C59" w:rsidRDefault="00426C59" w:rsidP="009E2863">
      <w:pPr>
        <w:rPr>
          <w:rFonts w:ascii="Arial" w:hAnsi="Arial" w:cs="Arial"/>
          <w:sz w:val="20"/>
          <w:szCs w:val="20"/>
        </w:rPr>
      </w:pPr>
    </w:p>
    <w:p w14:paraId="13982989" w14:textId="77777777" w:rsidR="00426C59" w:rsidRDefault="00426C59" w:rsidP="009E2863">
      <w:pPr>
        <w:rPr>
          <w:rFonts w:ascii="Arial" w:hAnsi="Arial" w:cs="Arial"/>
          <w:sz w:val="20"/>
          <w:szCs w:val="20"/>
        </w:rPr>
      </w:pPr>
    </w:p>
    <w:p w14:paraId="340F896A" w14:textId="77777777" w:rsidR="00426C59" w:rsidRDefault="00426C59" w:rsidP="009E2863">
      <w:pPr>
        <w:rPr>
          <w:rFonts w:ascii="Arial" w:hAnsi="Arial" w:cs="Arial"/>
          <w:sz w:val="20"/>
          <w:szCs w:val="20"/>
        </w:rPr>
      </w:pPr>
    </w:p>
    <w:p w14:paraId="45F57A15" w14:textId="77777777" w:rsidR="00426C59" w:rsidRDefault="00426C59" w:rsidP="009E2863">
      <w:pPr>
        <w:rPr>
          <w:rFonts w:ascii="Arial" w:hAnsi="Arial" w:cs="Arial"/>
          <w:sz w:val="20"/>
          <w:szCs w:val="20"/>
        </w:rPr>
      </w:pPr>
    </w:p>
    <w:p w14:paraId="78FE428F" w14:textId="77777777" w:rsidR="009E051B" w:rsidRPr="009E051B" w:rsidRDefault="009E051B" w:rsidP="009E051B">
      <w:pPr>
        <w:jc w:val="both"/>
        <w:rPr>
          <w:rFonts w:ascii="Arial" w:hAnsi="Arial" w:cs="Arial"/>
          <w:u w:val="single"/>
        </w:rPr>
      </w:pPr>
      <w:r w:rsidRPr="009E051B">
        <w:rPr>
          <w:rFonts w:ascii="Arial" w:hAnsi="Arial" w:cs="Arial"/>
          <w:u w:val="single"/>
        </w:rPr>
        <w:lastRenderedPageBreak/>
        <w:t xml:space="preserve"> </w:t>
      </w:r>
      <w:r w:rsidRPr="009E051B">
        <w:rPr>
          <w:rFonts w:ascii="Arial" w:hAnsi="Arial" w:cs="Arial"/>
          <w:u w:val="single"/>
        </w:rPr>
        <w:t>Node properties</w:t>
      </w:r>
    </w:p>
    <w:p w14:paraId="0174394B" w14:textId="5FE1927C" w:rsidR="00426C59" w:rsidRPr="009E051B" w:rsidRDefault="009E051B" w:rsidP="009E051B">
      <w:pPr>
        <w:jc w:val="both"/>
        <w:rPr>
          <w:rFonts w:ascii="Arial" w:hAnsi="Arial" w:cs="Arial"/>
        </w:rPr>
      </w:pPr>
      <w:proofErr w:type="spellStart"/>
      <w:r w:rsidRPr="009E051B">
        <w:rPr>
          <w:rFonts w:ascii="Arial" w:hAnsi="Arial" w:cs="Arial"/>
        </w:rPr>
        <w:t>AiiDA</w:t>
      </w:r>
      <w:proofErr w:type="spellEnd"/>
      <w:r w:rsidRPr="009E051B">
        <w:rPr>
          <w:rFonts w:ascii="Arial" w:hAnsi="Arial" w:cs="Arial"/>
        </w:rPr>
        <w:t xml:space="preserve"> provides two data stores: a filesystem repository and a relational database (where any JSON-</w:t>
      </w:r>
      <w:proofErr w:type="spellStart"/>
      <w:r w:rsidRPr="009E051B">
        <w:rPr>
          <w:rFonts w:ascii="Arial" w:hAnsi="Arial" w:cs="Arial"/>
        </w:rPr>
        <w:t>serialisable</w:t>
      </w:r>
      <w:proofErr w:type="spellEnd"/>
      <w:r w:rsidRPr="009E051B">
        <w:rPr>
          <w:rFonts w:ascii="Arial" w:hAnsi="Arial" w:cs="Arial"/>
        </w:rPr>
        <w:t xml:space="preserve"> key-value pair can be saved.</w:t>
      </w:r>
      <w:r>
        <w:rPr>
          <w:rFonts w:ascii="Arial" w:hAnsi="Arial" w:cs="Arial"/>
        </w:rPr>
        <w:t xml:space="preserve"> </w:t>
      </w:r>
      <w:r w:rsidRPr="009E051B">
        <w:rPr>
          <w:rFonts w:ascii="Arial" w:hAnsi="Arial" w:cs="Arial"/>
        </w:rPr>
        <w:t xml:space="preserve">Properties that are stored in the database are named attributes, which are fully and efficiently </w:t>
      </w:r>
      <w:proofErr w:type="spellStart"/>
      <w:r w:rsidRPr="009E051B">
        <w:rPr>
          <w:rFonts w:ascii="Arial" w:hAnsi="Arial" w:cs="Arial"/>
        </w:rPr>
        <w:t>queryable</w:t>
      </w:r>
      <w:proofErr w:type="spellEnd"/>
      <w:r w:rsidRPr="009E051B">
        <w:rPr>
          <w:rFonts w:ascii="Arial" w:hAnsi="Arial" w:cs="Arial"/>
        </w:rPr>
        <w:t>. In contrast, properties that do not require querying and/or are very large in size, such as large arrays or raw files, are better stored in the repository so as not to overburden the database. Attributes and the files in the repository are immutable once the node is stored, since together they define the “content” of the node and allowing them to be changed would invalidate the provenance of descendants. Mutable properties are also allowed and are called extras that, like attributes, are stored as key-value pairs in the database. However, in stark contrast to attributes, extras can be added and/or modified at any time. A typical use case is to tag nodes with custom properties that can, for example, be used for more selective querying.</w:t>
      </w:r>
    </w:p>
    <w:p w14:paraId="77805685" w14:textId="77777777" w:rsidR="00426C59" w:rsidRDefault="00426C59" w:rsidP="009E2863">
      <w:pPr>
        <w:rPr>
          <w:rFonts w:ascii="Arial" w:hAnsi="Arial" w:cs="Arial"/>
          <w:sz w:val="20"/>
          <w:szCs w:val="20"/>
        </w:rPr>
      </w:pPr>
    </w:p>
    <w:p w14:paraId="135142A9" w14:textId="77777777" w:rsidR="00426C59" w:rsidRDefault="00426C59" w:rsidP="009E2863">
      <w:pPr>
        <w:rPr>
          <w:rFonts w:ascii="Arial" w:hAnsi="Arial" w:cs="Arial"/>
          <w:sz w:val="20"/>
          <w:szCs w:val="20"/>
        </w:rPr>
      </w:pPr>
    </w:p>
    <w:p w14:paraId="04075593" w14:textId="77777777" w:rsidR="00426C59" w:rsidRDefault="00426C59" w:rsidP="009E2863">
      <w:pPr>
        <w:rPr>
          <w:rFonts w:ascii="Arial" w:hAnsi="Arial" w:cs="Arial"/>
          <w:sz w:val="20"/>
          <w:szCs w:val="20"/>
        </w:rPr>
      </w:pPr>
    </w:p>
    <w:p w14:paraId="1D60B31C" w14:textId="77777777" w:rsidR="00426C59" w:rsidRDefault="00426C59" w:rsidP="009E2863">
      <w:pPr>
        <w:rPr>
          <w:rFonts w:ascii="Arial" w:hAnsi="Arial" w:cs="Arial"/>
          <w:sz w:val="20"/>
          <w:szCs w:val="20"/>
        </w:rPr>
      </w:pPr>
    </w:p>
    <w:p w14:paraId="77B5E74E" w14:textId="77777777" w:rsidR="00426C59" w:rsidRDefault="00426C59" w:rsidP="009E2863">
      <w:pPr>
        <w:rPr>
          <w:rFonts w:ascii="Arial" w:hAnsi="Arial" w:cs="Arial"/>
          <w:sz w:val="20"/>
          <w:szCs w:val="20"/>
        </w:rPr>
      </w:pPr>
    </w:p>
    <w:p w14:paraId="3ED63778" w14:textId="77777777" w:rsidR="00426C59" w:rsidRDefault="00426C59" w:rsidP="009E2863">
      <w:pPr>
        <w:rPr>
          <w:rFonts w:ascii="Arial" w:hAnsi="Arial" w:cs="Arial"/>
          <w:sz w:val="20"/>
          <w:szCs w:val="20"/>
        </w:rPr>
      </w:pPr>
    </w:p>
    <w:p w14:paraId="0FCC17B7" w14:textId="77777777" w:rsidR="00426C59" w:rsidRDefault="00426C59" w:rsidP="009E2863">
      <w:pPr>
        <w:rPr>
          <w:rFonts w:ascii="Arial" w:hAnsi="Arial" w:cs="Arial"/>
          <w:sz w:val="20"/>
          <w:szCs w:val="20"/>
        </w:rPr>
      </w:pPr>
    </w:p>
    <w:p w14:paraId="2958C908" w14:textId="77777777" w:rsidR="00426C59" w:rsidRDefault="00426C59" w:rsidP="009E2863">
      <w:pPr>
        <w:rPr>
          <w:rFonts w:ascii="Arial" w:hAnsi="Arial" w:cs="Arial"/>
          <w:sz w:val="20"/>
          <w:szCs w:val="20"/>
        </w:rPr>
      </w:pPr>
    </w:p>
    <w:p w14:paraId="7EA543E0" w14:textId="77777777" w:rsidR="00426C59" w:rsidRDefault="00426C59" w:rsidP="009E2863">
      <w:pPr>
        <w:rPr>
          <w:rFonts w:ascii="Arial" w:hAnsi="Arial" w:cs="Arial"/>
          <w:sz w:val="20"/>
          <w:szCs w:val="20"/>
        </w:rPr>
      </w:pPr>
    </w:p>
    <w:p w14:paraId="52C6B335" w14:textId="77777777" w:rsidR="00426C59" w:rsidRDefault="00426C59" w:rsidP="009E2863">
      <w:pPr>
        <w:rPr>
          <w:rFonts w:ascii="Arial" w:hAnsi="Arial" w:cs="Arial"/>
          <w:sz w:val="20"/>
          <w:szCs w:val="20"/>
        </w:rPr>
      </w:pPr>
    </w:p>
    <w:p w14:paraId="438DE40A" w14:textId="77777777" w:rsidR="00426C59" w:rsidRDefault="00426C59" w:rsidP="009E2863">
      <w:pPr>
        <w:rPr>
          <w:rFonts w:ascii="Arial" w:hAnsi="Arial" w:cs="Arial"/>
          <w:sz w:val="20"/>
          <w:szCs w:val="20"/>
        </w:rPr>
      </w:pPr>
    </w:p>
    <w:p w14:paraId="78332D88" w14:textId="5808F010" w:rsidR="00426C59" w:rsidRDefault="00426C59" w:rsidP="009E2863">
      <w:pPr>
        <w:rPr>
          <w:rFonts w:ascii="Arial" w:hAnsi="Arial" w:cs="Arial"/>
          <w:sz w:val="20"/>
          <w:szCs w:val="20"/>
        </w:rPr>
      </w:pPr>
    </w:p>
    <w:p w14:paraId="69EE68E8" w14:textId="7A3B76FA" w:rsidR="005108DE" w:rsidRDefault="005108DE" w:rsidP="009E2863">
      <w:pPr>
        <w:rPr>
          <w:rFonts w:ascii="Arial" w:hAnsi="Arial" w:cs="Arial"/>
          <w:sz w:val="20"/>
          <w:szCs w:val="20"/>
        </w:rPr>
      </w:pPr>
    </w:p>
    <w:p w14:paraId="565047D6" w14:textId="60E0AFB0" w:rsidR="005108DE" w:rsidRDefault="005108DE" w:rsidP="009E2863">
      <w:pPr>
        <w:rPr>
          <w:rFonts w:ascii="Arial" w:hAnsi="Arial" w:cs="Arial"/>
          <w:sz w:val="20"/>
          <w:szCs w:val="20"/>
        </w:rPr>
      </w:pPr>
    </w:p>
    <w:p w14:paraId="26C0CFB3" w14:textId="4DECDAEC" w:rsidR="005108DE" w:rsidRDefault="005108DE" w:rsidP="009E2863">
      <w:pPr>
        <w:rPr>
          <w:rFonts w:ascii="Arial" w:hAnsi="Arial" w:cs="Arial"/>
          <w:sz w:val="20"/>
          <w:szCs w:val="20"/>
        </w:rPr>
      </w:pPr>
    </w:p>
    <w:p w14:paraId="129761DC" w14:textId="1C1A1C3A" w:rsidR="005108DE" w:rsidRDefault="005108DE" w:rsidP="009E2863">
      <w:pPr>
        <w:rPr>
          <w:rFonts w:ascii="Arial" w:hAnsi="Arial" w:cs="Arial"/>
          <w:sz w:val="20"/>
          <w:szCs w:val="20"/>
        </w:rPr>
      </w:pPr>
    </w:p>
    <w:p w14:paraId="30B9A35B" w14:textId="5CBC9C12" w:rsidR="009E051B" w:rsidRDefault="009E051B" w:rsidP="009E2863">
      <w:pPr>
        <w:rPr>
          <w:rFonts w:ascii="Arial" w:hAnsi="Arial" w:cs="Arial"/>
          <w:sz w:val="20"/>
          <w:szCs w:val="20"/>
        </w:rPr>
      </w:pPr>
    </w:p>
    <w:p w14:paraId="4ABC395A" w14:textId="31F1113B" w:rsidR="009E051B" w:rsidRDefault="009E051B" w:rsidP="009E2863">
      <w:pPr>
        <w:rPr>
          <w:rFonts w:ascii="Arial" w:hAnsi="Arial" w:cs="Arial"/>
          <w:sz w:val="20"/>
          <w:szCs w:val="20"/>
        </w:rPr>
      </w:pPr>
    </w:p>
    <w:p w14:paraId="082ECE9E" w14:textId="06B93022" w:rsidR="009E051B" w:rsidRDefault="009E051B" w:rsidP="009E2863">
      <w:pPr>
        <w:rPr>
          <w:rFonts w:ascii="Arial" w:hAnsi="Arial" w:cs="Arial"/>
          <w:sz w:val="20"/>
          <w:szCs w:val="20"/>
        </w:rPr>
      </w:pPr>
    </w:p>
    <w:p w14:paraId="09784CB1" w14:textId="6722C896" w:rsidR="009E051B" w:rsidRDefault="009E051B" w:rsidP="009E2863">
      <w:pPr>
        <w:rPr>
          <w:rFonts w:ascii="Arial" w:hAnsi="Arial" w:cs="Arial"/>
          <w:sz w:val="20"/>
          <w:szCs w:val="20"/>
        </w:rPr>
      </w:pPr>
    </w:p>
    <w:p w14:paraId="3C761BBA" w14:textId="1A12845E" w:rsidR="009E051B" w:rsidRDefault="009E051B" w:rsidP="009E2863">
      <w:pPr>
        <w:rPr>
          <w:rFonts w:ascii="Arial" w:hAnsi="Arial" w:cs="Arial"/>
          <w:sz w:val="20"/>
          <w:szCs w:val="20"/>
        </w:rPr>
      </w:pPr>
    </w:p>
    <w:p w14:paraId="47E6A976" w14:textId="77777777" w:rsidR="009E051B" w:rsidRDefault="009E051B" w:rsidP="009E2863">
      <w:pPr>
        <w:rPr>
          <w:rFonts w:ascii="Arial" w:hAnsi="Arial" w:cs="Arial"/>
          <w:sz w:val="20"/>
          <w:szCs w:val="20"/>
        </w:rPr>
      </w:pPr>
    </w:p>
    <w:p w14:paraId="41B2E9D8" w14:textId="77777777" w:rsidR="00F876F0" w:rsidRDefault="00F876F0" w:rsidP="009E2863">
      <w:pPr>
        <w:rPr>
          <w:rFonts w:ascii="Arial" w:hAnsi="Arial" w:cs="Arial"/>
          <w:sz w:val="20"/>
          <w:szCs w:val="20"/>
        </w:rPr>
      </w:pPr>
    </w:p>
    <w:p w14:paraId="30DE6DB2" w14:textId="77777777" w:rsidR="00F876F0" w:rsidRDefault="00F876F0" w:rsidP="009E2863">
      <w:pPr>
        <w:rPr>
          <w:rFonts w:ascii="Arial" w:hAnsi="Arial" w:cs="Arial"/>
          <w:sz w:val="20"/>
          <w:szCs w:val="20"/>
        </w:rPr>
      </w:pPr>
    </w:p>
    <w:p w14:paraId="28D2822F" w14:textId="07C1CCE7" w:rsidR="000A5ACF" w:rsidRPr="00DE3319" w:rsidRDefault="009E2863" w:rsidP="009E2863">
      <w:pPr>
        <w:rPr>
          <w:rFonts w:ascii="Arial" w:hAnsi="Arial" w:cs="Arial"/>
          <w:sz w:val="20"/>
          <w:szCs w:val="20"/>
        </w:rPr>
      </w:pPr>
      <w:r w:rsidRPr="00DE3319">
        <w:rPr>
          <w:rFonts w:ascii="Arial" w:hAnsi="Arial" w:cs="Arial"/>
          <w:sz w:val="20"/>
          <w:szCs w:val="20"/>
        </w:rPr>
        <w:lastRenderedPageBreak/>
        <w:t>The FAIR Guiding Principles</w:t>
      </w:r>
      <w:r w:rsidRPr="00DE3319">
        <w:rPr>
          <w:rFonts w:ascii="Arial" w:hAnsi="Arial" w:cs="Arial"/>
          <w:sz w:val="20"/>
          <w:szCs w:val="20"/>
        </w:rPr>
        <w:t xml:space="preserve"> </w:t>
      </w:r>
    </w:p>
    <w:p w14:paraId="57256F7A" w14:textId="41040437" w:rsidR="000A5ACF" w:rsidRPr="00DE3319" w:rsidRDefault="000A5ACF" w:rsidP="009E2863">
      <w:pPr>
        <w:rPr>
          <w:rFonts w:ascii="Arial" w:hAnsi="Arial" w:cs="Arial"/>
          <w:sz w:val="20"/>
          <w:szCs w:val="20"/>
        </w:rPr>
      </w:pPr>
      <w:r w:rsidRPr="00DE3319">
        <w:rPr>
          <w:rFonts w:ascii="Arial" w:hAnsi="Arial" w:cs="Arial"/>
          <w:sz w:val="20"/>
          <w:szCs w:val="20"/>
        </w:rPr>
        <w:t>The FAIR Guiding Principles describe distinct considerations for contemporary data publishing environments with respect to supporting both manual and automated deposition, exploration, sharing, and reuse</w:t>
      </w:r>
      <w:r w:rsidRPr="00DE3319">
        <w:rPr>
          <w:rFonts w:ascii="Arial" w:hAnsi="Arial" w:cs="Arial"/>
          <w:sz w:val="20"/>
          <w:szCs w:val="20"/>
        </w:rPr>
        <w:t xml:space="preserve">. In principal, FAIR </w:t>
      </w:r>
      <w:r w:rsidRPr="00DE3319">
        <w:rPr>
          <w:rFonts w:ascii="Arial" w:hAnsi="Arial" w:cs="Arial"/>
          <w:sz w:val="20"/>
          <w:szCs w:val="20"/>
        </w:rPr>
        <w:t>describes concise, domain-independent, high-level principles that can be applied to a wide range of scholarly outputs.</w:t>
      </w:r>
      <w:r w:rsidRPr="00DE3319">
        <w:rPr>
          <w:rFonts w:ascii="Arial" w:hAnsi="Arial" w:cs="Arial"/>
          <w:sz w:val="20"/>
          <w:szCs w:val="20"/>
        </w:rPr>
        <w:t xml:space="preserve"> [1]</w:t>
      </w:r>
    </w:p>
    <w:p w14:paraId="52227F15" w14:textId="1D919867" w:rsidR="00C44DA7" w:rsidRPr="00DE3319" w:rsidRDefault="00C44DA7" w:rsidP="009E2863">
      <w:pPr>
        <w:rPr>
          <w:rFonts w:ascii="Arial" w:hAnsi="Arial" w:cs="Arial"/>
          <w:sz w:val="20"/>
          <w:szCs w:val="20"/>
        </w:rPr>
      </w:pPr>
      <w:r w:rsidRPr="00DE3319">
        <w:rPr>
          <w:rFonts w:ascii="Arial" w:hAnsi="Arial" w:cs="Arial"/>
          <w:sz w:val="20"/>
          <w:szCs w:val="20"/>
        </w:rPr>
        <w:t>The FAIR Guiding Principles describe distinct considerations for contemporary data publishing environments with respect to supporting both manual and automated deposition, exploration, sharing, and reuse.</w:t>
      </w:r>
      <w:r w:rsidRPr="00DE3319">
        <w:rPr>
          <w:rFonts w:ascii="Arial" w:hAnsi="Arial" w:cs="Arial"/>
          <w:sz w:val="20"/>
          <w:szCs w:val="20"/>
        </w:rPr>
        <w:t xml:space="preserve"> </w:t>
      </w:r>
    </w:p>
    <w:p w14:paraId="78FDDF61" w14:textId="534B08C2" w:rsidR="000A5ACF" w:rsidRPr="00DE3319" w:rsidRDefault="00EF4DC7" w:rsidP="009E2863">
      <w:pPr>
        <w:rPr>
          <w:rFonts w:ascii="Arial" w:hAnsi="Arial" w:cs="Arial"/>
          <w:sz w:val="20"/>
          <w:szCs w:val="20"/>
        </w:rPr>
      </w:pPr>
      <w:r w:rsidRPr="00DE3319">
        <w:rPr>
          <w:rFonts w:ascii="Arial" w:hAnsi="Arial" w:cs="Arial"/>
          <w:sz w:val="20"/>
          <w:szCs w:val="20"/>
        </w:rPr>
        <w:t xml:space="preserve">The elements of the FAIR Principles are </w:t>
      </w:r>
      <w:proofErr w:type="gramStart"/>
      <w:r w:rsidRPr="00DE3319">
        <w:rPr>
          <w:rFonts w:ascii="Arial" w:hAnsi="Arial" w:cs="Arial"/>
          <w:sz w:val="20"/>
          <w:szCs w:val="20"/>
        </w:rPr>
        <w:t>related</w:t>
      </w:r>
      <w:r w:rsidR="006470AD" w:rsidRPr="00DE3319">
        <w:rPr>
          <w:rFonts w:ascii="Arial" w:hAnsi="Arial" w:cs="Arial"/>
          <w:sz w:val="20"/>
          <w:szCs w:val="20"/>
        </w:rPr>
        <w:t xml:space="preserve">, </w:t>
      </w:r>
      <w:r w:rsidRPr="00DE3319">
        <w:rPr>
          <w:rFonts w:ascii="Arial" w:hAnsi="Arial" w:cs="Arial"/>
          <w:sz w:val="20"/>
          <w:szCs w:val="20"/>
        </w:rPr>
        <w:t>but</w:t>
      </w:r>
      <w:proofErr w:type="gramEnd"/>
      <w:r w:rsidR="00C44DA7" w:rsidRPr="00DE3319">
        <w:rPr>
          <w:rFonts w:ascii="Arial" w:hAnsi="Arial" w:cs="Arial"/>
          <w:sz w:val="20"/>
          <w:szCs w:val="20"/>
        </w:rPr>
        <w:t xml:space="preserve"> are</w:t>
      </w:r>
      <w:r w:rsidRPr="00DE3319">
        <w:rPr>
          <w:rFonts w:ascii="Arial" w:hAnsi="Arial" w:cs="Arial"/>
          <w:sz w:val="20"/>
          <w:szCs w:val="20"/>
        </w:rPr>
        <w:t xml:space="preserve"> independent and separable.</w:t>
      </w:r>
      <w:r w:rsidR="00A66E27" w:rsidRPr="00DE3319">
        <w:rPr>
          <w:rFonts w:ascii="Arial" w:hAnsi="Arial" w:cs="Arial"/>
          <w:sz w:val="20"/>
          <w:szCs w:val="20"/>
        </w:rPr>
        <w:t xml:space="preserve"> Moreover, t</w:t>
      </w:r>
      <w:r w:rsidRPr="00DE3319">
        <w:rPr>
          <w:rFonts w:ascii="Arial" w:hAnsi="Arial" w:cs="Arial"/>
          <w:sz w:val="20"/>
          <w:szCs w:val="20"/>
        </w:rPr>
        <w:t xml:space="preserve">he Principles define characteristics that contemporary data resources, tools, vocabularies and infrastructures should exhibit to assist discovery and reuse by </w:t>
      </w:r>
      <w:proofErr w:type="gramStart"/>
      <w:r w:rsidRPr="00DE3319">
        <w:rPr>
          <w:rFonts w:ascii="Arial" w:hAnsi="Arial" w:cs="Arial"/>
          <w:sz w:val="20"/>
          <w:szCs w:val="20"/>
        </w:rPr>
        <w:t>third-parties</w:t>
      </w:r>
      <w:proofErr w:type="gramEnd"/>
      <w:r w:rsidR="003B4536" w:rsidRPr="00DE3319">
        <w:rPr>
          <w:rFonts w:ascii="Arial" w:hAnsi="Arial" w:cs="Arial"/>
          <w:sz w:val="20"/>
          <w:szCs w:val="20"/>
        </w:rPr>
        <w:t xml:space="preserve">, such as </w:t>
      </w:r>
      <w:r w:rsidR="003B4536" w:rsidRPr="00DE3319">
        <w:rPr>
          <w:rFonts w:ascii="Arial" w:hAnsi="Arial" w:cs="Arial"/>
          <w:sz w:val="20"/>
          <w:szCs w:val="20"/>
        </w:rPr>
        <w:t xml:space="preserve">data publishers </w:t>
      </w:r>
      <w:r w:rsidR="003B4536" w:rsidRPr="00DE3319">
        <w:rPr>
          <w:rFonts w:ascii="Arial" w:hAnsi="Arial" w:cs="Arial"/>
          <w:sz w:val="20"/>
          <w:szCs w:val="20"/>
        </w:rPr>
        <w:t>or</w:t>
      </w:r>
      <w:r w:rsidR="003B4536" w:rsidRPr="00DE3319">
        <w:rPr>
          <w:rFonts w:ascii="Arial" w:hAnsi="Arial" w:cs="Arial"/>
          <w:sz w:val="20"/>
          <w:szCs w:val="20"/>
        </w:rPr>
        <w:t xml:space="preserve"> stewards</w:t>
      </w:r>
      <w:r w:rsidR="003B4536" w:rsidRPr="00DE3319">
        <w:rPr>
          <w:rFonts w:ascii="Arial" w:hAnsi="Arial" w:cs="Arial"/>
          <w:sz w:val="20"/>
          <w:szCs w:val="20"/>
        </w:rPr>
        <w:t>.</w:t>
      </w:r>
    </w:p>
    <w:p w14:paraId="37E76D7C" w14:textId="26ADF96E" w:rsidR="00326022" w:rsidRPr="00DE3319" w:rsidRDefault="003B4536" w:rsidP="0054314B">
      <w:pPr>
        <w:rPr>
          <w:rFonts w:ascii="Arial" w:hAnsi="Arial" w:cs="Arial"/>
          <w:sz w:val="20"/>
          <w:szCs w:val="20"/>
        </w:rPr>
      </w:pPr>
      <w:r w:rsidRPr="00DE3319">
        <w:rPr>
          <w:rFonts w:ascii="Arial" w:hAnsi="Arial" w:cs="Arial"/>
          <w:sz w:val="20"/>
          <w:szCs w:val="20"/>
        </w:rPr>
        <w:t xml:space="preserve">Hence, they </w:t>
      </w:r>
      <w:r w:rsidR="009E2863" w:rsidRPr="00DE3319">
        <w:rPr>
          <w:rFonts w:ascii="Arial" w:hAnsi="Arial" w:cs="Arial"/>
          <w:sz w:val="20"/>
          <w:szCs w:val="20"/>
        </w:rPr>
        <w:t>are not, themselves, a standard or a specification. They act as a guide</w:t>
      </w:r>
      <w:r w:rsidR="0054314B" w:rsidRPr="00DE3319">
        <w:rPr>
          <w:rFonts w:ascii="Arial" w:hAnsi="Arial" w:cs="Arial"/>
          <w:sz w:val="20"/>
          <w:szCs w:val="20"/>
        </w:rPr>
        <w:t xml:space="preserve"> </w:t>
      </w:r>
      <w:r w:rsidR="0054314B" w:rsidRPr="00DE3319">
        <w:rPr>
          <w:rFonts w:ascii="Arial" w:hAnsi="Arial" w:cs="Arial"/>
          <w:sz w:val="20"/>
          <w:szCs w:val="20"/>
        </w:rPr>
        <w:t xml:space="preserve">to </w:t>
      </w:r>
      <w:r w:rsidR="009E2863" w:rsidRPr="00DE3319">
        <w:rPr>
          <w:rFonts w:ascii="Arial" w:hAnsi="Arial" w:cs="Arial"/>
          <w:sz w:val="20"/>
          <w:szCs w:val="20"/>
        </w:rPr>
        <w:t xml:space="preserve">data publishers and stewards to assist them in evaluating whether their </w:t>
      </w:r>
      <w:r w:rsidR="00DE3319" w:rsidRPr="00DE3319">
        <w:rPr>
          <w:rFonts w:ascii="Arial" w:hAnsi="Arial" w:cs="Arial"/>
          <w:sz w:val="20"/>
          <w:szCs w:val="20"/>
        </w:rPr>
        <w:t>implementation</w:t>
      </w:r>
      <w:r w:rsidR="006470AD" w:rsidRPr="00DE3319">
        <w:rPr>
          <w:rFonts w:ascii="Arial" w:hAnsi="Arial" w:cs="Arial"/>
          <w:sz w:val="20"/>
          <w:szCs w:val="20"/>
        </w:rPr>
        <w:t xml:space="preserve"> </w:t>
      </w:r>
      <w:r w:rsidR="009E2863" w:rsidRPr="00DE3319">
        <w:rPr>
          <w:rFonts w:ascii="Arial" w:hAnsi="Arial" w:cs="Arial"/>
          <w:sz w:val="20"/>
          <w:szCs w:val="20"/>
        </w:rPr>
        <w:t xml:space="preserve">choices are rendering their digital research artefacts Findable, Accessible, Interoperable, and Reusable. </w:t>
      </w:r>
    </w:p>
    <w:p w14:paraId="7B46AAF4" w14:textId="6119431B" w:rsidR="00DE3319" w:rsidRDefault="00DE3319" w:rsidP="0054314B"/>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50"/>
        <w:gridCol w:w="6540"/>
      </w:tblGrid>
      <w:tr w:rsidR="00DE3319" w:rsidRPr="00DE3319" w14:paraId="151131AB" w14:textId="77777777" w:rsidTr="00DE3319">
        <w:tc>
          <w:tcPr>
            <w:tcW w:w="2850" w:type="dxa"/>
            <w:tcBorders>
              <w:top w:val="single" w:sz="6" w:space="0" w:color="DDDDDD"/>
            </w:tcBorders>
            <w:shd w:val="clear" w:color="auto" w:fill="F9F9F9"/>
            <w:tcMar>
              <w:top w:w="120" w:type="dxa"/>
              <w:left w:w="120" w:type="dxa"/>
              <w:bottom w:w="120" w:type="dxa"/>
              <w:right w:w="120" w:type="dxa"/>
            </w:tcMar>
            <w:hideMark/>
          </w:tcPr>
          <w:p w14:paraId="40DE76CA" w14:textId="77777777" w:rsidR="00DE3319" w:rsidRPr="00DE3319" w:rsidRDefault="00DE3319" w:rsidP="00DE3319">
            <w:pPr>
              <w:rPr>
                <w:rFonts w:ascii="Arial" w:hAnsi="Arial" w:cs="Arial"/>
                <w:sz w:val="20"/>
                <w:szCs w:val="20"/>
              </w:rPr>
            </w:pPr>
            <w:r w:rsidRPr="00DE3319">
              <w:rPr>
                <w:rFonts w:ascii="Arial" w:hAnsi="Arial" w:cs="Arial"/>
                <w:b/>
                <w:bCs/>
                <w:sz w:val="20"/>
                <w:szCs w:val="20"/>
              </w:rPr>
              <w:t>Findable</w:t>
            </w:r>
          </w:p>
        </w:tc>
        <w:tc>
          <w:tcPr>
            <w:tcW w:w="0" w:type="auto"/>
            <w:tcBorders>
              <w:top w:val="single" w:sz="6" w:space="0" w:color="DDDDDD"/>
            </w:tcBorders>
            <w:shd w:val="clear" w:color="auto" w:fill="F9F9F9"/>
            <w:tcMar>
              <w:top w:w="120" w:type="dxa"/>
              <w:left w:w="120" w:type="dxa"/>
              <w:bottom w:w="120" w:type="dxa"/>
              <w:right w:w="120" w:type="dxa"/>
            </w:tcMar>
            <w:hideMark/>
          </w:tcPr>
          <w:p w14:paraId="00FCA461" w14:textId="2FED89FE" w:rsidR="00DE3319" w:rsidRPr="00DE3319" w:rsidRDefault="00DE3319" w:rsidP="00DE3319">
            <w:pPr>
              <w:jc w:val="both"/>
              <w:rPr>
                <w:rFonts w:ascii="Arial" w:hAnsi="Arial" w:cs="Arial"/>
                <w:sz w:val="20"/>
                <w:szCs w:val="20"/>
              </w:rPr>
            </w:pPr>
            <w:r w:rsidRPr="00DE3319">
              <w:rPr>
                <w:rFonts w:ascii="Arial" w:hAnsi="Arial" w:cs="Arial"/>
                <w:sz w:val="20"/>
                <w:szCs w:val="20"/>
              </w:rPr>
              <w:t>(meta)data are assigned a globally unique and persistent identifier</w:t>
            </w:r>
          </w:p>
          <w:p w14:paraId="773AC59F" w14:textId="37882D39" w:rsidR="00DE3319" w:rsidRPr="00DE3319" w:rsidRDefault="00DE3319" w:rsidP="00DE3319">
            <w:pPr>
              <w:jc w:val="both"/>
              <w:rPr>
                <w:rFonts w:ascii="Arial" w:hAnsi="Arial" w:cs="Arial"/>
                <w:sz w:val="20"/>
                <w:szCs w:val="20"/>
              </w:rPr>
            </w:pPr>
            <w:r w:rsidRPr="00DE3319">
              <w:rPr>
                <w:rFonts w:ascii="Arial" w:hAnsi="Arial" w:cs="Arial"/>
                <w:sz w:val="20"/>
                <w:szCs w:val="20"/>
              </w:rPr>
              <w:t>data are described with rich metadata (defined by R1 below)</w:t>
            </w:r>
          </w:p>
          <w:p w14:paraId="24BC614C" w14:textId="7E3BB5D3" w:rsidR="00DE3319" w:rsidRPr="00DE3319" w:rsidRDefault="00DE3319" w:rsidP="00DE3319">
            <w:pPr>
              <w:jc w:val="both"/>
              <w:rPr>
                <w:rFonts w:ascii="Arial" w:hAnsi="Arial" w:cs="Arial"/>
                <w:sz w:val="20"/>
                <w:szCs w:val="20"/>
              </w:rPr>
            </w:pPr>
            <w:r w:rsidRPr="00DE3319">
              <w:rPr>
                <w:rFonts w:ascii="Arial" w:hAnsi="Arial" w:cs="Arial"/>
                <w:sz w:val="20"/>
                <w:szCs w:val="20"/>
              </w:rPr>
              <w:t>metadata clearly and explicitly include the identifier of the data it describes</w:t>
            </w:r>
          </w:p>
          <w:p w14:paraId="317FF61B" w14:textId="56CC2122" w:rsidR="00DE3319" w:rsidRPr="00DE3319" w:rsidRDefault="00DE3319" w:rsidP="00DE3319">
            <w:pPr>
              <w:jc w:val="both"/>
              <w:rPr>
                <w:rFonts w:ascii="Arial" w:hAnsi="Arial" w:cs="Arial"/>
                <w:sz w:val="20"/>
                <w:szCs w:val="20"/>
              </w:rPr>
            </w:pPr>
            <w:r w:rsidRPr="00DE3319">
              <w:rPr>
                <w:rFonts w:ascii="Arial" w:hAnsi="Arial" w:cs="Arial"/>
                <w:sz w:val="20"/>
                <w:szCs w:val="20"/>
              </w:rPr>
              <w:t xml:space="preserve"> (meta)data are registered or indexed in a searchable resource</w:t>
            </w:r>
          </w:p>
        </w:tc>
      </w:tr>
      <w:tr w:rsidR="00DE3319" w:rsidRPr="00DE3319" w14:paraId="2EA40D2E" w14:textId="77777777" w:rsidTr="00DE3319">
        <w:tc>
          <w:tcPr>
            <w:tcW w:w="2850" w:type="dxa"/>
            <w:tcBorders>
              <w:top w:val="single" w:sz="6" w:space="0" w:color="DDDDDD"/>
            </w:tcBorders>
            <w:shd w:val="clear" w:color="auto" w:fill="FFFFFF"/>
            <w:tcMar>
              <w:top w:w="120" w:type="dxa"/>
              <w:left w:w="120" w:type="dxa"/>
              <w:bottom w:w="120" w:type="dxa"/>
              <w:right w:w="120" w:type="dxa"/>
            </w:tcMar>
            <w:hideMark/>
          </w:tcPr>
          <w:p w14:paraId="4FAB2804" w14:textId="77777777" w:rsidR="00DE3319" w:rsidRPr="00DE3319" w:rsidRDefault="00DE3319" w:rsidP="00DE3319">
            <w:pPr>
              <w:rPr>
                <w:rFonts w:ascii="Arial" w:hAnsi="Arial" w:cs="Arial"/>
                <w:sz w:val="20"/>
                <w:szCs w:val="20"/>
              </w:rPr>
            </w:pPr>
            <w:r w:rsidRPr="00DE3319">
              <w:rPr>
                <w:rFonts w:ascii="Arial" w:hAnsi="Arial" w:cs="Arial"/>
                <w:b/>
                <w:bCs/>
                <w:sz w:val="20"/>
                <w:szCs w:val="20"/>
              </w:rPr>
              <w:t>Accessible</w:t>
            </w:r>
          </w:p>
        </w:tc>
        <w:tc>
          <w:tcPr>
            <w:tcW w:w="0" w:type="auto"/>
            <w:tcBorders>
              <w:top w:val="single" w:sz="6" w:space="0" w:color="DDDDDD"/>
            </w:tcBorders>
            <w:shd w:val="clear" w:color="auto" w:fill="FFFFFF"/>
            <w:tcMar>
              <w:top w:w="120" w:type="dxa"/>
              <w:left w:w="120" w:type="dxa"/>
              <w:bottom w:w="120" w:type="dxa"/>
              <w:right w:w="120" w:type="dxa"/>
            </w:tcMar>
            <w:hideMark/>
          </w:tcPr>
          <w:p w14:paraId="66C1E230" w14:textId="4CC0713C" w:rsidR="00DE3319" w:rsidRPr="00BF57A9" w:rsidRDefault="00DE3319" w:rsidP="00DE3319">
            <w:pPr>
              <w:jc w:val="both"/>
              <w:rPr>
                <w:rFonts w:ascii="Arial" w:hAnsi="Arial" w:cs="Arial"/>
                <w:sz w:val="20"/>
                <w:szCs w:val="20"/>
              </w:rPr>
            </w:pPr>
            <w:r w:rsidRPr="00BF57A9">
              <w:rPr>
                <w:rFonts w:ascii="Arial" w:hAnsi="Arial" w:cs="Arial"/>
                <w:sz w:val="20"/>
                <w:szCs w:val="20"/>
              </w:rPr>
              <w:t>(meta)data are retrievable by their identifier using a standardized communications protocol</w:t>
            </w:r>
          </w:p>
          <w:p w14:paraId="5E885EC3" w14:textId="6BB598FC" w:rsidR="00DE3319" w:rsidRPr="00BF57A9" w:rsidRDefault="00DE3319" w:rsidP="00DE3319">
            <w:pPr>
              <w:jc w:val="both"/>
              <w:rPr>
                <w:rFonts w:ascii="Arial" w:hAnsi="Arial" w:cs="Arial"/>
                <w:sz w:val="20"/>
                <w:szCs w:val="20"/>
              </w:rPr>
            </w:pPr>
            <w:r w:rsidRPr="00BF57A9">
              <w:rPr>
                <w:rFonts w:ascii="Arial" w:hAnsi="Arial" w:cs="Arial"/>
                <w:sz w:val="20"/>
                <w:szCs w:val="20"/>
              </w:rPr>
              <w:t>the protocol is open, free, and universally implementable</w:t>
            </w:r>
          </w:p>
          <w:p w14:paraId="40A19C3D" w14:textId="3E6A8B32" w:rsidR="00DE3319" w:rsidRPr="00BF57A9" w:rsidRDefault="00DE3319" w:rsidP="00DE3319">
            <w:pPr>
              <w:jc w:val="both"/>
              <w:rPr>
                <w:rFonts w:ascii="Arial" w:hAnsi="Arial" w:cs="Arial"/>
                <w:sz w:val="20"/>
                <w:szCs w:val="20"/>
              </w:rPr>
            </w:pPr>
            <w:r w:rsidRPr="00BF57A9">
              <w:rPr>
                <w:rFonts w:ascii="Arial" w:hAnsi="Arial" w:cs="Arial"/>
                <w:sz w:val="20"/>
                <w:szCs w:val="20"/>
              </w:rPr>
              <w:t>the protocol allows for an authentication and authorization procedure, where necessary</w:t>
            </w:r>
          </w:p>
          <w:p w14:paraId="742AF273" w14:textId="04F46C5B" w:rsidR="00DE3319" w:rsidRPr="00DE3319" w:rsidRDefault="00DE3319" w:rsidP="00DE3319">
            <w:pPr>
              <w:jc w:val="both"/>
              <w:rPr>
                <w:rFonts w:ascii="Arial" w:hAnsi="Arial" w:cs="Arial"/>
                <w:sz w:val="20"/>
                <w:szCs w:val="20"/>
              </w:rPr>
            </w:pPr>
            <w:r w:rsidRPr="00BF57A9">
              <w:rPr>
                <w:rFonts w:ascii="Arial" w:hAnsi="Arial" w:cs="Arial"/>
                <w:sz w:val="20"/>
                <w:szCs w:val="20"/>
              </w:rPr>
              <w:t xml:space="preserve"> metadata are accessible, even when the data are no longer available</w:t>
            </w:r>
          </w:p>
        </w:tc>
      </w:tr>
      <w:tr w:rsidR="00DE3319" w:rsidRPr="00DE3319" w14:paraId="4B435E63" w14:textId="77777777" w:rsidTr="00DE3319">
        <w:tc>
          <w:tcPr>
            <w:tcW w:w="2850" w:type="dxa"/>
            <w:tcBorders>
              <w:top w:val="single" w:sz="6" w:space="0" w:color="DDDDDD"/>
            </w:tcBorders>
            <w:shd w:val="clear" w:color="auto" w:fill="F9F9F9"/>
            <w:tcMar>
              <w:top w:w="120" w:type="dxa"/>
              <w:left w:w="120" w:type="dxa"/>
              <w:bottom w:w="120" w:type="dxa"/>
              <w:right w:w="120" w:type="dxa"/>
            </w:tcMar>
            <w:hideMark/>
          </w:tcPr>
          <w:p w14:paraId="669A6AA9" w14:textId="77777777" w:rsidR="00DE3319" w:rsidRPr="00DE3319" w:rsidRDefault="00DE3319" w:rsidP="00DE3319">
            <w:pPr>
              <w:rPr>
                <w:rFonts w:ascii="Arial" w:hAnsi="Arial" w:cs="Arial"/>
                <w:sz w:val="20"/>
                <w:szCs w:val="20"/>
              </w:rPr>
            </w:pPr>
            <w:r w:rsidRPr="00DE3319">
              <w:rPr>
                <w:rFonts w:ascii="Arial" w:hAnsi="Arial" w:cs="Arial"/>
                <w:b/>
                <w:bCs/>
                <w:sz w:val="20"/>
                <w:szCs w:val="20"/>
              </w:rPr>
              <w:t>Interoperable</w:t>
            </w:r>
          </w:p>
        </w:tc>
        <w:tc>
          <w:tcPr>
            <w:tcW w:w="0" w:type="auto"/>
            <w:tcBorders>
              <w:top w:val="single" w:sz="6" w:space="0" w:color="DDDDDD"/>
            </w:tcBorders>
            <w:shd w:val="clear" w:color="auto" w:fill="F9F9F9"/>
            <w:tcMar>
              <w:top w:w="120" w:type="dxa"/>
              <w:left w:w="120" w:type="dxa"/>
              <w:bottom w:w="120" w:type="dxa"/>
              <w:right w:w="120" w:type="dxa"/>
            </w:tcMar>
            <w:hideMark/>
          </w:tcPr>
          <w:p w14:paraId="04941C04" w14:textId="69804CDE" w:rsidR="00DE3319" w:rsidRPr="00BF57A9" w:rsidRDefault="00DE3319" w:rsidP="00DE3319">
            <w:pPr>
              <w:jc w:val="both"/>
              <w:rPr>
                <w:rFonts w:ascii="Arial" w:hAnsi="Arial" w:cs="Arial"/>
                <w:sz w:val="20"/>
                <w:szCs w:val="20"/>
              </w:rPr>
            </w:pPr>
            <w:r w:rsidRPr="00BF57A9">
              <w:rPr>
                <w:rFonts w:ascii="Arial" w:hAnsi="Arial" w:cs="Arial"/>
                <w:sz w:val="20"/>
                <w:szCs w:val="20"/>
              </w:rPr>
              <w:t>(meta)data use a formal, accessible, shared, and broadly applicable language for knowledge representation.</w:t>
            </w:r>
          </w:p>
          <w:p w14:paraId="3FB897D0" w14:textId="4099C869" w:rsidR="00DE3319" w:rsidRPr="00BF57A9" w:rsidRDefault="00DE3319" w:rsidP="00DE3319">
            <w:pPr>
              <w:jc w:val="both"/>
              <w:rPr>
                <w:rFonts w:ascii="Arial" w:hAnsi="Arial" w:cs="Arial"/>
                <w:sz w:val="20"/>
                <w:szCs w:val="20"/>
              </w:rPr>
            </w:pPr>
            <w:r w:rsidRPr="00BF57A9">
              <w:rPr>
                <w:rFonts w:ascii="Arial" w:hAnsi="Arial" w:cs="Arial"/>
                <w:sz w:val="20"/>
                <w:szCs w:val="20"/>
              </w:rPr>
              <w:t>(meta)data use vocabularies that follow FAIR principles</w:t>
            </w:r>
          </w:p>
          <w:p w14:paraId="4CFAC423" w14:textId="49267A0A" w:rsidR="00DE3319" w:rsidRPr="00DE3319" w:rsidRDefault="00DE3319" w:rsidP="00DE3319">
            <w:pPr>
              <w:jc w:val="both"/>
              <w:rPr>
                <w:rFonts w:ascii="Arial" w:hAnsi="Arial" w:cs="Arial"/>
                <w:sz w:val="20"/>
                <w:szCs w:val="20"/>
              </w:rPr>
            </w:pPr>
            <w:r w:rsidRPr="00BF57A9">
              <w:rPr>
                <w:rFonts w:ascii="Arial" w:hAnsi="Arial" w:cs="Arial"/>
                <w:sz w:val="20"/>
                <w:szCs w:val="20"/>
              </w:rPr>
              <w:t>(meta)data include qualified references to other (meta)data</w:t>
            </w:r>
          </w:p>
        </w:tc>
      </w:tr>
      <w:tr w:rsidR="00DE3319" w:rsidRPr="00DE3319" w14:paraId="34493AB5" w14:textId="77777777" w:rsidTr="00DE3319">
        <w:tc>
          <w:tcPr>
            <w:tcW w:w="2850" w:type="dxa"/>
            <w:tcBorders>
              <w:top w:val="single" w:sz="6" w:space="0" w:color="DDDDDD"/>
            </w:tcBorders>
            <w:shd w:val="clear" w:color="auto" w:fill="FFFFFF"/>
            <w:tcMar>
              <w:top w:w="120" w:type="dxa"/>
              <w:left w:w="120" w:type="dxa"/>
              <w:bottom w:w="120" w:type="dxa"/>
              <w:right w:w="120" w:type="dxa"/>
            </w:tcMar>
            <w:hideMark/>
          </w:tcPr>
          <w:p w14:paraId="7288D67A" w14:textId="77777777" w:rsidR="00DE3319" w:rsidRPr="00DE3319" w:rsidRDefault="00DE3319" w:rsidP="00DE3319">
            <w:pPr>
              <w:rPr>
                <w:rFonts w:ascii="Arial" w:hAnsi="Arial" w:cs="Arial"/>
                <w:sz w:val="20"/>
                <w:szCs w:val="20"/>
              </w:rPr>
            </w:pPr>
            <w:r w:rsidRPr="00DE3319">
              <w:rPr>
                <w:rFonts w:ascii="Arial" w:hAnsi="Arial" w:cs="Arial"/>
                <w:b/>
                <w:bCs/>
                <w:sz w:val="20"/>
                <w:szCs w:val="20"/>
              </w:rPr>
              <w:t>Reusable</w:t>
            </w:r>
          </w:p>
        </w:tc>
        <w:tc>
          <w:tcPr>
            <w:tcW w:w="0" w:type="auto"/>
            <w:tcBorders>
              <w:top w:val="single" w:sz="6" w:space="0" w:color="DDDDDD"/>
            </w:tcBorders>
            <w:shd w:val="clear" w:color="auto" w:fill="FFFFFF"/>
            <w:tcMar>
              <w:top w:w="120" w:type="dxa"/>
              <w:left w:w="120" w:type="dxa"/>
              <w:bottom w:w="120" w:type="dxa"/>
              <w:right w:w="120" w:type="dxa"/>
            </w:tcMar>
            <w:hideMark/>
          </w:tcPr>
          <w:p w14:paraId="4BADE518" w14:textId="4F1B74C7" w:rsidR="00DE3319" w:rsidRPr="00BF57A9" w:rsidRDefault="00DE3319" w:rsidP="00DE3319">
            <w:pPr>
              <w:jc w:val="both"/>
              <w:rPr>
                <w:rFonts w:ascii="Arial" w:hAnsi="Arial" w:cs="Arial"/>
                <w:sz w:val="20"/>
                <w:szCs w:val="20"/>
              </w:rPr>
            </w:pPr>
            <w:r w:rsidRPr="00BF57A9">
              <w:rPr>
                <w:rFonts w:ascii="Arial" w:hAnsi="Arial" w:cs="Arial"/>
                <w:sz w:val="20"/>
                <w:szCs w:val="20"/>
              </w:rPr>
              <w:t>meta(data) are richly described with a plurality of accurate and relevant attributes</w:t>
            </w:r>
          </w:p>
          <w:p w14:paraId="0BC95DCB" w14:textId="24D51013" w:rsidR="00DE3319" w:rsidRPr="00BF57A9" w:rsidRDefault="00DE3319" w:rsidP="00DE3319">
            <w:pPr>
              <w:jc w:val="both"/>
              <w:rPr>
                <w:rFonts w:ascii="Arial" w:hAnsi="Arial" w:cs="Arial"/>
                <w:sz w:val="20"/>
                <w:szCs w:val="20"/>
              </w:rPr>
            </w:pPr>
            <w:r w:rsidRPr="00BF57A9">
              <w:rPr>
                <w:rFonts w:ascii="Arial" w:hAnsi="Arial" w:cs="Arial"/>
                <w:sz w:val="20"/>
                <w:szCs w:val="20"/>
              </w:rPr>
              <w:t>(meta)data are released with a clear and accessible data usage license</w:t>
            </w:r>
          </w:p>
          <w:p w14:paraId="30334C53" w14:textId="4DB0AB75" w:rsidR="00DE3319" w:rsidRPr="00BF57A9" w:rsidRDefault="00156ED6" w:rsidP="00DE3319">
            <w:pPr>
              <w:jc w:val="both"/>
              <w:rPr>
                <w:rFonts w:ascii="Arial" w:hAnsi="Arial" w:cs="Arial"/>
                <w:sz w:val="20"/>
                <w:szCs w:val="20"/>
              </w:rPr>
            </w:pPr>
            <w:r w:rsidRPr="00BF57A9">
              <w:rPr>
                <w:rFonts w:ascii="Arial" w:hAnsi="Arial" w:cs="Arial"/>
                <w:sz w:val="20"/>
                <w:szCs w:val="20"/>
              </w:rPr>
              <w:t>e</w:t>
            </w:r>
            <w:r w:rsidR="00DE3319" w:rsidRPr="00BF57A9">
              <w:rPr>
                <w:rFonts w:ascii="Arial" w:hAnsi="Arial" w:cs="Arial"/>
                <w:sz w:val="20"/>
                <w:szCs w:val="20"/>
              </w:rPr>
              <w:t>(meta)data are associated with detailed provenance</w:t>
            </w:r>
          </w:p>
          <w:p w14:paraId="0698F059" w14:textId="46816DC6" w:rsidR="00DE3319" w:rsidRPr="00DE3319" w:rsidRDefault="00DE3319" w:rsidP="00DE3319">
            <w:pPr>
              <w:jc w:val="both"/>
              <w:rPr>
                <w:rFonts w:ascii="Arial" w:hAnsi="Arial" w:cs="Arial"/>
                <w:sz w:val="20"/>
                <w:szCs w:val="20"/>
              </w:rPr>
            </w:pPr>
            <w:r w:rsidRPr="00BF57A9">
              <w:rPr>
                <w:rFonts w:ascii="Arial" w:hAnsi="Arial" w:cs="Arial"/>
                <w:sz w:val="20"/>
                <w:szCs w:val="20"/>
              </w:rPr>
              <w:t>(meta)data meet domain-relevant community standards</w:t>
            </w:r>
          </w:p>
        </w:tc>
      </w:tr>
    </w:tbl>
    <w:p w14:paraId="21305560" w14:textId="041B1311" w:rsidR="00DE3319" w:rsidRDefault="00DE3319" w:rsidP="0054314B"/>
    <w:p w14:paraId="1DB7368A" w14:textId="4691FBD7" w:rsidR="008C4174" w:rsidRDefault="008C4174" w:rsidP="0054314B"/>
    <w:p w14:paraId="6977442A" w14:textId="1F7EF007" w:rsidR="00BF57A9" w:rsidRDefault="00BF57A9" w:rsidP="0054314B"/>
    <w:p w14:paraId="63CAFE2E" w14:textId="77777777" w:rsidR="00BF57A9" w:rsidRDefault="00BF57A9" w:rsidP="0054314B"/>
    <w:p w14:paraId="4E13E1D1" w14:textId="73BE4DF6" w:rsidR="008C4174" w:rsidRDefault="00E1384B" w:rsidP="0054314B">
      <w:pPr>
        <w:rPr>
          <w:rFonts w:ascii="Arial" w:hAnsi="Arial" w:cs="Arial"/>
          <w:lang w:val="de-DE"/>
        </w:rPr>
      </w:pPr>
      <w:r>
        <w:rPr>
          <w:rFonts w:ascii="Arial" w:hAnsi="Arial" w:cs="Arial"/>
          <w:lang w:val="de-DE"/>
        </w:rPr>
        <w:t>[1]. Wilkinson et al 2018</w:t>
      </w:r>
    </w:p>
    <w:p w14:paraId="66C1D79E" w14:textId="4A5B242E" w:rsidR="00E1384B" w:rsidRPr="00E1384B" w:rsidRDefault="00E1384B" w:rsidP="0054314B">
      <w:pPr>
        <w:rPr>
          <w:rFonts w:ascii="Arial" w:hAnsi="Arial" w:cs="Arial"/>
        </w:rPr>
      </w:pPr>
      <w:r w:rsidRPr="00E1384B">
        <w:rPr>
          <w:rFonts w:ascii="Arial" w:hAnsi="Arial" w:cs="Arial"/>
        </w:rPr>
        <w:t>[2]</w:t>
      </w:r>
      <w:r w:rsidRPr="00E1384B">
        <w:t xml:space="preserve"> </w:t>
      </w:r>
      <w:r w:rsidRPr="00E1384B">
        <w:t xml:space="preserve">Jens </w:t>
      </w:r>
      <w:proofErr w:type="spellStart"/>
      <w:r w:rsidRPr="00E1384B">
        <w:t>Bröder</w:t>
      </w:r>
      <w:proofErr w:type="spellEnd"/>
      <w:r w:rsidRPr="00E1384B">
        <w:t xml:space="preserve">, Daniel Wortmann, Stefan </w:t>
      </w:r>
      <w:proofErr w:type="spellStart"/>
      <w:r w:rsidRPr="00E1384B">
        <w:t>Blügel</w:t>
      </w:r>
      <w:proofErr w:type="spellEnd"/>
      <w:r w:rsidRPr="00E1384B">
        <w:t xml:space="preserve">, </w:t>
      </w:r>
      <w:proofErr w:type="spellStart"/>
      <w:r w:rsidRPr="00E1384B">
        <w:t>JuCLS</w:t>
      </w:r>
      <w:proofErr w:type="spellEnd"/>
      <w:r w:rsidRPr="00E1384B">
        <w:t xml:space="preserve"> database of core-level shifts from all-electron density functional theory simulations for chemical analysis of X-ray photoelectron spectra, Materials Cloud Archive 2020.139 (2020), </w:t>
      </w:r>
      <w:proofErr w:type="spellStart"/>
      <w:r w:rsidRPr="00E1384B">
        <w:t>doi</w:t>
      </w:r>
      <w:proofErr w:type="spellEnd"/>
      <w:r w:rsidRPr="00E1384B">
        <w:t>: 10.24435/materialscloud:3j-p3.</w:t>
      </w:r>
    </w:p>
    <w:p w14:paraId="3DD7523A" w14:textId="37D7EEE7" w:rsidR="00E1384B" w:rsidRPr="00E1384B" w:rsidRDefault="00E1384B" w:rsidP="0054314B"/>
    <w:sectPr w:rsidR="00E1384B" w:rsidRPr="00E1384B">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71"/>
    <w:rsid w:val="00070B4C"/>
    <w:rsid w:val="000A5ACF"/>
    <w:rsid w:val="00156ED6"/>
    <w:rsid w:val="00326022"/>
    <w:rsid w:val="003B4536"/>
    <w:rsid w:val="003F60ED"/>
    <w:rsid w:val="00426C59"/>
    <w:rsid w:val="005108DE"/>
    <w:rsid w:val="00534810"/>
    <w:rsid w:val="0054314B"/>
    <w:rsid w:val="0058389D"/>
    <w:rsid w:val="006470AD"/>
    <w:rsid w:val="007E301D"/>
    <w:rsid w:val="008C4174"/>
    <w:rsid w:val="009E051B"/>
    <w:rsid w:val="009E2863"/>
    <w:rsid w:val="00A66E27"/>
    <w:rsid w:val="00AC05CB"/>
    <w:rsid w:val="00AC297B"/>
    <w:rsid w:val="00BE05F6"/>
    <w:rsid w:val="00BF57A9"/>
    <w:rsid w:val="00C44DA7"/>
    <w:rsid w:val="00D55382"/>
    <w:rsid w:val="00DE3319"/>
    <w:rsid w:val="00E1384B"/>
    <w:rsid w:val="00E85E71"/>
    <w:rsid w:val="00EF4DC7"/>
    <w:rsid w:val="00F8260A"/>
    <w:rsid w:val="00F8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897D"/>
  <w15:chartTrackingRefBased/>
  <w15:docId w15:val="{324A10FD-6CDD-46FF-AE1C-F0471F9F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30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52332">
      <w:bodyDiv w:val="1"/>
      <w:marLeft w:val="0"/>
      <w:marRight w:val="0"/>
      <w:marTop w:val="0"/>
      <w:marBottom w:val="0"/>
      <w:divBdr>
        <w:top w:val="none" w:sz="0" w:space="0" w:color="auto"/>
        <w:left w:val="none" w:sz="0" w:space="0" w:color="auto"/>
        <w:bottom w:val="none" w:sz="0" w:space="0" w:color="auto"/>
        <w:right w:val="none" w:sz="0" w:space="0" w:color="auto"/>
      </w:divBdr>
    </w:div>
    <w:div w:id="7030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02AD0-EC00-4C51-80BC-9A45F05B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9</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gar</dc:creator>
  <cp:keywords/>
  <dc:description/>
  <cp:lastModifiedBy>anna gar</cp:lastModifiedBy>
  <cp:revision>12</cp:revision>
  <dcterms:created xsi:type="dcterms:W3CDTF">2021-01-25T10:10:00Z</dcterms:created>
  <dcterms:modified xsi:type="dcterms:W3CDTF">2021-01-25T21:34:00Z</dcterms:modified>
</cp:coreProperties>
</file>