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purl.oclc.org/ooxml/officeDocument/relationships/metadata/thumbnail" Target="docProps/thumbnail.emf"/><Relationship Id="rId1" Type="http://purl.oclc.org/ooxml/officeDocument/relationships/officeDocument" Target="word/document.xml"/><Relationship Id="rId4" Type="http://purl.oclc.org/ooxml/officeDocument/relationships/extendedProperties" Target="docProps/app.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31BC6E45"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2B3C67CA" w:rsidR="00BD670B" w:rsidRPr="00C147BE" w:rsidRDefault="00C147BE" w:rsidP="00BD670B">
      <w:pPr>
        <w:pStyle w:val="Author"/>
        <w:spacing w:before="5pt" w:beforeAutospacing="1"/>
        <w:rPr>
          <w:sz w:val="18"/>
          <w:szCs w:val="18"/>
          <w:lang w:val="pt-BR"/>
        </w:rPr>
      </w:pPr>
      <w:r w:rsidRPr="00C147BE">
        <w:rPr>
          <w:sz w:val="18"/>
          <w:szCs w:val="18"/>
          <w:lang w:val="pt-BR"/>
        </w:rPr>
        <w:t>Brenda de Sena Ferreira</w:t>
      </w:r>
      <w:r w:rsidR="001A3B3D" w:rsidRPr="00C147BE">
        <w:rPr>
          <w:sz w:val="18"/>
          <w:szCs w:val="18"/>
          <w:lang w:val="pt-BR"/>
        </w:rPr>
        <w:t xml:space="preserve"> </w:t>
      </w:r>
      <w:r w:rsidR="001A3B3D" w:rsidRPr="00C147BE">
        <w:rPr>
          <w:sz w:val="18"/>
          <w:szCs w:val="18"/>
          <w:lang w:val="pt-BR"/>
        </w:rPr>
        <w:br/>
      </w:r>
      <w:r w:rsidRPr="00C147BE">
        <w:rPr>
          <w:sz w:val="18"/>
          <w:szCs w:val="18"/>
          <w:lang w:val="pt-BR"/>
        </w:rPr>
        <w:t>RA: 11202521654</w:t>
      </w:r>
      <w:r w:rsidR="00D72D06" w:rsidRPr="00C147BE">
        <w:rPr>
          <w:sz w:val="18"/>
          <w:szCs w:val="18"/>
          <w:lang w:val="pt-BR"/>
        </w:rPr>
        <w:br/>
      </w:r>
      <w:r w:rsidRPr="00C147BE">
        <w:rPr>
          <w:sz w:val="18"/>
          <w:szCs w:val="18"/>
          <w:lang w:val="pt-BR"/>
        </w:rPr>
        <w:t>Uniersidade Federal do ABC – Campus SA</w:t>
      </w:r>
      <w:r w:rsidR="001A3B3D" w:rsidRPr="00C147BE">
        <w:rPr>
          <w:i/>
          <w:sz w:val="18"/>
          <w:szCs w:val="18"/>
          <w:lang w:val="pt-BR"/>
        </w:rPr>
        <w:br/>
      </w:r>
      <w:r w:rsidRPr="00C147BE">
        <w:rPr>
          <w:sz w:val="18"/>
          <w:szCs w:val="18"/>
          <w:lang w:val="pt-BR"/>
        </w:rPr>
        <w:t>S</w:t>
      </w:r>
      <w:r>
        <w:rPr>
          <w:sz w:val="18"/>
          <w:szCs w:val="18"/>
          <w:lang w:val="pt-BR"/>
        </w:rPr>
        <w:t>anto André, SP, Brasil</w:t>
      </w:r>
      <w:r w:rsidR="001A3B3D" w:rsidRPr="00C147BE">
        <w:rPr>
          <w:sz w:val="18"/>
          <w:szCs w:val="18"/>
          <w:lang w:val="pt-BR"/>
        </w:rPr>
        <w:br/>
      </w:r>
      <w:r>
        <w:rPr>
          <w:sz w:val="18"/>
          <w:szCs w:val="18"/>
          <w:lang w:val="pt-BR"/>
        </w:rPr>
        <w:t>brenda.s@aluno.ufabc.edu.br</w:t>
      </w:r>
    </w:p>
    <w:p w14:paraId="1FCCE042" w14:textId="53B7F2CE" w:rsidR="001A3B3D" w:rsidRPr="00C147BE" w:rsidRDefault="00C147BE" w:rsidP="007B6DDA">
      <w:pPr>
        <w:pStyle w:val="Author"/>
        <w:spacing w:before="5pt" w:beforeAutospacing="1"/>
        <w:rPr>
          <w:sz w:val="18"/>
          <w:szCs w:val="18"/>
          <w:lang w:val="pt-BR"/>
        </w:rPr>
      </w:pPr>
      <w:r w:rsidRPr="00C147BE">
        <w:rPr>
          <w:sz w:val="18"/>
          <w:szCs w:val="18"/>
          <w:lang w:val="pt-BR"/>
        </w:rPr>
        <w:t>Maria Luiza Trindade Silva</w:t>
      </w:r>
      <w:r w:rsidR="00447BB9" w:rsidRPr="00C147BE">
        <w:rPr>
          <w:sz w:val="18"/>
          <w:szCs w:val="18"/>
          <w:lang w:val="pt-BR"/>
        </w:rPr>
        <w:br/>
      </w:r>
      <w:r w:rsidRPr="00C147BE">
        <w:rPr>
          <w:sz w:val="18"/>
          <w:szCs w:val="18"/>
          <w:lang w:val="pt-BR"/>
        </w:rPr>
        <w:t>RA: 11202322115</w:t>
      </w:r>
      <w:r w:rsidR="00447BB9" w:rsidRPr="00C147BE">
        <w:rPr>
          <w:sz w:val="18"/>
          <w:szCs w:val="18"/>
          <w:lang w:val="pt-BR"/>
        </w:rPr>
        <w:br/>
      </w:r>
      <w:r w:rsidRPr="00C147BE">
        <w:rPr>
          <w:sz w:val="18"/>
          <w:szCs w:val="18"/>
          <w:lang w:val="pt-BR"/>
        </w:rPr>
        <w:t>Uniersidade Federal do ABC – Campus SA</w:t>
      </w:r>
      <w:r w:rsidRPr="00C147BE">
        <w:rPr>
          <w:i/>
          <w:sz w:val="18"/>
          <w:szCs w:val="18"/>
          <w:lang w:val="pt-BR"/>
        </w:rPr>
        <w:br/>
      </w:r>
      <w:r w:rsidRPr="00C147BE">
        <w:rPr>
          <w:sz w:val="18"/>
          <w:szCs w:val="18"/>
          <w:lang w:val="pt-BR"/>
        </w:rPr>
        <w:t>Santo André, SP, Brasil</w:t>
      </w:r>
      <w:r w:rsidR="00447BB9" w:rsidRPr="00C147BE">
        <w:rPr>
          <w:sz w:val="18"/>
          <w:szCs w:val="18"/>
          <w:lang w:val="pt-BR"/>
        </w:rPr>
        <w:br/>
        <w:t xml:space="preserve">line 5: email address </w:t>
      </w:r>
      <w:r w:rsidR="00B768D1" w:rsidRPr="00C147BE">
        <w:rPr>
          <w:sz w:val="18"/>
          <w:szCs w:val="18"/>
          <w:lang w:val="pt-BR"/>
        </w:rPr>
        <w:t xml:space="preserve"> or ORCID</w:t>
      </w:r>
      <w:r w:rsidR="00BD670B" w:rsidRPr="00C147BE">
        <w:rPr>
          <w:sz w:val="18"/>
          <w:szCs w:val="18"/>
          <w:lang w:val="pt-BR"/>
        </w:rPr>
        <w:br w:type="column"/>
      </w:r>
      <w:r w:rsidRPr="00C147BE">
        <w:rPr>
          <w:sz w:val="18"/>
          <w:szCs w:val="18"/>
          <w:lang w:val="pt-BR"/>
        </w:rPr>
        <w:t>B</w:t>
      </w:r>
      <w:r>
        <w:rPr>
          <w:sz w:val="18"/>
          <w:szCs w:val="18"/>
          <w:lang w:val="pt-BR"/>
        </w:rPr>
        <w:t>renda</w:t>
      </w:r>
      <w:r w:rsidR="001A3B3D" w:rsidRPr="00C147BE">
        <w:rPr>
          <w:sz w:val="18"/>
          <w:szCs w:val="18"/>
          <w:lang w:val="pt-BR"/>
        </w:rPr>
        <w:br/>
        <w:t xml:space="preserve">line 2: </w:t>
      </w:r>
      <w:r w:rsidR="001A3B3D" w:rsidRPr="00C147BE">
        <w:rPr>
          <w:i/>
          <w:sz w:val="18"/>
          <w:szCs w:val="18"/>
          <w:lang w:val="pt-BR"/>
        </w:rPr>
        <w:t xml:space="preserve">dept. name of organization </w:t>
      </w:r>
      <w:r w:rsidR="007B6DDA" w:rsidRPr="00C147BE">
        <w:rPr>
          <w:i/>
          <w:sz w:val="18"/>
          <w:szCs w:val="18"/>
          <w:lang w:val="pt-BR"/>
        </w:rPr>
        <w:br/>
      </w:r>
      <w:r w:rsidR="001A3B3D" w:rsidRPr="00C147BE">
        <w:rPr>
          <w:i/>
          <w:sz w:val="18"/>
          <w:szCs w:val="18"/>
          <w:lang w:val="pt-BR"/>
        </w:rPr>
        <w:t xml:space="preserve">(of </w:t>
      </w:r>
      <w:r w:rsidR="001A3B3D" w:rsidRPr="00C147BE">
        <w:rPr>
          <w:i/>
          <w:iCs/>
          <w:sz w:val="18"/>
          <w:szCs w:val="18"/>
          <w:lang w:val="pt-BR"/>
        </w:rPr>
        <w:t>Affiliation</w:t>
      </w:r>
      <w:r w:rsidR="001A3B3D" w:rsidRPr="00C147BE">
        <w:rPr>
          <w:i/>
          <w:sz w:val="18"/>
          <w:szCs w:val="18"/>
          <w:lang w:val="pt-BR"/>
        </w:rPr>
        <w:t>)</w:t>
      </w:r>
      <w:r w:rsidR="001A3B3D" w:rsidRPr="00C147BE">
        <w:rPr>
          <w:sz w:val="18"/>
          <w:szCs w:val="18"/>
          <w:lang w:val="pt-BR"/>
        </w:rPr>
        <w:br/>
      </w:r>
      <w:r w:rsidRPr="00C147BE">
        <w:rPr>
          <w:sz w:val="18"/>
          <w:szCs w:val="18"/>
          <w:lang w:val="pt-BR"/>
        </w:rPr>
        <w:t>Uniersidade Federal do ABC – Campus SA</w:t>
      </w:r>
      <w:r w:rsidRPr="00C147BE">
        <w:rPr>
          <w:i/>
          <w:sz w:val="18"/>
          <w:szCs w:val="18"/>
          <w:lang w:val="pt-BR"/>
        </w:rPr>
        <w:br/>
      </w:r>
      <w:r w:rsidRPr="00C147BE">
        <w:rPr>
          <w:sz w:val="18"/>
          <w:szCs w:val="18"/>
          <w:lang w:val="pt-BR"/>
        </w:rPr>
        <w:t>Santo André, SP, Brasil</w:t>
      </w:r>
      <w:r w:rsidR="001A3B3D" w:rsidRPr="00C147BE">
        <w:rPr>
          <w:sz w:val="18"/>
          <w:szCs w:val="18"/>
          <w:lang w:val="pt-BR"/>
        </w:rPr>
        <w:br/>
        <w:t>line 5: email address</w:t>
      </w:r>
      <w:r w:rsidR="00B768D1" w:rsidRPr="00C147BE">
        <w:rPr>
          <w:sz w:val="18"/>
          <w:szCs w:val="18"/>
          <w:lang w:val="pt-BR"/>
        </w:rPr>
        <w:t xml:space="preserve"> or ORCID</w:t>
      </w:r>
    </w:p>
    <w:p w14:paraId="11C3FF66" w14:textId="7FB1640C" w:rsidR="001A3B3D" w:rsidRPr="00F847A6" w:rsidRDefault="00BD670B" w:rsidP="00447BB9">
      <w:pPr>
        <w:pStyle w:val="Author"/>
        <w:spacing w:before="5pt" w:beforeAutospacing="1"/>
        <w:rPr>
          <w:sz w:val="18"/>
          <w:szCs w:val="18"/>
        </w:rPr>
      </w:pPr>
      <w:r>
        <w:rPr>
          <w:sz w:val="18"/>
          <w:szCs w:val="18"/>
        </w:rPr>
        <w:br w:type="column"/>
      </w:r>
      <w:r w:rsidR="00C147BE">
        <w:rPr>
          <w:sz w:val="18"/>
          <w:szCs w:val="18"/>
        </w:rPr>
        <w:t>Julia</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r>
      <w:r w:rsidR="00C147BE" w:rsidRPr="00C147BE">
        <w:rPr>
          <w:sz w:val="18"/>
          <w:szCs w:val="18"/>
        </w:rPr>
        <w:t>Uniersidade Federal do ABC – Campus SA</w:t>
      </w:r>
      <w:r w:rsidR="00C147BE" w:rsidRPr="00C147BE">
        <w:rPr>
          <w:i/>
          <w:sz w:val="18"/>
          <w:szCs w:val="18"/>
        </w:rPr>
        <w:br/>
      </w:r>
      <w:r w:rsidR="00C147BE" w:rsidRPr="00C147BE">
        <w:rPr>
          <w:sz w:val="18"/>
          <w:szCs w:val="18"/>
        </w:rPr>
        <w:t>Santo André, SP, Brasil</w:t>
      </w:r>
      <w:r w:rsidR="001A3B3D" w:rsidRPr="00F847A6">
        <w:rPr>
          <w:sz w:val="18"/>
          <w:szCs w:val="18"/>
        </w:rPr>
        <w:br/>
        <w:t>line 5: email address</w:t>
      </w:r>
      <w:r w:rsidR="00B768D1">
        <w:rPr>
          <w:sz w:val="18"/>
          <w:szCs w:val="18"/>
        </w:rPr>
        <w:t xml:space="preserve"> or ORCID</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4AB33B91" w:rsidR="004D72B5" w:rsidRPr="00FB3806" w:rsidRDefault="00FB3806" w:rsidP="00972203">
      <w:pPr>
        <w:pStyle w:val="Abstract"/>
        <w:rPr>
          <w:i/>
          <w:iCs/>
          <w:lang w:val="pt-BR"/>
        </w:rPr>
      </w:pPr>
      <w:r w:rsidRPr="00FB3806">
        <w:rPr>
          <w:lang w:val="pt-BR"/>
        </w:rPr>
        <w:t>Resumo – Este estudo analisa o</w:t>
      </w:r>
      <w:r>
        <w:rPr>
          <w:lang w:val="pt-BR"/>
        </w:rPr>
        <w:t xml:space="preserve">s </w:t>
      </w:r>
      <w:proofErr w:type="spellStart"/>
      <w:r>
        <w:rPr>
          <w:lang w:val="pt-BR"/>
        </w:rPr>
        <w:t>easter</w:t>
      </w:r>
      <w:proofErr w:type="spellEnd"/>
      <w:r>
        <w:rPr>
          <w:lang w:val="pt-BR"/>
        </w:rPr>
        <w:t xml:space="preserve"> </w:t>
      </w:r>
      <w:proofErr w:type="spellStart"/>
      <w:r>
        <w:rPr>
          <w:lang w:val="pt-BR"/>
        </w:rPr>
        <w:t>eggs</w:t>
      </w:r>
      <w:proofErr w:type="spellEnd"/>
      <w:r>
        <w:rPr>
          <w:lang w:val="pt-BR"/>
        </w:rPr>
        <w:t xml:space="preserve"> presentes nos filmes da </w:t>
      </w:r>
      <w:proofErr w:type="spellStart"/>
      <w:r>
        <w:rPr>
          <w:lang w:val="pt-BR"/>
        </w:rPr>
        <w:t>Dinsey</w:t>
      </w:r>
      <w:proofErr w:type="spellEnd"/>
      <w:r>
        <w:rPr>
          <w:lang w:val="pt-BR"/>
        </w:rPr>
        <w:t xml:space="preserve"> como elementos de conexão entre obras de diferentes períodos e estúdios. </w:t>
      </w:r>
      <w:r w:rsidRPr="00FB3806">
        <w:rPr>
          <w:lang w:val="pt-BR"/>
        </w:rPr>
        <w:t>A pesquisa busca compreender como essas referências forma</w:t>
      </w:r>
      <w:r>
        <w:rPr>
          <w:lang w:val="pt-BR"/>
        </w:rPr>
        <w:t xml:space="preserve">m uma rede narrativa compartilhada e reforçam a identidade simbólica da marca. </w:t>
      </w:r>
      <w:r w:rsidRPr="00FB3806">
        <w:rPr>
          <w:lang w:val="pt-BR"/>
        </w:rPr>
        <w:t xml:space="preserve">Para isso, foi realizado o mapeamento das </w:t>
      </w:r>
      <w:proofErr w:type="spellStart"/>
      <w:r w:rsidRPr="00FB3806">
        <w:rPr>
          <w:lang w:val="pt-BR"/>
        </w:rPr>
        <w:t>interliações</w:t>
      </w:r>
      <w:proofErr w:type="spellEnd"/>
      <w:r w:rsidRPr="00FB3806">
        <w:rPr>
          <w:lang w:val="pt-BR"/>
        </w:rPr>
        <w:t xml:space="preserve"> entre a</w:t>
      </w:r>
      <w:r>
        <w:rPr>
          <w:lang w:val="pt-BR"/>
        </w:rPr>
        <w:t xml:space="preserve">nimações clássicas, produções da Pixar e versões </w:t>
      </w:r>
      <w:proofErr w:type="spellStart"/>
      <w:r>
        <w:rPr>
          <w:lang w:val="pt-BR"/>
        </w:rPr>
        <w:t>live</w:t>
      </w:r>
      <w:proofErr w:type="spellEnd"/>
      <w:r>
        <w:rPr>
          <w:lang w:val="pt-BR"/>
        </w:rPr>
        <w:t xml:space="preserve"> </w:t>
      </w:r>
      <w:proofErr w:type="spellStart"/>
      <w:r>
        <w:rPr>
          <w:lang w:val="pt-BR"/>
        </w:rPr>
        <w:t>action</w:t>
      </w:r>
      <w:proofErr w:type="spellEnd"/>
      <w:r>
        <w:rPr>
          <w:lang w:val="pt-BR"/>
        </w:rPr>
        <w:t xml:space="preserve">, modeladas como uma rede complexa no </w:t>
      </w:r>
      <w:proofErr w:type="spellStart"/>
      <w:r>
        <w:rPr>
          <w:lang w:val="pt-BR"/>
        </w:rPr>
        <w:t>Gephi</w:t>
      </w:r>
      <w:proofErr w:type="spellEnd"/>
      <w:r>
        <w:rPr>
          <w:lang w:val="pt-BR"/>
        </w:rPr>
        <w:t xml:space="preserve"> e Python. </w:t>
      </w:r>
      <w:r w:rsidRPr="00FB3806">
        <w:rPr>
          <w:lang w:val="pt-BR"/>
        </w:rPr>
        <w:t>As métricas de grau, densidade e modularidade permitiram identificar f</w:t>
      </w:r>
      <w:r>
        <w:rPr>
          <w:lang w:val="pt-BR"/>
        </w:rPr>
        <w:t xml:space="preserve">ilmes centrais, que atuam como pontos de convergência entre universos distintos. </w:t>
      </w:r>
      <w:r w:rsidRPr="00FB3806">
        <w:rPr>
          <w:lang w:val="pt-BR"/>
        </w:rPr>
        <w:t xml:space="preserve">Os resultados indicam que os </w:t>
      </w:r>
      <w:proofErr w:type="spellStart"/>
      <w:r w:rsidRPr="00FB3806">
        <w:rPr>
          <w:lang w:val="pt-BR"/>
        </w:rPr>
        <w:t>easter</w:t>
      </w:r>
      <w:proofErr w:type="spellEnd"/>
      <w:r w:rsidRPr="00FB3806">
        <w:rPr>
          <w:lang w:val="pt-BR"/>
        </w:rPr>
        <w:t xml:space="preserve"> </w:t>
      </w:r>
      <w:proofErr w:type="spellStart"/>
      <w:r w:rsidRPr="00FB3806">
        <w:rPr>
          <w:lang w:val="pt-BR"/>
        </w:rPr>
        <w:t>eggs</w:t>
      </w:r>
      <w:proofErr w:type="spellEnd"/>
      <w:r w:rsidRPr="00FB3806">
        <w:rPr>
          <w:lang w:val="pt-BR"/>
        </w:rPr>
        <w:t xml:space="preserve"> funcionam como u</w:t>
      </w:r>
      <w:r>
        <w:rPr>
          <w:lang w:val="pt-BR"/>
        </w:rPr>
        <w:t>ma estratégia de coesão narrativa e de engajamento do público, consolidando o “Mundo Disney” como um ecossistema integrado de narrativas.</w:t>
      </w:r>
    </w:p>
    <w:p w14:paraId="58B10678" w14:textId="2931457C" w:rsidR="009303D9" w:rsidRPr="00FB3806" w:rsidRDefault="00FB3806" w:rsidP="00972203">
      <w:pPr>
        <w:pStyle w:val="Keywords"/>
        <w:rPr>
          <w:lang w:val="pt-BR"/>
        </w:rPr>
      </w:pPr>
      <w:r w:rsidRPr="00FB3806">
        <w:rPr>
          <w:lang w:val="pt-BR"/>
        </w:rPr>
        <w:t xml:space="preserve">Palavras-chave – Disney, </w:t>
      </w:r>
      <w:proofErr w:type="spellStart"/>
      <w:r w:rsidRPr="00FB3806">
        <w:rPr>
          <w:lang w:val="pt-BR"/>
        </w:rPr>
        <w:t>easter</w:t>
      </w:r>
      <w:proofErr w:type="spellEnd"/>
      <w:r w:rsidRPr="00FB3806">
        <w:rPr>
          <w:lang w:val="pt-BR"/>
        </w:rPr>
        <w:t xml:space="preserve"> </w:t>
      </w:r>
      <w:proofErr w:type="spellStart"/>
      <w:r w:rsidRPr="00FB3806">
        <w:rPr>
          <w:lang w:val="pt-BR"/>
        </w:rPr>
        <w:t>e</w:t>
      </w:r>
      <w:r>
        <w:rPr>
          <w:lang w:val="pt-BR"/>
        </w:rPr>
        <w:t>ggs</w:t>
      </w:r>
      <w:proofErr w:type="spellEnd"/>
      <w:r>
        <w:rPr>
          <w:lang w:val="pt-BR"/>
        </w:rPr>
        <w:t>, redes complexas, grafos, narrativa compartilhada.</w:t>
      </w:r>
    </w:p>
    <w:p w14:paraId="2D1E9EC7" w14:textId="77777777" w:rsidR="00DD0DB0" w:rsidRDefault="00DD0DB0" w:rsidP="00DD0DB0">
      <w:pPr>
        <w:pStyle w:val="Ttulo1"/>
      </w:pPr>
      <w:r w:rsidRPr="00DD0DB0">
        <w:rPr>
          <w:lang w:val="pt-BR"/>
        </w:rPr>
        <w:t>IN</w:t>
      </w:r>
      <w:r>
        <w:t>TRODUÇÃO</w:t>
      </w:r>
    </w:p>
    <w:p w14:paraId="667E69FD" w14:textId="77777777" w:rsidR="00C147BE" w:rsidRDefault="00DD0DB0" w:rsidP="00DD0DB0">
      <w:pPr>
        <w:pStyle w:val="NormalWeb"/>
        <w:spacing w:after="6pt" w:afterAutospacing="0" w:line="11.40pt" w:lineRule="auto"/>
        <w:ind w:firstLine="14.45pt"/>
        <w:jc w:val="both"/>
        <w:rPr>
          <w:sz w:val="20"/>
          <w:szCs w:val="20"/>
        </w:rPr>
      </w:pPr>
      <w:r w:rsidRPr="00DD0DB0">
        <w:rPr>
          <w:sz w:val="20"/>
          <w:szCs w:val="20"/>
        </w:rPr>
        <w:t xml:space="preserve">A Disney, desde o lançamento de </w:t>
      </w:r>
      <w:r w:rsidRPr="00DD0DB0">
        <w:rPr>
          <w:rStyle w:val="nfase"/>
          <w:sz w:val="20"/>
          <w:szCs w:val="20"/>
        </w:rPr>
        <w:t>Branca de Neve e os Sete Anões</w:t>
      </w:r>
      <w:r w:rsidRPr="00DD0DB0">
        <w:rPr>
          <w:sz w:val="20"/>
          <w:szCs w:val="20"/>
        </w:rPr>
        <w:t xml:space="preserve"> em 1937, consolidou-se como uma das maiores produtoras de conteúdo audiovisual do mundo. Ao longo de quase um século de produções, o estúdio desenvolveu não apenas uma estética e narrativa reconhecíveis, mas também uma estratégia simbólica de </w:t>
      </w:r>
      <w:r w:rsidRPr="00DD0DB0">
        <w:rPr>
          <w:rStyle w:val="Forte"/>
          <w:b w:val="0"/>
          <w:bCs w:val="0"/>
          <w:sz w:val="20"/>
          <w:szCs w:val="20"/>
        </w:rPr>
        <w:t>interconexão entre filmes</w:t>
      </w:r>
      <w:r w:rsidRPr="00DD0DB0">
        <w:rPr>
          <w:sz w:val="20"/>
          <w:szCs w:val="20"/>
        </w:rPr>
        <w:t xml:space="preserve">, por meio de referências sutis e ocultas conhecidas como </w:t>
      </w:r>
      <w:proofErr w:type="spellStart"/>
      <w:r w:rsidRPr="00DD0DB0">
        <w:rPr>
          <w:rStyle w:val="nfase"/>
          <w:sz w:val="20"/>
          <w:szCs w:val="20"/>
        </w:rPr>
        <w:t>easter</w:t>
      </w:r>
      <w:proofErr w:type="spellEnd"/>
      <w:r w:rsidRPr="00DD0DB0">
        <w:rPr>
          <w:rStyle w:val="nfase"/>
          <w:sz w:val="20"/>
          <w:szCs w:val="20"/>
        </w:rPr>
        <w:t xml:space="preserve"> </w:t>
      </w:r>
      <w:proofErr w:type="spellStart"/>
      <w:r w:rsidRPr="00DD0DB0">
        <w:rPr>
          <w:rStyle w:val="nfase"/>
          <w:sz w:val="20"/>
          <w:szCs w:val="20"/>
        </w:rPr>
        <w:t>eggs</w:t>
      </w:r>
      <w:proofErr w:type="spellEnd"/>
      <w:r w:rsidRPr="00DD0DB0">
        <w:rPr>
          <w:sz w:val="20"/>
          <w:szCs w:val="20"/>
        </w:rPr>
        <w:t>. Esses elementos, que podem ser personagens, objetos, músicas ou falas de outras obras, despertam curiosidade e engajamento nos espectadores, funcionando como um elo entre diferentes produções e épocas.</w:t>
      </w:r>
    </w:p>
    <w:p w14:paraId="7A4A5C00" w14:textId="42DE5562" w:rsidR="00DD0DB0" w:rsidRPr="00DD0DB0" w:rsidRDefault="00DD0DB0" w:rsidP="00DD0DB0">
      <w:pPr>
        <w:pStyle w:val="NormalWeb"/>
        <w:spacing w:after="6pt" w:afterAutospacing="0" w:line="11.40pt" w:lineRule="auto"/>
        <w:ind w:firstLine="14.45pt"/>
        <w:jc w:val="both"/>
        <w:rPr>
          <w:sz w:val="20"/>
          <w:szCs w:val="20"/>
        </w:rPr>
      </w:pPr>
      <w:r w:rsidRPr="00DD0DB0">
        <w:rPr>
          <w:sz w:val="20"/>
          <w:szCs w:val="20"/>
        </w:rPr>
        <w:t xml:space="preserve">Na cultura midiática contemporânea, os </w:t>
      </w:r>
      <w:proofErr w:type="spellStart"/>
      <w:r w:rsidRPr="00DD0DB0">
        <w:rPr>
          <w:rStyle w:val="nfase"/>
          <w:sz w:val="20"/>
          <w:szCs w:val="20"/>
        </w:rPr>
        <w:t>easter</w:t>
      </w:r>
      <w:proofErr w:type="spellEnd"/>
      <w:r w:rsidRPr="00DD0DB0">
        <w:rPr>
          <w:rStyle w:val="nfase"/>
          <w:sz w:val="20"/>
          <w:szCs w:val="20"/>
        </w:rPr>
        <w:t xml:space="preserve"> </w:t>
      </w:r>
      <w:proofErr w:type="spellStart"/>
      <w:r w:rsidRPr="00DD0DB0">
        <w:rPr>
          <w:rStyle w:val="nfase"/>
          <w:sz w:val="20"/>
          <w:szCs w:val="20"/>
        </w:rPr>
        <w:t>eggs</w:t>
      </w:r>
      <w:proofErr w:type="spellEnd"/>
      <w:r w:rsidRPr="00DD0DB0">
        <w:rPr>
          <w:sz w:val="20"/>
          <w:szCs w:val="20"/>
        </w:rPr>
        <w:t xml:space="preserve"> tornaram-se parte essencial da </w:t>
      </w:r>
      <w:r w:rsidRPr="00DD0DB0">
        <w:rPr>
          <w:rStyle w:val="Forte"/>
          <w:b w:val="0"/>
          <w:bCs w:val="0"/>
          <w:sz w:val="20"/>
          <w:szCs w:val="20"/>
        </w:rPr>
        <w:t>experiência de fã</w:t>
      </w:r>
      <w:r w:rsidR="00202E2E">
        <w:rPr>
          <w:rStyle w:val="Forte"/>
          <w:b w:val="0"/>
          <w:bCs w:val="0"/>
          <w:sz w:val="20"/>
          <w:szCs w:val="20"/>
        </w:rPr>
        <w:t xml:space="preserve"> [1]</w:t>
      </w:r>
      <w:r w:rsidRPr="00DD0DB0">
        <w:rPr>
          <w:sz w:val="20"/>
          <w:szCs w:val="20"/>
        </w:rPr>
        <w:t>,</w:t>
      </w:r>
      <w:r w:rsidR="00202E2E">
        <w:rPr>
          <w:sz w:val="20"/>
          <w:szCs w:val="20"/>
        </w:rPr>
        <w:t>[2]</w:t>
      </w:r>
      <w:r w:rsidRPr="00DD0DB0">
        <w:rPr>
          <w:sz w:val="20"/>
          <w:szCs w:val="20"/>
        </w:rPr>
        <w:t xml:space="preserve"> reforçando a noção de um universo compartilhado e ampliando o valor simbólico das obras. No caso da Disney e da Pixar, essas referências aparecem de forma recorrente — seja em animações clássicas, em franquias recentes ou nas versões </w:t>
      </w:r>
      <w:proofErr w:type="spellStart"/>
      <w:r w:rsidRPr="00DD0DB0">
        <w:rPr>
          <w:rStyle w:val="nfase"/>
          <w:sz w:val="20"/>
          <w:szCs w:val="20"/>
        </w:rPr>
        <w:t>live</w:t>
      </w:r>
      <w:proofErr w:type="spellEnd"/>
      <w:r w:rsidRPr="00DD0DB0">
        <w:rPr>
          <w:rStyle w:val="nfase"/>
          <w:sz w:val="20"/>
          <w:szCs w:val="20"/>
        </w:rPr>
        <w:t xml:space="preserve"> </w:t>
      </w:r>
      <w:proofErr w:type="spellStart"/>
      <w:r w:rsidRPr="00DD0DB0">
        <w:rPr>
          <w:rStyle w:val="nfase"/>
          <w:sz w:val="20"/>
          <w:szCs w:val="20"/>
        </w:rPr>
        <w:t>action</w:t>
      </w:r>
      <w:proofErr w:type="spellEnd"/>
      <w:r w:rsidRPr="00DD0DB0">
        <w:rPr>
          <w:sz w:val="20"/>
          <w:szCs w:val="20"/>
        </w:rPr>
        <w:t xml:space="preserve">, evidenciando uma rede de conexões que ultrapassa o enredo de cada filme individual. A presença do número “A113”, do caminhão </w:t>
      </w:r>
      <w:r w:rsidRPr="00DD0DB0">
        <w:rPr>
          <w:rStyle w:val="nfase"/>
          <w:sz w:val="20"/>
          <w:szCs w:val="20"/>
        </w:rPr>
        <w:t>Pizza Planet</w:t>
      </w:r>
      <w:r w:rsidRPr="00DD0DB0">
        <w:rPr>
          <w:sz w:val="20"/>
          <w:szCs w:val="20"/>
        </w:rPr>
        <w:t xml:space="preserve"> ou da </w:t>
      </w:r>
      <w:r w:rsidRPr="00DD0DB0">
        <w:rPr>
          <w:rStyle w:val="nfase"/>
          <w:sz w:val="20"/>
          <w:szCs w:val="20"/>
        </w:rPr>
        <w:t>Luxo Ball</w:t>
      </w:r>
      <w:r w:rsidRPr="00DD0DB0">
        <w:rPr>
          <w:sz w:val="20"/>
          <w:szCs w:val="20"/>
        </w:rPr>
        <w:t xml:space="preserve"> são exemplos emblemáticos de símbolos que percorrem décadas de produções, conectando diferentes narrativas em um mesmo ecossistema criativo.</w:t>
      </w:r>
    </w:p>
    <w:p w14:paraId="11B871AD" w14:textId="77777777" w:rsidR="00DD0DB0" w:rsidRPr="00DD0DB0" w:rsidRDefault="00DD0DB0" w:rsidP="00DD0DB0">
      <w:pPr>
        <w:pStyle w:val="NormalWeb"/>
        <w:spacing w:after="6pt" w:afterAutospacing="0" w:line="11.40pt" w:lineRule="auto"/>
        <w:ind w:firstLine="14.45pt"/>
        <w:jc w:val="both"/>
        <w:rPr>
          <w:sz w:val="20"/>
          <w:szCs w:val="20"/>
        </w:rPr>
      </w:pPr>
      <w:r w:rsidRPr="00DD0DB0">
        <w:rPr>
          <w:sz w:val="20"/>
          <w:szCs w:val="20"/>
        </w:rPr>
        <w:t xml:space="preserve">Diante disso, este estudo propõe </w:t>
      </w:r>
      <w:r w:rsidRPr="00DD0DB0">
        <w:rPr>
          <w:rStyle w:val="Forte"/>
          <w:b w:val="0"/>
          <w:bCs w:val="0"/>
          <w:sz w:val="20"/>
          <w:szCs w:val="20"/>
        </w:rPr>
        <w:t>modelar e analisar os</w:t>
      </w:r>
      <w:r w:rsidRPr="00DD0DB0">
        <w:rPr>
          <w:rStyle w:val="Forte"/>
          <w:sz w:val="20"/>
          <w:szCs w:val="20"/>
        </w:rPr>
        <w:t xml:space="preserve"> </w:t>
      </w:r>
      <w:proofErr w:type="spellStart"/>
      <w:r w:rsidRPr="00DD0DB0">
        <w:rPr>
          <w:rStyle w:val="nfase"/>
          <w:sz w:val="20"/>
          <w:szCs w:val="20"/>
        </w:rPr>
        <w:t>easter</w:t>
      </w:r>
      <w:proofErr w:type="spellEnd"/>
      <w:r w:rsidRPr="00DD0DB0">
        <w:rPr>
          <w:rStyle w:val="nfase"/>
          <w:sz w:val="20"/>
          <w:szCs w:val="20"/>
        </w:rPr>
        <w:t xml:space="preserve"> </w:t>
      </w:r>
      <w:proofErr w:type="spellStart"/>
      <w:r w:rsidRPr="00DD0DB0">
        <w:rPr>
          <w:rStyle w:val="nfase"/>
          <w:sz w:val="20"/>
          <w:szCs w:val="20"/>
        </w:rPr>
        <w:t>eggs</w:t>
      </w:r>
      <w:proofErr w:type="spellEnd"/>
      <w:r w:rsidRPr="00DD0DB0">
        <w:rPr>
          <w:rStyle w:val="Forte"/>
          <w:sz w:val="20"/>
          <w:szCs w:val="20"/>
        </w:rPr>
        <w:t xml:space="preserve"> </w:t>
      </w:r>
      <w:r w:rsidRPr="00DD0DB0">
        <w:rPr>
          <w:rStyle w:val="Forte"/>
          <w:b w:val="0"/>
          <w:bCs w:val="0"/>
          <w:sz w:val="20"/>
          <w:szCs w:val="20"/>
        </w:rPr>
        <w:t>da Disney sob a perspectiva das redes complexas</w:t>
      </w:r>
      <w:r w:rsidRPr="00DD0DB0">
        <w:rPr>
          <w:sz w:val="20"/>
          <w:szCs w:val="20"/>
        </w:rPr>
        <w:t xml:space="preserve">, representando cada filme como um </w:t>
      </w:r>
      <w:r w:rsidRPr="00DD0DB0">
        <w:rPr>
          <w:rStyle w:val="Forte"/>
          <w:b w:val="0"/>
          <w:bCs w:val="0"/>
          <w:sz w:val="20"/>
          <w:szCs w:val="20"/>
        </w:rPr>
        <w:t>vértice</w:t>
      </w:r>
      <w:r w:rsidRPr="00DD0DB0">
        <w:rPr>
          <w:sz w:val="20"/>
          <w:szCs w:val="20"/>
        </w:rPr>
        <w:t xml:space="preserve"> e cada referência entre obras como uma </w:t>
      </w:r>
      <w:r w:rsidRPr="00DD0DB0">
        <w:rPr>
          <w:rStyle w:val="Forte"/>
          <w:b w:val="0"/>
          <w:bCs w:val="0"/>
          <w:sz w:val="20"/>
          <w:szCs w:val="20"/>
        </w:rPr>
        <w:t>aresta</w:t>
      </w:r>
      <w:r w:rsidRPr="00DD0DB0">
        <w:rPr>
          <w:sz w:val="20"/>
          <w:szCs w:val="20"/>
        </w:rPr>
        <w:t xml:space="preserve">. A partir dessa modelagem, </w:t>
      </w:r>
      <w:r w:rsidRPr="00DD0DB0">
        <w:rPr>
          <w:sz w:val="20"/>
          <w:szCs w:val="20"/>
        </w:rPr>
        <w:t xml:space="preserve">busca-se compreender como essas conexões se estruturam e quais filmes atuam como pontos centrais na rede. Essa abordagem permite identificar </w:t>
      </w:r>
      <w:r w:rsidRPr="00DD0DB0">
        <w:rPr>
          <w:rStyle w:val="Forte"/>
          <w:b w:val="0"/>
          <w:bCs w:val="0"/>
          <w:sz w:val="20"/>
          <w:szCs w:val="20"/>
        </w:rPr>
        <w:t>padrões de interconexão, comunidades e centralidades</w:t>
      </w:r>
      <w:r w:rsidRPr="00DD0DB0">
        <w:rPr>
          <w:b/>
          <w:bCs/>
          <w:sz w:val="20"/>
          <w:szCs w:val="20"/>
        </w:rPr>
        <w:t>,</w:t>
      </w:r>
      <w:r w:rsidRPr="00DD0DB0">
        <w:rPr>
          <w:sz w:val="20"/>
          <w:szCs w:val="20"/>
        </w:rPr>
        <w:t xml:space="preserve"> fornecendo uma leitura visual e quantitativa da intertextualidade presente nas produções da Disney.</w:t>
      </w:r>
    </w:p>
    <w:p w14:paraId="6BEDAF1F" w14:textId="77777777" w:rsidR="00DD0DB0" w:rsidRPr="00DD0DB0" w:rsidRDefault="00DD0DB0" w:rsidP="00DD0DB0">
      <w:pPr>
        <w:pStyle w:val="NormalWeb"/>
        <w:spacing w:after="6pt" w:afterAutospacing="0" w:line="11.40pt" w:lineRule="auto"/>
        <w:ind w:firstLine="14.45pt"/>
        <w:jc w:val="both"/>
        <w:rPr>
          <w:sz w:val="20"/>
          <w:szCs w:val="20"/>
        </w:rPr>
      </w:pPr>
      <w:r w:rsidRPr="00DD0DB0">
        <w:rPr>
          <w:sz w:val="20"/>
          <w:szCs w:val="20"/>
        </w:rPr>
        <w:t xml:space="preserve">Assim, o objetivo deste trabalho é investigar de que maneira os </w:t>
      </w:r>
      <w:proofErr w:type="spellStart"/>
      <w:r w:rsidRPr="00DD0DB0">
        <w:rPr>
          <w:rStyle w:val="nfase"/>
          <w:sz w:val="20"/>
          <w:szCs w:val="20"/>
        </w:rPr>
        <w:t>easter</w:t>
      </w:r>
      <w:proofErr w:type="spellEnd"/>
      <w:r w:rsidRPr="00DD0DB0">
        <w:rPr>
          <w:rStyle w:val="nfase"/>
          <w:sz w:val="20"/>
          <w:szCs w:val="20"/>
        </w:rPr>
        <w:t xml:space="preserve"> </w:t>
      </w:r>
      <w:proofErr w:type="spellStart"/>
      <w:r w:rsidRPr="00DD0DB0">
        <w:rPr>
          <w:rStyle w:val="nfase"/>
          <w:sz w:val="20"/>
          <w:szCs w:val="20"/>
        </w:rPr>
        <w:t>eggs</w:t>
      </w:r>
      <w:proofErr w:type="spellEnd"/>
      <w:r w:rsidRPr="00DD0DB0">
        <w:rPr>
          <w:sz w:val="20"/>
          <w:szCs w:val="20"/>
        </w:rPr>
        <w:t xml:space="preserve"> contribuem para a </w:t>
      </w:r>
      <w:r w:rsidRPr="00DD0DB0">
        <w:rPr>
          <w:rStyle w:val="Forte"/>
          <w:b w:val="0"/>
          <w:bCs w:val="0"/>
          <w:sz w:val="20"/>
          <w:szCs w:val="20"/>
        </w:rPr>
        <w:t>formação de uma rede narrativa compartilhada</w:t>
      </w:r>
      <w:r w:rsidRPr="00DD0DB0">
        <w:rPr>
          <w:sz w:val="20"/>
          <w:szCs w:val="20"/>
        </w:rPr>
        <w:t xml:space="preserve">, revelando o papel desses elementos na construção da </w:t>
      </w:r>
      <w:r w:rsidRPr="00DD0DB0">
        <w:rPr>
          <w:rStyle w:val="Forte"/>
          <w:b w:val="0"/>
          <w:bCs w:val="0"/>
          <w:sz w:val="20"/>
          <w:szCs w:val="20"/>
        </w:rPr>
        <w:t>identidade e da continuidade do universo Disney</w:t>
      </w:r>
      <w:r w:rsidRPr="00DD0DB0">
        <w:rPr>
          <w:sz w:val="20"/>
          <w:szCs w:val="20"/>
        </w:rPr>
        <w:t>. Ao analisar métricas como grau médio, densidade, modularidade e centralidade de intermediação, pretende-se compreender como a empresa utiliza referências internas não apenas como um recurso criativo, mas também como uma estratégia de coesão simbólica e de fortalecimento de marca.</w:t>
      </w:r>
    </w:p>
    <w:p w14:paraId="179EA777" w14:textId="19AB79CB" w:rsidR="009303D9" w:rsidRPr="006B6B66" w:rsidRDefault="004C583B" w:rsidP="006B6B66">
      <w:pPr>
        <w:pStyle w:val="Ttulo1"/>
      </w:pPr>
      <w:r>
        <w:t>METODOLOGIA</w:t>
      </w:r>
    </w:p>
    <w:p w14:paraId="3D896A28" w14:textId="77777777" w:rsidR="00D352A3" w:rsidRDefault="00C147BE" w:rsidP="00256D0C">
      <w:pPr>
        <w:pStyle w:val="Ttulo2"/>
        <w:spacing w:after="6pt" w:line="11.40pt" w:lineRule="auto"/>
        <w:ind w:firstLine="14.45pt"/>
        <w:jc w:val="both"/>
      </w:pPr>
      <w:r>
        <w:t>Levantamento dos dados</w:t>
      </w:r>
    </w:p>
    <w:p w14:paraId="42206E0C" w14:textId="18DEFC80" w:rsidR="00D352A3" w:rsidRPr="00D352A3" w:rsidRDefault="00D352A3" w:rsidP="00D352A3">
      <w:pPr>
        <w:pStyle w:val="Ttulo2"/>
        <w:numPr>
          <w:ilvl w:val="0"/>
          <w:numId w:val="0"/>
        </w:numPr>
        <w:spacing w:before="0pt" w:after="6pt" w:line="11.40pt" w:lineRule="auto"/>
        <w:ind w:firstLine="14.45pt"/>
        <w:jc w:val="both"/>
        <w:rPr>
          <w:i w:val="0"/>
          <w:iCs w:val="0"/>
        </w:rPr>
      </w:pPr>
      <w:r w:rsidRPr="00D352A3">
        <w:rPr>
          <w:i w:val="0"/>
          <w:iCs w:val="0"/>
          <w:lang w:val="pt-BR"/>
        </w:rPr>
        <w:t xml:space="preserve">A construção do </w:t>
      </w:r>
      <w:r w:rsidRPr="00D352A3">
        <w:rPr>
          <w:rStyle w:val="Forte"/>
          <w:b w:val="0"/>
          <w:bCs w:val="0"/>
          <w:i w:val="0"/>
          <w:iCs w:val="0"/>
          <w:lang w:val="pt-BR"/>
        </w:rPr>
        <w:t>conjunto de dados</w:t>
      </w:r>
      <w:r w:rsidRPr="00D352A3">
        <w:rPr>
          <w:i w:val="0"/>
          <w:iCs w:val="0"/>
          <w:lang w:val="pt-BR"/>
        </w:rPr>
        <w:t xml:space="preserve"> teve início a partir de uma pesquisa documental que mapeou </w:t>
      </w:r>
      <w:r w:rsidRPr="00D352A3">
        <w:rPr>
          <w:rStyle w:val="nfase"/>
          <w:i/>
          <w:iCs/>
          <w:lang w:val="pt-BR"/>
        </w:rPr>
        <w:t>easter eggs</w:t>
      </w:r>
      <w:r w:rsidRPr="00D352A3">
        <w:rPr>
          <w:i w:val="0"/>
          <w:iCs w:val="0"/>
          <w:lang w:val="pt-BR"/>
        </w:rPr>
        <w:t xml:space="preserve"> presentes em produções da Disney lançadas entre 1937 e 2023. </w:t>
      </w:r>
      <w:r w:rsidRPr="00D352A3">
        <w:rPr>
          <w:i w:val="0"/>
          <w:iCs w:val="0"/>
        </w:rPr>
        <w:t xml:space="preserve">O levantamento contemplou animações clássicas, longas da Pixar e filmes </w:t>
      </w:r>
      <w:r w:rsidRPr="00D352A3">
        <w:rPr>
          <w:rStyle w:val="nfase"/>
          <w:i/>
          <w:iCs/>
        </w:rPr>
        <w:t>live action</w:t>
      </w:r>
      <w:r w:rsidRPr="00D352A3">
        <w:rPr>
          <w:i w:val="0"/>
          <w:iCs w:val="0"/>
        </w:rPr>
        <w:t xml:space="preserve">, abrangendo referências visuais, narrativas e simbólicas que conectam diferentes obras do estúdio. As informações foram coletadas a partir de </w:t>
      </w:r>
      <w:r w:rsidRPr="00D352A3">
        <w:rPr>
          <w:rStyle w:val="Forte"/>
          <w:b w:val="0"/>
          <w:bCs w:val="0"/>
          <w:i w:val="0"/>
          <w:iCs w:val="0"/>
        </w:rPr>
        <w:t>bases públicas de fãs</w:t>
      </w:r>
      <w:r w:rsidRPr="00D352A3">
        <w:rPr>
          <w:i w:val="0"/>
          <w:iCs w:val="0"/>
        </w:rPr>
        <w:t>,</w:t>
      </w:r>
      <w:r w:rsidRPr="00D352A3">
        <w:rPr>
          <w:b/>
          <w:bCs/>
          <w:i w:val="0"/>
          <w:iCs w:val="0"/>
        </w:rPr>
        <w:t xml:space="preserve"> </w:t>
      </w:r>
      <w:r w:rsidRPr="00D352A3">
        <w:rPr>
          <w:i w:val="0"/>
          <w:iCs w:val="0"/>
        </w:rPr>
        <w:t xml:space="preserve">compilações oficiais e registros disponíveis em plataformas especializadas, resultando em uma </w:t>
      </w:r>
      <w:r w:rsidRPr="00D352A3">
        <w:rPr>
          <w:rStyle w:val="Forte"/>
          <w:b w:val="0"/>
          <w:bCs w:val="0"/>
          <w:i w:val="0"/>
          <w:iCs w:val="0"/>
        </w:rPr>
        <w:t>base de informações composta por mais de quarenta</w:t>
      </w:r>
      <w:r w:rsidRPr="00D352A3">
        <w:rPr>
          <w:rStyle w:val="Forte"/>
          <w:i w:val="0"/>
          <w:iCs w:val="0"/>
        </w:rPr>
        <w:t xml:space="preserve"> </w:t>
      </w:r>
      <w:r w:rsidRPr="00D352A3">
        <w:rPr>
          <w:rStyle w:val="Forte"/>
          <w:b w:val="0"/>
          <w:bCs w:val="0"/>
          <w:i w:val="0"/>
          <w:iCs w:val="0"/>
        </w:rPr>
        <w:t>filmes</w:t>
      </w:r>
      <w:r w:rsidRPr="00D352A3">
        <w:rPr>
          <w:i w:val="0"/>
          <w:iCs w:val="0"/>
        </w:rPr>
        <w:t xml:space="preserve"> e suas respectivas interligações.</w:t>
      </w:r>
    </w:p>
    <w:p w14:paraId="712A8AAA" w14:textId="12FBF6C2" w:rsidR="00D352A3" w:rsidRPr="00D352A3" w:rsidRDefault="00D352A3" w:rsidP="00D352A3">
      <w:pPr>
        <w:pStyle w:val="NormalWeb"/>
        <w:spacing w:after="6pt" w:afterAutospacing="0" w:line="11.40pt" w:lineRule="auto"/>
        <w:ind w:firstLine="14.45pt"/>
        <w:jc w:val="both"/>
        <w:rPr>
          <w:sz w:val="20"/>
          <w:szCs w:val="20"/>
        </w:rPr>
      </w:pPr>
      <w:r w:rsidRPr="00D352A3">
        <w:rPr>
          <w:sz w:val="20"/>
          <w:szCs w:val="20"/>
        </w:rPr>
        <w:t xml:space="preserve">Para a modelagem da rede, cada filme foi representado como um </w:t>
      </w:r>
      <w:r w:rsidRPr="00D352A3">
        <w:rPr>
          <w:rStyle w:val="Forte"/>
          <w:b w:val="0"/>
          <w:bCs w:val="0"/>
          <w:sz w:val="20"/>
          <w:szCs w:val="20"/>
        </w:rPr>
        <w:t>vértice (nó)</w:t>
      </w:r>
      <w:r w:rsidRPr="00D352A3">
        <w:rPr>
          <w:sz w:val="20"/>
          <w:szCs w:val="20"/>
        </w:rPr>
        <w:t xml:space="preserve">, enquanto cada </w:t>
      </w:r>
      <w:proofErr w:type="spellStart"/>
      <w:r w:rsidRPr="00D352A3">
        <w:rPr>
          <w:rStyle w:val="nfase"/>
          <w:sz w:val="20"/>
          <w:szCs w:val="20"/>
        </w:rPr>
        <w:t>easter</w:t>
      </w:r>
      <w:proofErr w:type="spellEnd"/>
      <w:r w:rsidRPr="00D352A3">
        <w:rPr>
          <w:rStyle w:val="nfase"/>
          <w:sz w:val="20"/>
          <w:szCs w:val="20"/>
        </w:rPr>
        <w:t xml:space="preserve"> </w:t>
      </w:r>
      <w:proofErr w:type="spellStart"/>
      <w:r w:rsidRPr="00D352A3">
        <w:rPr>
          <w:rStyle w:val="nfase"/>
          <w:sz w:val="20"/>
          <w:szCs w:val="20"/>
        </w:rPr>
        <w:t>egg</w:t>
      </w:r>
      <w:proofErr w:type="spellEnd"/>
      <w:r w:rsidRPr="00D352A3">
        <w:rPr>
          <w:sz w:val="20"/>
          <w:szCs w:val="20"/>
        </w:rPr>
        <w:t xml:space="preserve"> identificado entre duas produções foi registrado como uma </w:t>
      </w:r>
      <w:r w:rsidRPr="00D352A3">
        <w:rPr>
          <w:rStyle w:val="Forte"/>
          <w:b w:val="0"/>
          <w:bCs w:val="0"/>
          <w:sz w:val="20"/>
          <w:szCs w:val="20"/>
        </w:rPr>
        <w:t>aresta</w:t>
      </w:r>
      <w:r w:rsidRPr="00D352A3">
        <w:rPr>
          <w:sz w:val="20"/>
          <w:szCs w:val="20"/>
        </w:rPr>
        <w:t>. Assim, quando um elemento</w:t>
      </w:r>
      <w:r>
        <w:rPr>
          <w:sz w:val="20"/>
          <w:szCs w:val="20"/>
        </w:rPr>
        <w:t>,</w:t>
      </w:r>
      <w:r w:rsidRPr="00D352A3">
        <w:rPr>
          <w:sz w:val="20"/>
          <w:szCs w:val="20"/>
        </w:rPr>
        <w:t xml:space="preserve"> como personagem, objeto, trilha ou cena</w:t>
      </w:r>
      <w:r>
        <w:rPr>
          <w:sz w:val="20"/>
          <w:szCs w:val="20"/>
        </w:rPr>
        <w:t>,</w:t>
      </w:r>
      <w:r w:rsidRPr="00D352A3">
        <w:rPr>
          <w:sz w:val="20"/>
          <w:szCs w:val="20"/>
        </w:rPr>
        <w:t xml:space="preserve"> aparece em outra obra, estabelece-se uma conexão entre os dois vértices correspondentes. Foram incluídas apenas referências diretas e verificáveis, a fim de assegurar a </w:t>
      </w:r>
      <w:r w:rsidRPr="00D352A3">
        <w:rPr>
          <w:rStyle w:val="Forte"/>
          <w:b w:val="0"/>
          <w:bCs w:val="0"/>
          <w:sz w:val="20"/>
          <w:szCs w:val="20"/>
        </w:rPr>
        <w:t>coerência e a precisão</w:t>
      </w:r>
      <w:r w:rsidRPr="00D352A3">
        <w:rPr>
          <w:sz w:val="20"/>
          <w:szCs w:val="20"/>
        </w:rPr>
        <w:t xml:space="preserve"> na estruturação da rede analisada.</w:t>
      </w:r>
    </w:p>
    <w:p w14:paraId="66739D0E" w14:textId="77B833A7" w:rsidR="009303D9" w:rsidRPr="005B520E" w:rsidRDefault="00C147BE" w:rsidP="00ED0149">
      <w:pPr>
        <w:pStyle w:val="Ttulo2"/>
      </w:pPr>
      <w:r>
        <w:t>Construção do grafo</w:t>
      </w:r>
    </w:p>
    <w:p w14:paraId="7C5D0763" w14:textId="32BD3765" w:rsidR="009303D9" w:rsidRDefault="00DE054F" w:rsidP="00E7596C">
      <w:pPr>
        <w:pStyle w:val="Corpodetexto"/>
        <w:rPr>
          <w:lang w:val="pt-BR"/>
        </w:rPr>
      </w:pPr>
      <w:r>
        <w:rPr>
          <w:lang w:val="pt-BR"/>
        </w:rPr>
        <w:t xml:space="preserve">Com o levantamento concluído, as relações entre os filmes foram organizadas em uma matriz de adjacência, na qual as linhas e colunas correspondem aos títulos, e o valor 1 indica a presença de um </w:t>
      </w:r>
      <w:proofErr w:type="spellStart"/>
      <w:r w:rsidRPr="00DE054F">
        <w:rPr>
          <w:i/>
          <w:iCs/>
          <w:lang w:val="pt-BR"/>
        </w:rPr>
        <w:t>easter</w:t>
      </w:r>
      <w:proofErr w:type="spellEnd"/>
      <w:r w:rsidRPr="00DE054F">
        <w:rPr>
          <w:i/>
          <w:iCs/>
          <w:lang w:val="pt-BR"/>
        </w:rPr>
        <w:t xml:space="preserve"> </w:t>
      </w:r>
      <w:proofErr w:type="spellStart"/>
      <w:r w:rsidRPr="00DE054F">
        <w:rPr>
          <w:i/>
          <w:iCs/>
          <w:lang w:val="pt-BR"/>
        </w:rPr>
        <w:t>egg</w:t>
      </w:r>
      <w:proofErr w:type="spellEnd"/>
      <w:r>
        <w:rPr>
          <w:lang w:val="pt-BR"/>
        </w:rPr>
        <w:t xml:space="preserve"> conectando as duas produções.</w:t>
      </w:r>
    </w:p>
    <w:p w14:paraId="17F150FC" w14:textId="77777777" w:rsidR="009303D9" w:rsidRDefault="009303D9" w:rsidP="006B6B66">
      <w:pPr>
        <w:pStyle w:val="Ttulo1"/>
      </w:pPr>
      <w:r>
        <w:lastRenderedPageBreak/>
        <w:t xml:space="preserve">Prepare Your Paper </w:t>
      </w:r>
      <w:r w:rsidRPr="005B520E">
        <w:t>Before</w:t>
      </w:r>
      <w:r>
        <w:t xml:space="preserve"> Styling</w:t>
      </w:r>
    </w:p>
    <w:p w14:paraId="1FBC9C4E" w14:textId="77777777" w:rsidR="00D7522C" w:rsidRPr="00D7522C" w:rsidRDefault="009303D9" w:rsidP="00E7596C">
      <w:pPr>
        <w:pStyle w:val="Corpodetexto"/>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Corpodetexto"/>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Ttulo2"/>
      </w:pPr>
      <w:r w:rsidRPr="00ED0149">
        <w:t>Abbreviations</w:t>
      </w:r>
      <w:r>
        <w:t xml:space="preserve"> and Acronyms</w:t>
      </w:r>
    </w:p>
    <w:p w14:paraId="78F3884D" w14:textId="77777777" w:rsidR="009303D9" w:rsidRPr="005B520E" w:rsidRDefault="009303D9" w:rsidP="00E7596C">
      <w:pPr>
        <w:pStyle w:val="Corpodetexto"/>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xml:space="preserve">, </w:t>
      </w:r>
      <w:proofErr w:type="spellStart"/>
      <w:r w:rsidRPr="005B520E">
        <w:t>dc</w:t>
      </w:r>
      <w:proofErr w:type="spellEnd"/>
      <w:r w:rsidRPr="005B520E">
        <w:t xml:space="preserve">, </w:t>
      </w:r>
      <w:proofErr w:type="spellStart"/>
      <w:r w:rsidRPr="005B520E">
        <w:t>and</w:t>
      </w:r>
      <w:proofErr w:type="spellEnd"/>
      <w:r w:rsidRPr="005B520E">
        <w:t xml:space="preserve"> </w:t>
      </w:r>
      <w:proofErr w:type="spellStart"/>
      <w:r w:rsidRPr="005B520E">
        <w:t>rms</w:t>
      </w:r>
      <w:proofErr w:type="spellEnd"/>
      <w:r w:rsidRPr="005B520E">
        <w:t xml:space="preserve"> do not have to be defined. Do not use abbreviations in the title or heads unless they are unavoidable.</w:t>
      </w:r>
    </w:p>
    <w:p w14:paraId="31C0E164" w14:textId="77777777" w:rsidR="009303D9" w:rsidRDefault="009303D9" w:rsidP="00ED0149">
      <w:pPr>
        <w:pStyle w:val="Ttulo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w:t>
      </w:r>
      <w:proofErr w:type="spellStart"/>
      <w:r w:rsidRPr="005B520E">
        <w:t>magnetic</w:t>
      </w:r>
      <w:proofErr w:type="spellEnd"/>
      <w:r w:rsidRPr="005B520E">
        <w:t xml:space="preserve"> </w:t>
      </w:r>
      <w:proofErr w:type="spellStart"/>
      <w:r w:rsidRPr="005B520E">
        <w:t>field</w:t>
      </w:r>
      <w:proofErr w:type="spellEnd"/>
      <w:r w:rsidRPr="005B520E">
        <w:t xml:space="preserve">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 xml:space="preserve">Do not mix complete spellings and abbreviations of </w:t>
      </w:r>
      <w:proofErr w:type="spellStart"/>
      <w:r w:rsidRPr="005B520E">
        <w:t>units</w:t>
      </w:r>
      <w:proofErr w:type="spellEnd"/>
      <w:r w:rsidRPr="005B520E">
        <w:t>: “</w:t>
      </w:r>
      <w:proofErr w:type="spellStart"/>
      <w:r w:rsidRPr="005B520E">
        <w:t>Wb</w:t>
      </w:r>
      <w:proofErr w:type="spellEnd"/>
      <w:r w:rsidRPr="005B520E">
        <w:t xml:space="preserve">/m2” </w:t>
      </w:r>
      <w:proofErr w:type="spellStart"/>
      <w:r w:rsidRPr="005B520E">
        <w:t>or</w:t>
      </w:r>
      <w:proofErr w:type="spellEnd"/>
      <w:r w:rsidRPr="005B520E">
        <w:t xml:space="preserve"> “webers per </w:t>
      </w:r>
      <w:proofErr w:type="spellStart"/>
      <w:r w:rsidRPr="005B520E">
        <w:t>square</w:t>
      </w:r>
      <w:proofErr w:type="spellEnd"/>
      <w:r w:rsidRPr="005B520E">
        <w:t xml:space="preserve"> meter”, </w:t>
      </w:r>
      <w:proofErr w:type="spellStart"/>
      <w:r w:rsidRPr="005B520E">
        <w:t>not</w:t>
      </w:r>
      <w:proofErr w:type="spellEnd"/>
      <w:r w:rsidRPr="005B520E">
        <w:t xml:space="preserve"> “webers/m2”.  Spell out units when they appear in text: “. . . a </w:t>
      </w:r>
      <w:proofErr w:type="spellStart"/>
      <w:r w:rsidRPr="005B520E">
        <w:t>few</w:t>
      </w:r>
      <w:proofErr w:type="spellEnd"/>
      <w:r w:rsidRPr="005B520E">
        <w:t xml:space="preserve"> </w:t>
      </w:r>
      <w:proofErr w:type="spellStart"/>
      <w:r w:rsidRPr="005B520E">
        <w:t>henries</w:t>
      </w:r>
      <w:proofErr w:type="spellEnd"/>
      <w:r w:rsidRPr="005B520E">
        <w:t xml:space="preserve">”, </w:t>
      </w:r>
      <w:proofErr w:type="spellStart"/>
      <w:r w:rsidRPr="005B520E">
        <w:t>not</w:t>
      </w:r>
      <w:proofErr w:type="spellEnd"/>
      <w:r w:rsidRPr="005B520E">
        <w:t xml:space="preserve">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Ttulo2"/>
      </w:pPr>
      <w:r w:rsidRPr="005B520E">
        <w:t>Equations</w:t>
      </w:r>
    </w:p>
    <w:p w14:paraId="15A9AFAF" w14:textId="77777777" w:rsidR="009303D9" w:rsidRPr="005B520E" w:rsidRDefault="009303D9" w:rsidP="00DD0DB0">
      <w:pPr>
        <w:pStyle w:val="Corpodetexto"/>
        <w:ind w:firstLine="14.45p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DD0DB0">
      <w:pPr>
        <w:pStyle w:val="Corpodetexto"/>
        <w:ind w:firstLine="14.45p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Corpodetexto"/>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Ttulo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Corpodetexto"/>
      </w:pPr>
      <w:r w:rsidRPr="005B520E">
        <w:t>An excellent style manual for science writers is [7].</w:t>
      </w:r>
    </w:p>
    <w:p w14:paraId="5D2DD83B" w14:textId="77777777" w:rsidR="009303D9" w:rsidRDefault="009303D9" w:rsidP="006B6B66">
      <w:pPr>
        <w:pStyle w:val="Ttulo1"/>
      </w:pPr>
      <w:r>
        <w:t xml:space="preserve">Using the </w:t>
      </w:r>
      <w:r w:rsidRPr="005B520E">
        <w:t>Template</w:t>
      </w:r>
    </w:p>
    <w:p w14:paraId="42CD3244" w14:textId="77777777" w:rsidR="009303D9" w:rsidRPr="005B520E" w:rsidRDefault="009303D9" w:rsidP="00E7596C">
      <w:pPr>
        <w:pStyle w:val="Corpodetexto"/>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Ttulo2"/>
      </w:pPr>
      <w:r w:rsidRPr="005B520E">
        <w:t>Authors</w:t>
      </w:r>
      <w:r>
        <w:t xml:space="preserve"> and Affiliations</w:t>
      </w:r>
    </w:p>
    <w:p w14:paraId="1A9E45B8" w14:textId="77777777" w:rsidR="009303D9" w:rsidRPr="005B520E" w:rsidRDefault="009303D9" w:rsidP="00E7596C">
      <w:pPr>
        <w:pStyle w:val="Corpodetexto"/>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Ttulo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Ttulo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Ttulo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Ttulo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Ttulo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Ttulo2"/>
      </w:pPr>
      <w:r w:rsidRPr="005B520E">
        <w:t>Identify</w:t>
      </w:r>
      <w:r>
        <w:t xml:space="preserve"> the Headings</w:t>
      </w:r>
    </w:p>
    <w:p w14:paraId="6C986348" w14:textId="77777777" w:rsidR="009303D9" w:rsidRPr="005B520E" w:rsidRDefault="009303D9" w:rsidP="00E7596C">
      <w:pPr>
        <w:pStyle w:val="Corpodetexto"/>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Corpodetexto"/>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Corpodetexto"/>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Ttulo2"/>
      </w:pPr>
      <w:r>
        <w:t>Figures and Tables</w:t>
      </w:r>
    </w:p>
    <w:p w14:paraId="39AD5FF2" w14:textId="77777777" w:rsidR="009303D9" w:rsidRDefault="0004781E" w:rsidP="00FA4C32">
      <w:pPr>
        <w:pStyle w:val="Ttulo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Corpodetexto"/>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Ttulo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Corpodetexto"/>
      </w:pPr>
      <w:r w:rsidRPr="005B520E">
        <w:t>The preferred spelling of the word “acknowledgment” in America is without an “e” after the “g</w:t>
      </w:r>
      <w:r w:rsidR="00AE3409">
        <w:t xml:space="preserve">”. Avoid </w:t>
      </w:r>
      <w:proofErr w:type="spellStart"/>
      <w:r w:rsidR="00AE3409">
        <w:t>the</w:t>
      </w:r>
      <w:proofErr w:type="spellEnd"/>
      <w:r w:rsidR="00AE3409">
        <w:t xml:space="preserve"> </w:t>
      </w:r>
      <w:proofErr w:type="spellStart"/>
      <w:r w:rsidR="00AE3409">
        <w:t>stilted</w:t>
      </w:r>
      <w:proofErr w:type="spellEnd"/>
      <w:r w:rsidR="00AE3409">
        <w:t xml:space="preserve"> </w:t>
      </w:r>
      <w:proofErr w:type="spellStart"/>
      <w:r w:rsidR="00AE3409">
        <w:t>expression</w:t>
      </w:r>
      <w:proofErr w:type="spellEnd"/>
      <w:r w:rsidR="00AE3409">
        <w:t xml:space="preserve"> “</w:t>
      </w:r>
      <w:r w:rsidR="00AE3409">
        <w:rPr>
          <w:lang w:val="en-US"/>
        </w:rPr>
        <w:t>o</w:t>
      </w:r>
      <w:r w:rsidRPr="005B520E">
        <w:t xml:space="preserve">ne </w:t>
      </w:r>
      <w:proofErr w:type="spellStart"/>
      <w:r w:rsidRPr="005B520E">
        <w:t>of</w:t>
      </w:r>
      <w:proofErr w:type="spellEnd"/>
      <w:r w:rsidRPr="005B520E">
        <w:t xml:space="preserve"> </w:t>
      </w:r>
      <w:proofErr w:type="spellStart"/>
      <w:r w:rsidRPr="005B520E">
        <w:t>us</w:t>
      </w:r>
      <w:proofErr w:type="spellEnd"/>
      <w:r w:rsidRPr="005B520E">
        <w:t xml:space="preserve">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Ttulo5"/>
      </w:pPr>
      <w:r w:rsidRPr="005B520E">
        <w:t>References</w:t>
      </w:r>
    </w:p>
    <w:p w14:paraId="6AC4D96F" w14:textId="77777777" w:rsidR="009303D9" w:rsidRPr="005B520E" w:rsidRDefault="009303D9" w:rsidP="00E7596C">
      <w:pPr>
        <w:pStyle w:val="Corpodetexto"/>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Corpodetexto"/>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Corpodetexto"/>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Corpodetexto"/>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Corpodetexto"/>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Corpodetexto"/>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03CF531B" w14:textId="77777777" w:rsidR="00917F5F" w:rsidRDefault="00917F5F" w:rsidP="001A3B3D">
      <w:r>
        <w:separator/>
      </w:r>
    </w:p>
  </w:endnote>
  <w:endnote w:type="continuationSeparator" w:id="0">
    <w:p w14:paraId="658B27BA" w14:textId="77777777" w:rsidR="00917F5F" w:rsidRDefault="00917F5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Rodap"/>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30A6F3B1" w14:textId="77777777" w:rsidR="00917F5F" w:rsidRDefault="00917F5F" w:rsidP="001A3B3D">
      <w:r>
        <w:separator/>
      </w:r>
    </w:p>
  </w:footnote>
  <w:footnote w:type="continuationSeparator" w:id="0">
    <w:p w14:paraId="0FA93DF2" w14:textId="77777777" w:rsidR="00917F5F" w:rsidRDefault="00917F5F"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Ttulo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8E824F9"/>
    <w:multiLevelType w:val="hybridMultilevel"/>
    <w:tmpl w:val="FCE8FC0C"/>
    <w:lvl w:ilvl="0" w:tplc="5B1C99A0">
      <w:start w:val="1"/>
      <w:numFmt w:val="upperRoman"/>
      <w:lvlText w:val="%1."/>
      <w:lvlJc w:val="start"/>
      <w:pPr>
        <w:ind w:start="50.45pt" w:hanging="36pt"/>
      </w:pPr>
      <w:rPr>
        <w:rFonts w:hint="default"/>
      </w:rPr>
    </w:lvl>
    <w:lvl w:ilvl="1" w:tplc="04160019" w:tentative="1">
      <w:start w:val="1"/>
      <w:numFmt w:val="lowerLetter"/>
      <w:lvlText w:val="%2."/>
      <w:lvlJc w:val="start"/>
      <w:pPr>
        <w:ind w:start="68.45pt" w:hanging="18pt"/>
      </w:pPr>
    </w:lvl>
    <w:lvl w:ilvl="2" w:tplc="0416001B" w:tentative="1">
      <w:start w:val="1"/>
      <w:numFmt w:val="lowerRoman"/>
      <w:lvlText w:val="%3."/>
      <w:lvlJc w:val="end"/>
      <w:pPr>
        <w:ind w:start="104.45pt" w:hanging="9pt"/>
      </w:pPr>
    </w:lvl>
    <w:lvl w:ilvl="3" w:tplc="0416000F" w:tentative="1">
      <w:start w:val="1"/>
      <w:numFmt w:val="decimal"/>
      <w:lvlText w:val="%4."/>
      <w:lvlJc w:val="start"/>
      <w:pPr>
        <w:ind w:start="140.45pt" w:hanging="18pt"/>
      </w:pPr>
    </w:lvl>
    <w:lvl w:ilvl="4" w:tplc="04160019" w:tentative="1">
      <w:start w:val="1"/>
      <w:numFmt w:val="lowerLetter"/>
      <w:lvlText w:val="%5."/>
      <w:lvlJc w:val="start"/>
      <w:pPr>
        <w:ind w:start="176.45pt" w:hanging="18pt"/>
      </w:pPr>
    </w:lvl>
    <w:lvl w:ilvl="5" w:tplc="0416001B" w:tentative="1">
      <w:start w:val="1"/>
      <w:numFmt w:val="lowerRoman"/>
      <w:lvlText w:val="%6."/>
      <w:lvlJc w:val="end"/>
      <w:pPr>
        <w:ind w:start="212.45pt" w:hanging="9pt"/>
      </w:pPr>
    </w:lvl>
    <w:lvl w:ilvl="6" w:tplc="0416000F" w:tentative="1">
      <w:start w:val="1"/>
      <w:numFmt w:val="decimal"/>
      <w:lvlText w:val="%7."/>
      <w:lvlJc w:val="start"/>
      <w:pPr>
        <w:ind w:start="248.45pt" w:hanging="18pt"/>
      </w:pPr>
    </w:lvl>
    <w:lvl w:ilvl="7" w:tplc="04160019" w:tentative="1">
      <w:start w:val="1"/>
      <w:numFmt w:val="lowerLetter"/>
      <w:lvlText w:val="%8."/>
      <w:lvlJc w:val="start"/>
      <w:pPr>
        <w:ind w:start="284.45pt" w:hanging="18pt"/>
      </w:pPr>
    </w:lvl>
    <w:lvl w:ilvl="8" w:tplc="0416001B" w:tentative="1">
      <w:start w:val="1"/>
      <w:numFmt w:val="lowerRoman"/>
      <w:lvlText w:val="%9."/>
      <w:lvlJc w:val="end"/>
      <w:pPr>
        <w:ind w:start="320.45pt" w:hanging="9pt"/>
      </w:p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20"/>
  </w:num>
  <w:num w:numId="3">
    <w:abstractNumId w:val="13"/>
  </w:num>
  <w:num w:numId="4">
    <w:abstractNumId w:val="16"/>
  </w:num>
  <w:num w:numId="5">
    <w:abstractNumId w:val="16"/>
  </w:num>
  <w:num w:numId="6">
    <w:abstractNumId w:val="16"/>
  </w:num>
  <w:num w:numId="7">
    <w:abstractNumId w:val="16"/>
  </w:num>
  <w:num w:numId="8">
    <w:abstractNumId w:val="19"/>
  </w:num>
  <w:num w:numId="9">
    <w:abstractNumId w:val="21"/>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8"/>
  </w:num>
  <w:num w:numId="25">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hyphenationZone w:val="21.25pt"/>
  <w:doNotHyphenateCaps/>
  <w:characterSpacingControl w:val="doNotCompress"/>
  <w:savePreviewPicture/>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D6713"/>
    <w:rsid w:val="001A2EFD"/>
    <w:rsid w:val="001A3B3D"/>
    <w:rsid w:val="001B67DC"/>
    <w:rsid w:val="00202E2E"/>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C583B"/>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17F5F"/>
    <w:rsid w:val="009303D9"/>
    <w:rsid w:val="00933C64"/>
    <w:rsid w:val="00972203"/>
    <w:rsid w:val="009F1D79"/>
    <w:rsid w:val="00A059B3"/>
    <w:rsid w:val="00A66ED7"/>
    <w:rsid w:val="00AE3409"/>
    <w:rsid w:val="00B11A60"/>
    <w:rsid w:val="00B22613"/>
    <w:rsid w:val="00B44A76"/>
    <w:rsid w:val="00B768D1"/>
    <w:rsid w:val="00BA1025"/>
    <w:rsid w:val="00BC3420"/>
    <w:rsid w:val="00BD670B"/>
    <w:rsid w:val="00BE7D3C"/>
    <w:rsid w:val="00BF5FF6"/>
    <w:rsid w:val="00C0207F"/>
    <w:rsid w:val="00C147BE"/>
    <w:rsid w:val="00C16117"/>
    <w:rsid w:val="00C3075A"/>
    <w:rsid w:val="00C919A4"/>
    <w:rsid w:val="00CA4392"/>
    <w:rsid w:val="00CC393F"/>
    <w:rsid w:val="00D2176E"/>
    <w:rsid w:val="00D352A3"/>
    <w:rsid w:val="00D632BE"/>
    <w:rsid w:val="00D72D06"/>
    <w:rsid w:val="00D7522C"/>
    <w:rsid w:val="00D7536F"/>
    <w:rsid w:val="00D76668"/>
    <w:rsid w:val="00DD0DB0"/>
    <w:rsid w:val="00DE054F"/>
    <w:rsid w:val="00E07383"/>
    <w:rsid w:val="00E165BC"/>
    <w:rsid w:val="00E61E12"/>
    <w:rsid w:val="00E7596C"/>
    <w:rsid w:val="00E878F2"/>
    <w:rsid w:val="00ED0149"/>
    <w:rsid w:val="00EF7DE3"/>
    <w:rsid w:val="00F03103"/>
    <w:rsid w:val="00F2428F"/>
    <w:rsid w:val="00F271DE"/>
    <w:rsid w:val="00F627DA"/>
    <w:rsid w:val="00F7288F"/>
    <w:rsid w:val="00F847A6"/>
    <w:rsid w:val="00F9441B"/>
    <w:rsid w:val="00FA4C32"/>
    <w:rsid w:val="00FB3806"/>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Ttulo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Ttulo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Ttulo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Ttulo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Ttulo5">
    <w:name w:val="heading 5"/>
    <w:basedOn w:val="Normal"/>
    <w:next w:val="Normal"/>
    <w:qFormat/>
    <w:pPr>
      <w:tabs>
        <w:tab w:val="start" w:pos="18pt"/>
      </w:tabs>
      <w:spacing w:before="8pt" w:after="4pt"/>
      <w:outlineLvl w:val="4"/>
    </w:pPr>
    <w:rPr>
      <w:smallCaps/>
      <w:noProo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pt" w:type="dxa"/>
      <w:tblCellMar>
        <w:top w:w="0pt" w:type="dxa"/>
        <w:start w:w="5.40pt" w:type="dxa"/>
        <w:bottom w:w="0pt" w:type="dxa"/>
        <w:end w:w="5.40pt" w:type="dxa"/>
      </w:tblCellMar>
    </w:tblPr>
  </w:style>
  <w:style w:type="numbering" w:default="1" w:styleId="Semlista">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Corpodetexto">
    <w:name w:val="Body Text"/>
    <w:basedOn w:val="Normal"/>
    <w:link w:val="CorpodetextoChar"/>
    <w:rsid w:val="00E7596C"/>
    <w:pPr>
      <w:tabs>
        <w:tab w:val="start" w:pos="14.40pt"/>
      </w:tabs>
      <w:spacing w:after="6pt" w:line="11.40pt" w:lineRule="auto"/>
      <w:ind w:firstLine="14.40pt"/>
      <w:jc w:val="both"/>
    </w:pPr>
    <w:rPr>
      <w:spacing w:val="-1"/>
      <w:lang w:val="x-none" w:eastAsia="x-none"/>
    </w:rPr>
  </w:style>
  <w:style w:type="character" w:customStyle="1" w:styleId="CorpodetextoChar">
    <w:name w:val="Corpo de texto Char"/>
    <w:link w:val="Corpodetexto"/>
    <w:rsid w:val="00E7596C"/>
    <w:rPr>
      <w:spacing w:val="-1"/>
      <w:lang w:val="x-none" w:eastAsia="x-none"/>
    </w:rPr>
  </w:style>
  <w:style w:type="paragraph" w:customStyle="1" w:styleId="bulletlist">
    <w:name w:val="bullet list"/>
    <w:basedOn w:val="Corpodetexto"/>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Cabealho">
    <w:name w:val="header"/>
    <w:basedOn w:val="Normal"/>
    <w:link w:val="CabealhoChar"/>
    <w:rsid w:val="001A3B3D"/>
    <w:pPr>
      <w:tabs>
        <w:tab w:val="center" w:pos="234pt"/>
        <w:tab w:val="end" w:pos="468pt"/>
      </w:tabs>
    </w:pPr>
  </w:style>
  <w:style w:type="character" w:customStyle="1" w:styleId="CabealhoChar">
    <w:name w:val="Cabeçalho Char"/>
    <w:basedOn w:val="Fontepargpadro"/>
    <w:link w:val="Cabealho"/>
    <w:rsid w:val="001A3B3D"/>
  </w:style>
  <w:style w:type="paragraph" w:styleId="Rodap">
    <w:name w:val="footer"/>
    <w:basedOn w:val="Normal"/>
    <w:link w:val="RodapChar"/>
    <w:rsid w:val="001A3B3D"/>
    <w:pPr>
      <w:tabs>
        <w:tab w:val="center" w:pos="234pt"/>
        <w:tab w:val="end" w:pos="468pt"/>
      </w:tabs>
    </w:pPr>
  </w:style>
  <w:style w:type="character" w:customStyle="1" w:styleId="RodapChar">
    <w:name w:val="Rodapé Char"/>
    <w:basedOn w:val="Fontepargpadro"/>
    <w:link w:val="Rodap"/>
    <w:rsid w:val="001A3B3D"/>
  </w:style>
  <w:style w:type="paragraph" w:styleId="NormalWeb">
    <w:name w:val="Normal (Web)"/>
    <w:basedOn w:val="Normal"/>
    <w:uiPriority w:val="99"/>
    <w:unhideWhenUsed/>
    <w:rsid w:val="00DD0DB0"/>
    <w:pPr>
      <w:spacing w:before="5pt" w:beforeAutospacing="1" w:after="5pt" w:afterAutospacing="1"/>
      <w:jc w:val="start"/>
    </w:pPr>
    <w:rPr>
      <w:rFonts w:eastAsia="Times New Roman"/>
      <w:sz w:val="24"/>
      <w:szCs w:val="24"/>
      <w:lang w:val="pt-BR" w:eastAsia="pt-BR"/>
    </w:rPr>
  </w:style>
  <w:style w:type="character" w:styleId="nfase">
    <w:name w:val="Emphasis"/>
    <w:basedOn w:val="Fontepargpadro"/>
    <w:uiPriority w:val="20"/>
    <w:qFormat/>
    <w:rsid w:val="00DD0DB0"/>
    <w:rPr>
      <w:i/>
      <w:iCs/>
    </w:rPr>
  </w:style>
  <w:style w:type="character" w:styleId="Forte">
    <w:name w:val="Strong"/>
    <w:basedOn w:val="Fontepargpadro"/>
    <w:uiPriority w:val="22"/>
    <w:qFormat/>
    <w:rsid w:val="00DD0DB0"/>
    <w:rPr>
      <w:b/>
      <w:b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93064">
      <w:bodyDiv w:val="1"/>
      <w:marLeft w:val="0pt"/>
      <w:marRight w:val="0pt"/>
      <w:marTop w:val="0pt"/>
      <w:marBottom w:val="0pt"/>
      <w:divBdr>
        <w:top w:val="none" w:sz="0" w:space="0" w:color="auto"/>
        <w:left w:val="none" w:sz="0" w:space="0" w:color="auto"/>
        <w:bottom w:val="none" w:sz="0" w:space="0" w:color="auto"/>
        <w:right w:val="none" w:sz="0" w:space="0" w:color="auto"/>
      </w:divBdr>
    </w:div>
    <w:div w:id="293217211">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0</TotalTime>
  <Pages>4</Pages>
  <Words>2662</Words>
  <Characters>14379</Characters>
  <Application>Microsoft Office Word</Application>
  <DocSecurity>0</DocSecurity>
  <Lines>119</Lines>
  <Paragraphs>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Brenda de Sena</cp:lastModifiedBy>
  <cp:revision>2</cp:revision>
  <dcterms:created xsi:type="dcterms:W3CDTF">2025-10-23T19:55:00Z</dcterms:created>
  <dcterms:modified xsi:type="dcterms:W3CDTF">2025-10-23T19:55:00Z</dcterms:modified>
</cp:coreProperties>
</file>