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Ejercicio 001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podemos modificar el tema del IDE.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0613" cy="400515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00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podemos modificar el color y fuente tipográfica del código.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Para el color: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03286" cy="347579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286" cy="347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Para la fuente: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350789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50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podemos controlar cuándo se hace un salto de línea.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2038" cy="352858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52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pueden establecer los ajustes de indentación.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95838" cy="347339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47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pueden visualizar los atajos de teclado.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346649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46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con qué atajo de teclado podemos convertir la palabra sout en System.out.println.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Ctrl + espacio y le damos a Enter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 configurar el autocompletado de código (Intellisense).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8663" cy="32871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28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 configurar la indentación automática.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56887" cy="330033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887" cy="330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pueden configurar los cierres automáticos de llaves, cadenas de texto y comentarios.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5338" cy="333542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33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cómo se pueden añadir automáticamente constructores de una clase, getters, setters o el método toString().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alt + insert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52963" cy="330808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30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dónde se muestra la codificación del fichero.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File&gt;File Properties&gt; File Encoding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33335" cy="308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335" cy="308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cómo se puede duplicar (clonar) un proyecto existente.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Help&gt;Find Action y buscar clonar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9995" cy="366404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995" cy="3664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