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Calibri" w:cs="Calibri" w:eastAsia="Calibri" w:hAnsi="Calibri"/>
          <w:b/>
          <w:bCs/>
          <w:color w:val="1F5C8B"/>
          <w:sz w:val="40"/>
          <w:szCs w:val="40"/>
        </w:rPr>
        <w:t xml:space="preserve">Sujet 21 — Transformations d’état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A6672"/>
          <w:sz w:val="20"/>
          <w:szCs w:val="20"/>
        </w:rPr>
        <w:t xml:space="preserve">Règles vivantes du protocole. Deux familles de causes, bien distinctes : les ZONES FORCÉES (une région impose son état à tout le corps, un ASSET raconte pourquoi) et les BLOCS (des surfaces posées dans le décor, qui agissent par aura, particule par particule). Valeurs entre parenthèses : paramètres du banc, état du code au 12/08/2026 — document fait pour être modifié quand les règles bougent.</w:t>
      </w:r>
    </w:p>
    <w:p>
      <w:pPr>
        <w:pStyle w:val="Heading1"/>
      </w:pPr>
      <w:r>
        <w:rPr>
          <w:rFonts w:ascii="Calibri" w:cs="Calibri" w:eastAsia="Calibri" w:hAnsi="Calibri"/>
          <w:b/>
          <w:bCs/>
          <w:color w:val="1F5C8B"/>
          <w:sz w:val="26"/>
          <w:szCs w:val="26"/>
        </w:rPr>
        <w:t xml:space="preserve">1. Transformations par ZONES FORCÉES — ① coût · ② comment / quand</w:t>
      </w:r>
    </w:p>
    <w:p>
      <w:pPr>
        <w:spacing w:after="80"/>
      </w:pPr>
      <w:r>
        <w:rPr>
          <w:rFonts w:ascii="Calibri" w:cs="Calibri" w:eastAsia="Calibri" w:hAnsi="Calibri"/>
          <w:color w:val="5A6672"/>
          <w:sz w:val="18"/>
          <w:szCs w:val="18"/>
        </w:rPr>
        <w:t xml:space="preserve">Une zone impose son état : déclenchement quand le CENTRE du corps y entre (≈ majorité du volume — le seuil en % est la recommandation nº 1), conversion du corps ENTIER aux vitesses ci-dessous, sélecteur verrouillé tant qu’on y est, et l’état persiste à la sortie jusqu’à un changement volontaire.</w:t>
      </w:r>
    </w:p>
    <w:tbl>
      <w:tblPr>
        <w:tblW w:type="dxa" w:w="11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260"/>
        <w:gridCol w:w="3260"/>
        <w:gridCol w:w="3280"/>
      </w:tblGrid>
      <w:tr>
        <w:tc>
          <w:tcPr>
            <w:tcW w:type="dxa" w:w="1400"/>
            <w:shd w:fill="1F5C8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 \ vers</w:t>
            </w:r>
          </w:p>
        </w:tc>
        <w:tc>
          <w:tcPr>
            <w:tcW w:type="dxa" w:w="3260"/>
            <w:shd w:fill="1F5C8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Zone forcée LIQUIDE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color w:val="FFFFFF"/>
                <w:sz w:val="15"/>
                <w:szCs w:val="15"/>
              </w:rPr>
              <w:t xml:space="preserve">asset : douche de décontamination (proposé — jeu actuel : « chambre pressurisée »)</w:t>
            </w:r>
          </w:p>
        </w:tc>
        <w:tc>
          <w:tcPr>
            <w:tcW w:type="dxa" w:w="3260"/>
            <w:shd w:fill="1F5C8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Zone forcée SOLIDE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color w:val="FFFFFF"/>
                <w:sz w:val="15"/>
                <w:szCs w:val="15"/>
              </w:rPr>
              <w:t xml:space="preserve">asset : hublot brisé (déjà dans le jeu : « hublot fendu »)</w:t>
            </w:r>
          </w:p>
        </w:tc>
        <w:tc>
          <w:tcPr>
            <w:tcW w:type="dxa" w:w="3280"/>
            <w:shd w:fill="1F5C8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Zone forcée GAZ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color w:val="FFFFFF"/>
                <w:sz w:val="15"/>
                <w:szCs w:val="15"/>
              </w:rPr>
              <w:t xml:space="preserve">asset : radiateur (proposé — jeu actuel : « conduite rompue »)</w:t>
            </w:r>
          </w:p>
        </w:tc>
      </w:tr>
      <w:tr>
        <w:tc>
          <w:tcPr>
            <w:tcW w:type="dxa" w:w="1400"/>
            <w:shd w:fill="1F5C8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LIQUIDE</w:t>
            </w:r>
          </w:p>
        </w:tc>
        <w:tc>
          <w:tcPr>
            <w:tcW w:type="dxa" w:w="32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  <w:jc w:val="center"/>
            </w:pPr>
            <w:r>
              <w:rPr>
                <w:rFonts w:ascii="Calibri" w:cs="Calibri" w:eastAsia="Calibri" w:hAnsi="Calibri"/>
                <w:color w:val="5A6672"/>
                <w:sz w:val="28"/>
                <w:szCs w:val="28"/>
              </w:rPr>
              <w:t xml:space="preserve">⟍</w:t>
            </w:r>
          </w:p>
        </w:tc>
        <w:tc>
          <w:tcPr>
            <w:tcW w:type="dxa" w:w="32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① Coût : aucun.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② Quand : le CENTRE du corps entre dans la zone (seuil 70 % du volume : recommandé, à implémenter). Prise en 0,45 s, tout le corps. État verrouillé tant qu’on est dedans ; il PERSISTE à la sortie, jusqu’à un changement volontaire.</w:t>
            </w:r>
          </w:p>
        </w:tc>
        <w:tc>
          <w:tcPr>
            <w:tcW w:type="dxa" w:w="32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① Coût : la conversion est gratuite ; l’ÉTAT gazeux se paie ensuite (−2 part./s, grille qui essore, dashs comptés).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② Quand : centre du corps dans la zone. Vaporisation 0,5 s, corps entier. Verrouillé dedans, persiste à la sortie.</w:t>
            </w:r>
          </w:p>
        </w:tc>
      </w:tr>
      <w:tr>
        <w:tc>
          <w:tcPr>
            <w:tcW w:type="dxa" w:w="1400"/>
            <w:shd w:fill="1F5C8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SOLIDE</w:t>
            </w:r>
          </w:p>
        </w:tc>
        <w:tc>
          <w:tcPr>
            <w:tcW w:type="dxa" w:w="32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① Coût : aucun.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② Quand : centre du corps dans la zone. Dégel 2,5 s (le bloc fond sur son élan), corps entier. Verrouillé dedans, persiste à la sortie.</w:t>
            </w:r>
          </w:p>
        </w:tc>
        <w:tc>
          <w:tcPr>
            <w:tcW w:type="dxa" w:w="32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  <w:jc w:val="center"/>
            </w:pPr>
            <w:r>
              <w:rPr>
                <w:rFonts w:ascii="Calibri" w:cs="Calibri" w:eastAsia="Calibri" w:hAnsi="Calibri"/>
                <w:color w:val="5A6672"/>
                <w:sz w:val="28"/>
                <w:szCs w:val="28"/>
              </w:rPr>
              <w:t xml:space="preserve">⟍</w:t>
            </w:r>
          </w:p>
        </w:tc>
        <w:tc>
          <w:tcPr>
            <w:tcW w:type="dxa" w:w="32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① Coût : gratuit à la conversion ; l’état gazeux se paie ensuite.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② Quand : centre du corps dans la zone. Pas de sublimation directe : dégel 2,5 s PUIS vaporisation 0,5 s (enchaînés automatiquement par la zone).</w:t>
            </w:r>
          </w:p>
        </w:tc>
      </w:tr>
      <w:tr>
        <w:tc>
          <w:tcPr>
            <w:tcW w:type="dxa" w:w="1400"/>
            <w:shd w:fill="1F5C8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GAZEUX</w:t>
            </w:r>
          </w:p>
        </w:tc>
        <w:tc>
          <w:tcPr>
            <w:tcW w:type="dxa" w:w="32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① Coût : aucun (les pertes ont déjà eu lieu pendant l’état vapeur).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② Quand : centre du corps dans la zone. Condensation 0,9 s + regroupement (les gouttelettes sont rappelées vers le corps, 420 u/s²).</w:t>
            </w:r>
          </w:p>
        </w:tc>
        <w:tc>
          <w:tcPr>
            <w:tcW w:type="dxa" w:w="32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① Coût : aucun.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② Quand : centre du corps dans la zone. Pas de direct : condensation 0,9 s PUIS prise 0,45 s (enchaînées par la zone).</w:t>
            </w:r>
          </w:p>
        </w:tc>
        <w:tc>
          <w:tcPr>
            <w:tcW w:type="dxa" w:w="32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  <w:jc w:val="center"/>
            </w:pPr>
            <w:r>
              <w:rPr>
                <w:rFonts w:ascii="Calibri" w:cs="Calibri" w:eastAsia="Calibri" w:hAnsi="Calibri"/>
                <w:color w:val="5A6672"/>
                <w:sz w:val="28"/>
                <w:szCs w:val="28"/>
              </w:rPr>
              <w:t xml:space="preserve">⟍</w:t>
            </w:r>
          </w:p>
        </w:tc>
      </w:tr>
    </w:tbl>
    <w:p>
      <w:pPr>
        <w:pStyle w:val="Heading1"/>
      </w:pPr>
      <w:r>
        <w:rPr>
          <w:rFonts w:ascii="Calibri" w:cs="Calibri" w:eastAsia="Calibri" w:hAnsi="Calibri"/>
          <w:b/>
          <w:bCs/>
          <w:color w:val="1F5C8B"/>
          <w:sz w:val="26"/>
          <w:szCs w:val="26"/>
        </w:rPr>
        <w:t xml:space="preserve">2. Transformations par BLOCS (matériaux à aura)</w:t>
      </w:r>
    </w:p>
    <w:p>
      <w:pPr>
        <w:spacing w:after="80"/>
      </w:pPr>
      <w:r>
        <w:rPr>
          <w:rFonts w:ascii="Calibri" w:cs="Calibri" w:eastAsia="Calibri" w:hAnsi="Calibri"/>
          <w:color w:val="5A6672"/>
          <w:sz w:val="18"/>
          <w:szCs w:val="18"/>
        </w:rPr>
        <w:t xml:space="preserve">Les blocs n’imposent rien au corps entier : leur aura travaille PARTICULE PAR PARTICULE — on peut n’être que partiellement gelé ou vaporisé, et la traversée rapide limite l’effet.</w:t>
      </w:r>
    </w:p>
    <w:tbl>
      <w:tblPr>
        <w:tblW w:type="dxa" w:w="11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1150"/>
        <w:gridCol w:w="3600"/>
        <w:gridCol w:w="2500"/>
        <w:gridCol w:w="2200"/>
      </w:tblGrid>
      <w:tr>
        <w:tc>
          <w:tcPr>
            <w:tcW w:type="dxa" w:w="1750"/>
            <w:shd w:fill="1F5C8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Bloc</w:t>
            </w:r>
          </w:p>
        </w:tc>
        <w:tc>
          <w:tcPr>
            <w:tcW w:type="dxa" w:w="1150"/>
            <w:shd w:fill="1F5C8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→ État</w:t>
            </w:r>
          </w:p>
        </w:tc>
        <w:tc>
          <w:tcPr>
            <w:tcW w:type="dxa" w:w="3600"/>
            <w:shd w:fill="1F5C8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Règle actuelle</w:t>
            </w:r>
          </w:p>
        </w:tc>
        <w:tc>
          <w:tcPr>
            <w:tcW w:type="dxa" w:w="2500"/>
            <w:shd w:fill="1F5C8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Vitesse</w:t>
            </w:r>
          </w:p>
        </w:tc>
        <w:tc>
          <w:tcPr>
            <w:tcW w:type="dxa" w:w="2200"/>
            <w:shd w:fill="1F5C8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Seuil</w:t>
            </w:r>
          </w:p>
        </w:tc>
      </w:tr>
      <w:tr>
        <w:tc>
          <w:tcPr>
            <w:tcW w:type="dxa" w:w="17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Hublot / plaque froide</w:t>
            </w:r>
          </w:p>
        </w:tc>
        <w:tc>
          <w:tcPr>
            <w:tcW w:type="dxa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SOLIDE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Aura de gel, PAR PARTICULE : chaque goutte exposée givre (traînée) puis gèle — le corps peut être partiellement gelé. La glace qui touche la plaque est SOUDÉE net. La vapeur y condense vite, et la vapeur perdue ailleurs y perle en rosée récupérable.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1,2 s à plein bain (freezeTime) ; givre : traînée 3/s (frostSluggish)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aucun : par particule</w:t>
            </w:r>
          </w:p>
        </w:tc>
      </w:tr>
      <w:tr>
        <w:tc>
          <w:tcPr>
            <w:tcW w:type="dxa" w:w="17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Chaudière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5A6672"/>
                <w:sz w:val="17"/>
                <w:szCs w:val="17"/>
              </w:rPr>
              <w:t xml:space="preserve">le chauffage de TRANSFO — l’actuel « radiateur », renommé. Toujours active. Ailettes, braise orange.</w:t>
            </w:r>
          </w:p>
        </w:tc>
        <w:tc>
          <w:tcPr>
            <w:tcW w:type="dxa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GAZEUX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Aura de chaleur, PAR PARTICULE : l’eau frémit puis se vaporise, qu’on le veuille ou non. Dégèle la glace (libère un bloc soudé). La vapeur qui s’attarde s’évapore (perdue). À 50 % du corps vaporisé, le jeu PASSE à l’état gazeux (dash, sélecteur, sons) — réarmement sous 30 %. Ne recharge PLUS les dashs : ce rôle passe au surchauffeur.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1,2 s à plein bain (boilTime) ; dégel forcé 0,35 s (heatThawTime)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vaporisation : par particule · passage à l’ÉTAT gazeux : 50 % du corps</w:t>
            </w:r>
          </w:p>
        </w:tc>
      </w:tr>
      <w:tr>
        <w:tc>
          <w:tcPr>
            <w:tcW w:type="dxa" w:w="1750"/>
            <w:shd w:fill="FFF3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Surchauffeur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5A6672"/>
                <w:sz w:val="17"/>
                <w:szCs w:val="17"/>
              </w:rPr>
              <w:t xml:space="preserve">la borne de RECHARGE — validé le 12/08, à implémenter. Serpentin compact, lueur cyan-blanche, manomètre.</w:t>
            </w:r>
          </w:p>
        </w:tc>
        <w:tc>
          <w:tcPr>
            <w:tcW w:type="dxa" w:w="1150"/>
            <w:shd w:fill="FFF3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— (pas de changement d’état)</w:t>
            </w:r>
          </w:p>
        </w:tc>
        <w:tc>
          <w:tcPr>
            <w:tcW w:type="dxa" w:w="3600"/>
            <w:shd w:fill="FFF3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Lore : le serpentin qui ré-injecte de l’énergie dans une vapeur DÉJÀ FORMÉE pour la pousser plus loin dans les conduites — d’où la règle : il n’agit que sur l’ÉTAT GAZEUX. Corps principal en vapeur dans son aura → +1 IMPULSION (le viseur et la jauge clignotent). USAGE UNIQUE : le manomètre tombe à zéro, le serpentin s’éteint (gris). Sans effet sur l’eau et la glace — il ne chauffe pas assez pour transformer.</w:t>
            </w:r>
          </w:p>
        </w:tc>
        <w:tc>
          <w:tcPr>
            <w:tcW w:type="dxa" w:w="2500"/>
            <w:shd w:fill="FFF3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gain instantané dès la condition remplie ; champ « usages » (1 / ∞ / cooldown) dans l’éditeur</w:t>
            </w:r>
          </w:p>
        </w:tc>
        <w:tc>
          <w:tcPr>
            <w:tcW w:type="dxa" w:w="2200"/>
            <w:shd w:fill="FFF3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90–95 % du VOLUME ACTIF (corps principal, gouttes éjectées exclues) dans l’aura, à l’état gazeux — % exact à caler en test</w:t>
            </w:r>
          </w:p>
        </w:tc>
      </w:tr>
      <w:tr>
        <w:tc>
          <w:tcPr>
            <w:tcW w:type="dxa" w:w="1750"/>
            <w:shd w:fill="FFF3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Douche de décontamination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5A6672"/>
                <w:sz w:val="17"/>
                <w:szCs w:val="17"/>
              </w:rPr>
              <w:t xml:space="preserve">n’existe pas encore — proposition</w:t>
            </w:r>
          </w:p>
        </w:tc>
        <w:tc>
          <w:tcPr>
            <w:tcW w:type="dxa" w:w="1150"/>
            <w:shd w:fill="FFF3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LIQUIDE</w:t>
            </w:r>
          </w:p>
        </w:tc>
        <w:tc>
          <w:tcPr>
            <w:tcW w:type="dxa" w:w="3600"/>
            <w:shd w:fill="FFF3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Proposition : une buse qui arrose vers le bas ; tout ce qui traverse le jet redevient EAU (glace dégelée, vapeur condensée). Le « reset d’état » posé par le level designer — l’inverse exact du radiateur, comme la membrane est l’inverse de la grille.</w:t>
            </w:r>
          </w:p>
        </w:tc>
        <w:tc>
          <w:tcPr>
            <w:tcW w:type="dxa" w:w="2500"/>
            <w:shd w:fill="FFF3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à définir (suggestion : 0,5 s dans le jet)</w:t>
            </w:r>
          </w:p>
        </w:tc>
        <w:tc>
          <w:tcPr>
            <w:tcW w:type="dxa" w:w="2200"/>
            <w:shd w:fill="FFF3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70 % du volume sous le jet (proposé)</w:t>
            </w:r>
          </w:p>
        </w:tc>
      </w:tr>
    </w:tbl>
    <w:p>
      <w:pPr>
        <w:pStyle w:val="Heading1"/>
      </w:pPr>
      <w:r>
        <w:rPr>
          <w:rFonts w:ascii="Calibri" w:cs="Calibri" w:eastAsia="Calibri" w:hAnsi="Calibri"/>
          <w:b/>
          <w:bCs/>
          <w:color w:val="1F5C8B"/>
          <w:sz w:val="26"/>
          <w:szCs w:val="26"/>
        </w:rPr>
        <w:t xml:space="preserve">3. Changements VOLONTAIRES état → état — ① coût · ② temps</w:t>
      </w:r>
    </w:p>
    <w:p>
      <w:pPr>
        <w:spacing w:after="80"/>
      </w:pPr>
      <w:r>
        <w:rPr>
          <w:rFonts w:ascii="Calibri" w:cs="Calibri" w:eastAsia="Calibri" w:hAnsi="Calibri"/>
          <w:color w:val="5A6672"/>
          <w:sz w:val="18"/>
          <w:szCs w:val="18"/>
        </w:rPr>
        <w:t xml:space="preserve">F/G au clavier, X/Y/B à la manette, ❄/💨 au tactile. La diagonale ⟍ est l’identité.</w:t>
      </w:r>
    </w:p>
    <w:tbl>
      <w:tblPr>
        <w:tblW w:type="dxa" w:w="11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230"/>
        <w:gridCol w:w="3230"/>
        <w:gridCol w:w="3240"/>
      </w:tblGrid>
      <w:tr>
        <w:tc>
          <w:tcPr>
            <w:tcW w:type="dxa" w:w="1500"/>
            <w:shd w:fill="1F5C8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 \ vers</w:t>
            </w:r>
          </w:p>
        </w:tc>
        <w:tc>
          <w:tcPr>
            <w:tcW w:type="dxa" w:w="3230"/>
            <w:shd w:fill="1F5C8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LIQUIDE</w:t>
            </w:r>
          </w:p>
        </w:tc>
        <w:tc>
          <w:tcPr>
            <w:tcW w:type="dxa" w:w="3230"/>
            <w:shd w:fill="1F5C8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SOLIDE</w:t>
            </w:r>
          </w:p>
        </w:tc>
        <w:tc>
          <w:tcPr>
            <w:tcW w:type="dxa" w:w="3240"/>
            <w:shd w:fill="1F5C8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GAZEUX</w:t>
            </w:r>
          </w:p>
        </w:tc>
      </w:tr>
      <w:tr>
        <w:tc>
          <w:tcPr>
            <w:tcW w:type="dxa" w:w="1500"/>
            <w:shd w:fill="1F5C8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LIQUIDE</w:t>
            </w:r>
          </w:p>
        </w:tc>
        <w:tc>
          <w:tcPr>
            <w:tcW w:type="dxa" w:w="32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  <w:jc w:val="center"/>
            </w:pPr>
            <w:r>
              <w:rPr>
                <w:rFonts w:ascii="Calibri" w:cs="Calibri" w:eastAsia="Calibri" w:hAnsi="Calibri"/>
                <w:color w:val="5A6672"/>
                <w:sz w:val="28"/>
                <w:szCs w:val="28"/>
              </w:rPr>
              <w:t xml:space="preserve">⟍</w:t>
            </w:r>
          </w:p>
        </w:tc>
        <w:tc>
          <w:tcPr>
            <w:tcW w:type="dxa" w:w="32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① Coût : aucun volume. Contrepartie : plus de propulsion, le bloc garde son élan ; dégel lent au retour.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② Temps : 0,45 s (F / bouton X) · 1,2 s par particule au froid.</w:t>
            </w:r>
          </w:p>
        </w:tc>
        <w:tc>
          <w:tcPr>
            <w:tcW w:type="dxa" w:w="32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① Coût : l’état se paie — évaporation continue 2 part./s ; la grille essore au passage. Dashs COMPTÉS : 3 par écran (réglable par tableau) ; un SURCHAUFFEUR = +1 impulsion (usage unique).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② Temps : 0,5 s (G / bouton Y) · 1,2 s par particule au radiateur.</w:t>
            </w:r>
          </w:p>
        </w:tc>
      </w:tr>
      <w:tr>
        <w:tc>
          <w:tcPr>
            <w:tcW w:type="dxa" w:w="1500"/>
            <w:shd w:fill="1F5C8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SOLIDE</w:t>
            </w:r>
          </w:p>
        </w:tc>
        <w:tc>
          <w:tcPr>
            <w:tcW w:type="dxa" w:w="32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① Coût : aucun.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② Temps : 2,5 s à l’air libre (thawTime) · 0,35 s dans l’aura d’un radiateur.</w:t>
            </w:r>
          </w:p>
        </w:tc>
        <w:tc>
          <w:tcPr>
            <w:tcW w:type="dxa" w:w="32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  <w:jc w:val="center"/>
            </w:pPr>
            <w:r>
              <w:rPr>
                <w:rFonts w:ascii="Calibri" w:cs="Calibri" w:eastAsia="Calibri" w:hAnsi="Calibri"/>
                <w:color w:val="5A6672"/>
                <w:sz w:val="28"/>
                <w:szCs w:val="28"/>
              </w:rPr>
              <w:t xml:space="preserve">⟍</w:t>
            </w:r>
          </w:p>
        </w:tc>
        <w:tc>
          <w:tcPr>
            <w:tcW w:type="dxa" w:w="32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5A6672"/>
                <w:sz w:val="20"/>
                <w:szCs w:val="20"/>
              </w:rPr>
              <w:t xml:space="preserve">✕ Pas de sublimation directe : passe par l’eau (≈ 2,5 + 0,5 s). Le radiateur enchaîne les deux tout seul (0,35 + 1,2 s).</w:t>
            </w:r>
          </w:p>
        </w:tc>
      </w:tr>
      <w:tr>
        <w:tc>
          <w:tcPr>
            <w:tcW w:type="dxa" w:w="1500"/>
            <w:shd w:fill="1F5C8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GAZEUX</w:t>
            </w:r>
          </w:p>
        </w:tc>
        <w:tc>
          <w:tcPr>
            <w:tcW w:type="dxa" w:w="32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① Coût : aucun coût direct (les pertes ont eu lieu pendant l’état vapeur).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② Temps : 0,9 s (condenseTime) + regroupement (420 u/s²) — rien ne se disperse.</w:t>
            </w:r>
          </w:p>
        </w:tc>
        <w:tc>
          <w:tcPr>
            <w:tcW w:type="dxa" w:w="32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5A6672"/>
                <w:sz w:val="20"/>
                <w:szCs w:val="20"/>
              </w:rPr>
              <w:t xml:space="preserve">✕ Pas de direct : passe par l’eau (≈ 0,9 + 0,45 s). Les zones l’orchestrent automatiquement.</w:t>
            </w:r>
          </w:p>
        </w:tc>
        <w:tc>
          <w:tcPr>
            <w:tcW w:type="dxa" w:w="32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/>
              <w:jc w:val="center"/>
            </w:pPr>
            <w:r>
              <w:rPr>
                <w:rFonts w:ascii="Calibri" w:cs="Calibri" w:eastAsia="Calibri" w:hAnsi="Calibri"/>
                <w:color w:val="5A6672"/>
                <w:sz w:val="28"/>
                <w:szCs w:val="28"/>
              </w:rPr>
              <w:t xml:space="preserve">⟍</w:t>
            </w:r>
          </w:p>
        </w:tc>
      </w:tr>
    </w:tbl>
    <w:p>
      <w:pPr>
        <w:pStyle w:val="Heading1"/>
      </w:pPr>
      <w:r>
        <w:rPr>
          <w:rFonts w:ascii="Calibri" w:cs="Calibri" w:eastAsia="Calibri" w:hAnsi="Calibri"/>
          <w:b/>
          <w:bCs/>
          <w:color w:val="1F5C8B"/>
          <w:sz w:val="26"/>
          <w:szCs w:val="26"/>
        </w:rPr>
        <w:t xml:space="preserve">4. Brainstorm — bloc radiateur (à trancher)</w:t>
      </w:r>
    </w:p>
    <w:p>
      <w:pPr>
        <w:spacing w:after="80"/>
      </w:pPr>
      <w:r>
        <w:rPr>
          <w:rFonts w:ascii="Calibri" w:cs="Calibri" w:eastAsia="Calibri" w:hAnsi="Calibri"/>
          <w:color w:val="5A6672"/>
          <w:sz w:val="18"/>
          <w:szCs w:val="18"/>
        </w:rPr>
        <w:t xml:space="preserve">Les idées de la session du 12/08, chacune avec analyse et recommandation. Rien ici n’est implémenté : cette section prépare les décisions.</w:t>
      </w:r>
    </w:p>
    <w:tbl>
      <w:tblPr>
        <w:tblW w:type="dxa" w:w="11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50"/>
        <w:gridCol w:w="5250"/>
        <w:gridCol w:w="2500"/>
      </w:tblGrid>
      <w:tr>
        <w:tc>
          <w:tcPr>
            <w:tcW w:type="dxa" w:w="3450"/>
            <w:shd w:fill="1F5C8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Idée (brainstorm)</w:t>
            </w:r>
          </w:p>
        </w:tc>
        <w:tc>
          <w:tcPr>
            <w:tcW w:type="dxa" w:w="5250"/>
            <w:shd w:fill="1F5C8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Analyse &amp; recommandation</w:t>
            </w:r>
          </w:p>
        </w:tc>
        <w:tc>
          <w:tcPr>
            <w:tcW w:type="dxa" w:w="2500"/>
            <w:shd w:fill="1F5C8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Statut</w:t>
            </w:r>
          </w:p>
        </w:tc>
      </w:tr>
      <w:tr>
        <w:tc>
          <w:tcPr>
            <w:tcW w:type="dxa" w:w="3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Recharge de dash : il faut être SOUS FORME DE GAZ pour l’obtenir. À 3 dashs par écran, +1 dash = +33 % de « vie » vapeur.</w:t>
            </w:r>
          </w:p>
        </w:tc>
        <w:tc>
          <w:tcPr>
            <w:tcW w:type="dxa" w:w="5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D’accord — la recharge devient une manœuvre délibérée, pas un bonus de passage. Aujourd’hui il suffit qu’une particule de vapeur frôle le halo ; exiger l’ÉTAT gazeux (l’intention, pas quelques gouttes vaporisées) rend la règle lisible et cohérente avec la bascule à 50 %.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Penser les dashs comme la barre de vie de la vapeur est une bonne lecture : afficher le gain comme un ramassage (+1 impulsion qui clignote au viseur et sur la jauge).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TRANCHÉ le 12/08 : OUI — porté par le surchauffeur (état gaz requis). Voir tableau 2.</w:t>
            </w:r>
          </w:p>
        </w:tc>
      </w:tr>
      <w:tr>
        <w:tc>
          <w:tcPr>
            <w:tcW w:type="dxa" w:w="3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Un bloc chauffage s’utilise UNE SEULE FOIS : soit recharge (en arrivant gaz), soit transfo (vaporisation). Question : autoriser plusieurs usages du même effet (eau → gaz → eau → retour au même radiateur) ?</w:t>
            </w:r>
          </w:p>
        </w:tc>
        <w:tc>
          <w:tcPr>
            <w:tcW w:type="dxa" w:w="5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Recommandation : séparer le sort des deux effets. La RECHARGE à usage unique, oui — sinon un même radiateur devient une ferme à dashs infinis (aller-retour gaz → +1 → gaz → +1…), ce qui annule les dashs comptés. Le bloc s’éteint visuellement après usage (braises grises) : l’état se lit.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La TRANSFO à usage unique, prudence : c’est une propriété physique du bloc (il chauffe), et l’éteindre après un usage crée des soft-locks — le joueur qui se recondense par erreur reste piégé si l’unique vaporisateur est consommé. Recommandé : transfo TOUJOURS ACTIVE, recharge consommable. Alternative douce si l’usage unique est voulu partout : un long temps de recharge du bloc (cooldown 20–30 s) plutôt qu’une extinction définitive.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Dans l’éditeur : un champ « usages » par radiateur (1 / ∞ / cooldown).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À trancher — recommandé : recharge unique, transfo permanente</w:t>
            </w:r>
          </w:p>
        </w:tc>
      </w:tr>
      <w:tr>
        <w:tc>
          <w:tcPr>
            <w:tcW w:type="dxa" w:w="3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Intérêt de faire des chauffages DE TRANSFO et des chauffages DE RECHARGE distincts ?</w:t>
            </w:r>
          </w:p>
        </w:tc>
        <w:tc>
          <w:tcPr>
            <w:tcW w:type="dxa" w:w="5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Oui, fort intérêt. Deux rôles = deux mots du vocabulaire de level design : le BRASERO (toujours actif, transforme — un danger-outil qu’on traverse) et la BORNE DE RECHARGE (consommable, exige l’état gaz, donne +1 dash — un objectif qu’on vise). Un bloc unique qui fait les deux crée des accidents : on vient pour la transfo et on consomme la recharge sans le vouloir.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Les distinguer visuellement : lueur orange pour le brasero, lueur cyan/blanche et pictogramme +1 pour la borne. La borne peut être un NOUVEL asset compact (pas une copie du radiateur).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TRANCHÉ le 12/08 : OUI — la CHAUDIÈRE (transfo) et le SURCHAUFFEUR (recharge). Voir tableau 2.</w:t>
            </w:r>
          </w:p>
        </w:tc>
      </w:tr>
      <w:tr>
        <w:tc>
          <w:tcPr>
            <w:tcW w:type="dxa" w:w="3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Déclenchement : 100 % du VOLUME ACTIF doit être dans la zone de chauffe (les gouttelettes éjectées pour la propulsion au fil de la partie ne comptent pas).</w:t>
            </w:r>
          </w:p>
        </w:tc>
        <w:tc>
          <w:tcPr>
            <w:tcW w:type="dxa" w:w="5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La notion de VOLUME ACTIF est la bonne clé : le corps principal (l’amas connexe le plus grand), pas les gouttes égarées — c’est déjà ainsi que la victoire a été réglée (bouton CONTINUER), et c’est calculable à chaque image.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Réserve sur le 100 % strict : une goutte du corps qui dépasse d’un pixel bloque le déclenchement — frustration de « pixel hunting ». Recommandé : « le corps principal ENTIER dans l’aura » avec une tolérance de 90–95 %, ou formulé autrement : aucune partie du corps principal à plus de X unités hors du halo. À caler en test.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À articuler avec la bascule d’état à 50 % : 50 % = passage à l’état gazeux (transfo), 90–100 % du volume actif = consommation d’un effet à usage unique (recharge).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À trancher — recommandé : 90–95 % du corps principal</w:t>
            </w:r>
          </w:p>
        </w:tc>
      </w:tr>
      <w:tr>
        <w:tc>
          <w:tcPr>
            <w:tcW w:type="dxa" w:w="3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Taille de l’AURA réglable par radiateur : gros blocs à petite aura, petits blocs à grande aura.</w:t>
            </w:r>
          </w:p>
        </w:tc>
        <w:tc>
          <w:tcPr>
            <w:tcW w:type="dxa" w:w="5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Oui — champ « aura » par bloc dans l’éditeur (comme l’angle des parois). Gros bloc + petite aura = fournaise localisée qu’on frôle ; petit bloc + grande aura = chaleur ambiante qui commande toute une salle.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Le rendu dessine déjà la VRAIE portée de l’aura (même formule que la physique) : la promesse visuelle reste honnête quelle que soit la taille. Prévoir des bornes (≈ 40 à 300 unités) et, par symétrie, offrir le même réglage aux plaques froides.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À trancher — recommandé : OUI (+ plaques froides)</w:t>
            </w:r>
          </w:p>
        </w:tc>
      </w:tr>
    </w:tbl>
    <w:p>
      <w:pPr>
        <w:pStyle w:val="Heading1"/>
      </w:pPr>
      <w:r>
        <w:rPr>
          <w:rFonts w:ascii="Calibri" w:cs="Calibri" w:eastAsia="Calibri" w:hAnsi="Calibri"/>
          <w:b/>
          <w:bCs/>
          <w:color w:val="1F5C8B"/>
          <w:sz w:val="26"/>
          <w:szCs w:val="26"/>
        </w:rPr>
        <w:t xml:space="preserve">5. Recommandations</w:t>
      </w:r>
    </w:p>
    <w:p>
      <w:pPr>
        <w:pStyle w:val="ListParagraph"/>
        <w:numPr>
          <w:ilvl w:val="0"/>
          <w:numId w:val="2"/>
        </w:numPr>
        <w:spacing w:after="30" w:before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Unifier par un SEUIL VOLUMIQUE réglable.</w:t>
      </w:r>
    </w:p>
    <w:p>
      <w:pPr>
        <w:spacing w:after="90"/>
        <w:ind w:left="360"/>
      </w:pPr>
      <w:r>
        <w:rPr>
          <w:rFonts w:ascii="Calibri" w:cs="Calibri" w:eastAsia="Calibri" w:hAnsi="Calibri"/>
          <w:sz w:val="19"/>
          <w:szCs w:val="19"/>
        </w:rPr>
        <w:t xml:space="preserve">Aujourd’hui deux régimes : les blocs convertissent par particule (corps partiellement transformé possible), les zones au centroïde (tout ou rien dès que le centre entre). Recommandation : un paramètre « seuil de transformation » réglable au banc et par zone/bloc dans l’éditeur. Première application VALIDÉE : le radiateur fait passer à l’état gazeux à 50 % du corps vaporisé (réarmement sous 30 %).</w:t>
      </w:r>
    </w:p>
    <w:p>
      <w:pPr>
        <w:pStyle w:val="ListParagraph"/>
        <w:numPr>
          <w:ilvl w:val="0"/>
          <w:numId w:val="2"/>
        </w:numPr>
        <w:spacing w:after="30" w:before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Aligner les ASSETS des zones sur ce document.</w:t>
      </w:r>
    </w:p>
    <w:p>
      <w:pPr>
        <w:spacing w:after="90"/>
        <w:ind w:left="360"/>
      </w:pPr>
      <w:r>
        <w:rPr>
          <w:rFonts w:ascii="Calibri" w:cs="Calibri" w:eastAsia="Calibri" w:hAnsi="Calibri"/>
          <w:sz w:val="19"/>
          <w:szCs w:val="19"/>
        </w:rPr>
        <w:t xml:space="preserve">Zone SOLIDE : « hublot fendu » — déjà conforme. Zone GAZ : le jeu peint une « conduite rompue », ce document propose le radiateur. Zone LIQUIDE : le jeu peint une « chambre pressurisée », ce document propose la douche de décontamination. Trancher, puis renommer décors et étiquettes pour qu’un seul vocabulaire circule (jeu, légende, ce document).</w:t>
      </w:r>
    </w:p>
    <w:p>
      <w:pPr>
        <w:pStyle w:val="ListParagraph"/>
        <w:numPr>
          <w:ilvl w:val="0"/>
          <w:numId w:val="2"/>
        </w:numPr>
        <w:spacing w:after="30" w:before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Garder l’HYSTÉRÉSIS, et l’écrire dans les règles.</w:t>
      </w:r>
    </w:p>
    <w:p>
      <w:pPr>
        <w:spacing w:after="90"/>
        <w:ind w:left="360"/>
      </w:pPr>
      <w:r>
        <w:rPr>
          <w:rFonts w:ascii="Calibri" w:cs="Calibri" w:eastAsia="Calibri" w:hAnsi="Calibri"/>
          <w:sz w:val="19"/>
          <w:szCs w:val="19"/>
        </w:rPr>
        <w:t xml:space="preserve">Une particule devient gaz à vapeur = 1 mais ne redevient liquide qu’en dessous de 0,55 : l’aller-retour n’est pas symétrique. C’est l’anti-clignotement au bord des auras — à conserver quel que soit le seuil choisi.</w:t>
      </w:r>
    </w:p>
    <w:p>
      <w:pPr>
        <w:pStyle w:val="ListParagraph"/>
        <w:numPr>
          <w:ilvl w:val="0"/>
          <w:numId w:val="2"/>
        </w:numPr>
        <w:spacing w:after="30" w:before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Décider du sort de la SUBLIMATION (solide ↔ gazeux).</w:t>
      </w:r>
    </w:p>
    <w:p>
      <w:pPr>
        <w:spacing w:after="90"/>
        <w:ind w:left="360"/>
      </w:pPr>
      <w:r>
        <w:rPr>
          <w:rFonts w:ascii="Calibri" w:cs="Calibri" w:eastAsia="Calibri" w:hAnsi="Calibri"/>
          <w:sz w:val="19"/>
          <w:szCs w:val="19"/>
        </w:rPr>
        <w:t xml:space="preserve">Aucune transition directe : lisible, mais deux cases barrées. Options : l’assumer comme règle du lore (« l’échantillon repasse toujours par l’eau »), ou l’autoriser via une cause extrême (radiateur au contact d’un bloc = sublimation lente et coûteuse).</w:t>
      </w:r>
    </w:p>
    <w:p>
      <w:pPr>
        <w:pStyle w:val="ListParagraph"/>
        <w:numPr>
          <w:ilvl w:val="0"/>
          <w:numId w:val="2"/>
        </w:numPr>
        <w:spacing w:after="30" w:before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Créer la DOUCHE DE DÉCONTAMINATION (bloc + asset de zone).</w:t>
      </w:r>
    </w:p>
    <w:p>
      <w:pPr>
        <w:spacing w:after="90"/>
        <w:ind w:left="360"/>
      </w:pPr>
      <w:r>
        <w:rPr>
          <w:rFonts w:ascii="Calibri" w:cs="Calibri" w:eastAsia="Calibri" w:hAnsi="Calibri"/>
          <w:sz w:val="19"/>
          <w:szCs w:val="19"/>
        </w:rPr>
        <w:t xml:space="preserve">Elle a deux vies possibles : en BLOC (buse posée par le level designer, tableau 2) et en ASSET de la zone forcée LIQUIDE (tableau 1). Les deux peuvent partager le même décor — une seule modélisation.</w:t>
      </w:r>
    </w:p>
    <w:p>
      <w:pPr>
        <w:pStyle w:val="ListParagraph"/>
        <w:numPr>
          <w:ilvl w:val="0"/>
          <w:numId w:val="2"/>
        </w:numPr>
        <w:spacing w:after="30" w:before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Rendre les TEMPS DE TRANSFORMATION visibles.</w:t>
      </w:r>
    </w:p>
    <w:p>
      <w:pPr>
        <w:spacing w:after="90"/>
        <w:ind w:left="360"/>
      </w:pPr>
      <w:r>
        <w:rPr>
          <w:rFonts w:ascii="Calibri" w:cs="Calibri" w:eastAsia="Calibri" w:hAnsi="Calibri"/>
          <w:sz w:val="19"/>
          <w:szCs w:val="19"/>
        </w:rPr>
        <w:t xml:space="preserve">Les temps existent (0,45 / 0,5 / 0,9 / 2,5 s) mais rien ne les montre : un anneau de progression autour du corps pendant la prise, la vaporisation ou le dégel rendrait la règle lisible sans lire ce document.</w:t>
      </w:r>
    </w:p>
    <w:p>
      <w:pPr>
        <w:pStyle w:val="ListParagraph"/>
        <w:numPr>
          <w:ilvl w:val="0"/>
          <w:numId w:val="2"/>
        </w:numPr>
        <w:spacing w:after="30" w:before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Les coûts au même endroit.</w:t>
      </w:r>
    </w:p>
    <w:p>
      <w:pPr>
        <w:spacing w:after="90"/>
        <w:ind w:left="360"/>
      </w:pPr>
      <w:r>
        <w:rPr>
          <w:rFonts w:ascii="Calibri" w:cs="Calibri" w:eastAsia="Calibri" w:hAnsi="Calibri"/>
          <w:sz w:val="19"/>
          <w:szCs w:val="19"/>
        </w:rPr>
        <w:t xml:space="preserve">Le seul vrai coût d’état est celui de la vapeur (2 part./s + essorage de grille + dashs comptés). Tout nouveau coût s’inscrit dans les cases ① — une seule source de vérité, ce document.</w:t>
      </w:r>
    </w:p>
    <w:sectPr>
      <w:pgSz w:w="16838" w:h="11906" w:orient="landscape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60"/>
    </w:pPr>
    <w:rPr>
      <w:rFonts w:ascii="Calibri" w:cs="Calibri" w:eastAsia="Calibri" w:hAnsi="Calibri"/>
      <w:b/>
      <w:bCs/>
      <w:color w:val="1F5C8B"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20" w:before="260"/>
    </w:pPr>
    <w:rPr>
      <w:rFonts w:ascii="Calibri" w:cs="Calibri" w:eastAsia="Calibri" w:hAnsi="Calibri"/>
      <w:b/>
      <w:bCs/>
      <w:color w:val="1F5C8B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2026-08-12T14:37:01.445Z</dcterms:created>
  <dcterms:modified xsi:type="dcterms:W3CDTF">2026-08-12T14:37:01.461Z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