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eastAsia="Times New Roman"/>
          <w:lang w:eastAsia="es-ES_tradnl"/>
        </w:rPr>
      </w:pPr>
      <w:r>
        <w:rPr>
          <w:rFonts w:eastAsia="Times New Roman"/>
          <w:lang w:eastAsia="es-ES_tradnl"/>
        </w:rPr>
        <w:t>Reto 1. ¿Cómo es la metodología de la UNED?</w:t>
      </w:r>
    </w:p>
    <w:p>
      <w:pPr>
        <w:pStyle w:val="Heading2"/>
        <w:rPr/>
      </w:pPr>
      <w:r>
        <w:rPr/>
        <w:t>Instrucciones</w:t>
      </w:r>
    </w:p>
    <w:p>
      <w:pPr>
        <w:pStyle w:val="Normal"/>
        <w:rPr/>
      </w:pPr>
      <w:r>
        <w:rPr/>
        <w:t>Responde a las cuatro actividades en el espacio reservado para ellas. No utilices más espacio del indicado, ya que cualquier contenido fuera del área establecida no será leído ni evaluado por el profesorado tutor.</w:t>
      </w:r>
    </w:p>
    <w:p>
      <w:pPr>
        <w:pStyle w:val="Normal"/>
        <w:rPr/>
      </w:pPr>
      <w:r>
        <w:rPr/>
        <w:t xml:space="preserve">El trabajo no podrá superar 4 páginas. </w:t>
      </w:r>
    </w:p>
    <w:p>
      <w:pPr>
        <w:pStyle w:val="Normal"/>
        <w:rPr/>
      </w:pPr>
      <w:r>
        <w:rPr/>
        <w:t>Recuerda que el peso de estas actividades es el 30 % en la calificación final del curso. Son de obligado cumplimiento.</w:t>
      </w:r>
    </w:p>
    <w:p>
      <w:pPr>
        <w:pStyle w:val="Heading2"/>
        <w:rPr/>
      </w:pPr>
      <w:r>
        <w:rPr/>
        <w:t>Actividades</w:t>
      </w:r>
    </w:p>
    <w:p>
      <w:pPr>
        <w:pStyle w:val="Heading3"/>
        <w:rPr>
          <w:rFonts w:eastAsia="Times New Roman"/>
          <w:lang w:eastAsia="es-ES_tradnl"/>
        </w:rPr>
      </w:pPr>
      <w:r>
        <w:rPr>
          <w:rFonts w:eastAsia="Times New Roman"/>
          <w:lang w:eastAsia="es-ES_tradnl"/>
        </w:rPr>
        <w:t xml:space="preserve">Actividades 1. Metodología UNED </w:t>
      </w:r>
    </w:p>
    <w:p>
      <w:pPr>
        <w:pStyle w:val="Normal"/>
        <w:rPr/>
      </w:pPr>
      <w:r>
        <w:rPr/>
        <w:t xml:space="preserve">Describe a continuación con tus propias palabras cuál es la metodología de la UNED, qué aspectos te parecen más </w:t>
      </w:r>
      <w:r>
        <w:rPr>
          <w:u w:val="single"/>
        </w:rPr>
        <w:t>destacables</w:t>
      </w:r>
      <w:r>
        <w:rPr/>
        <w:t xml:space="preserve"> de esta metodología y en qué se diferencia de otras universidades.</w:t>
      </w:r>
    </w:p>
    <w:p>
      <w:pPr>
        <w:pStyle w:val="Normal"/>
        <w:rPr/>
      </w:pPr>
      <w:r>
        <w:rPr/>
      </w:r>
    </w:p>
    <w:p>
      <w:pPr>
        <w:pStyle w:val="Normal"/>
        <w:rPr/>
      </w:pPr>
      <w:r>
        <w:rPr/>
        <w:t>A diferencia del resto de universidades, la UNED cuenta con una estructura más diversificada, en el sentido de que cada alumno está adscrito a un centro, y dichos centros cuentan con un Profesor Tutor, que acompaña al alumnado con la ayuda del seguimiento, las tutorías o las videoconferencias. Su función es hacer que el alumno saque la mejor nota, y por ello, le orienta todo lo que necesite.</w:t>
      </w:r>
    </w:p>
    <w:p>
      <w:pPr>
        <w:pStyle w:val="Normal"/>
        <w:rPr/>
      </w:pPr>
      <w:r>
        <w:rPr/>
      </w:r>
    </w:p>
    <w:p>
      <w:pPr>
        <w:pStyle w:val="Normal"/>
        <w:rPr/>
      </w:pPr>
      <w:r>
        <w:rPr/>
        <w:t>Por otro lado, el Personal Docente Investigador, que conforma el equipo docente, planea cómo va a ser la asignatura. Los exámenes, las Pruebas de Evaluación Continua (PEC) y el desarrollo de materiales son cosas que le competen. Su función es la docencia, la investigación y la gestión de la asignatura.</w:t>
      </w:r>
    </w:p>
    <w:p>
      <w:pPr>
        <w:pStyle w:val="Normal"/>
        <w:rPr/>
      </w:pPr>
      <w:r>
        <w:rPr/>
      </w:r>
    </w:p>
    <w:p>
      <w:pPr>
        <w:pStyle w:val="Normal"/>
        <w:rPr/>
      </w:pPr>
      <w:r>
        <w:rPr/>
        <w:t>Finalmente, es importante recalcar que el alumno es anormalmente autónomo (comparado con otras universidades). Es importante que este se organice para poder llevar las asignaturas al día, pues la procrastinación y el abandono de la carrera por consecuencia, son cosas que suceden a menudo.</w:t>
      </w:r>
    </w:p>
    <w:p>
      <w:pPr>
        <w:pStyle w:val="Heading3"/>
        <w:rPr>
          <w:rFonts w:eastAsia="Times New Roman"/>
          <w:lang w:eastAsia="es-ES_tradnl"/>
        </w:rPr>
      </w:pPr>
      <w:r>
        <w:rPr>
          <w:rFonts w:eastAsia="Times New Roman"/>
          <w:lang w:eastAsia="es-ES_tradnl"/>
        </w:rPr>
        <w:t>Actividad 2. Metodologías didácticas</w:t>
      </w:r>
    </w:p>
    <w:p>
      <w:pPr>
        <w:pStyle w:val="Normal"/>
        <w:rPr>
          <w:sz w:val="28"/>
          <w:szCs w:val="22"/>
        </w:rPr>
      </w:pPr>
      <w:r>
        <w:rPr/>
        <w:t>Define brevemente las siguientes metodologías:</w:t>
      </w:r>
    </w:p>
    <w:p>
      <w:pPr>
        <w:pStyle w:val="ListParagraph"/>
        <w:numPr>
          <w:ilvl w:val="0"/>
          <w:numId w:val="1"/>
        </w:numPr>
        <w:rPr/>
      </w:pPr>
      <w:r>
        <w:rPr/>
        <w:t>Metodologías digitales y flexibles: Una metodología digital y flexible consiste en el uso de las nuevas tecnologías para conseguir la mejor distribución del tiempo. Si la situación no permite una planificación exacta, poder estudiar, trabajar y realizar actividades a distancia, se convierte en una opción de valor.</w:t>
      </w:r>
    </w:p>
    <w:p>
      <w:pPr>
        <w:pStyle w:val="ListParagraph"/>
        <w:numPr>
          <w:ilvl w:val="0"/>
          <w:numId w:val="1"/>
        </w:numPr>
        <w:rPr/>
      </w:pPr>
      <w:r>
        <w:rPr/>
        <w:t>Metodologías conectadas y colaborativas: El conectivismo define el aprendizaje como un proceso de conexión de nodos de información. Dichos nodos son, por ejemplo, los recursos de aprendizaje y el alumnado. Por otra parte, el aprendizaje colaborativo defiende la interacción entre los alumnos, pues dada su diversidad, es fácil que unos enriquezcan el aprendizaje de otros. Además, ayuda a establecer consensos y objetivos comunes, todos los alumnos quieren aprobar, entonces, se forma una red de ayuda entre los estudiantes.</w:t>
      </w:r>
    </w:p>
    <w:p>
      <w:pPr>
        <w:pStyle w:val="ListParagraph"/>
        <w:numPr>
          <w:ilvl w:val="0"/>
          <w:numId w:val="1"/>
        </w:numPr>
        <w:rPr/>
      </w:pPr>
      <w:r>
        <w:rPr/>
        <w:t>Metodologías activas: Las demandas sociales actuales empujan hacia una educación más orientada a la participación activa del alumnado y su compromiso con el estudio. Esto, ha propiciado que los materiales y cursos estén más orientados a la reflexión y a la búsqueda autónoma de conocimiento, o sea, el alumnado genera relaciones entre conceptos y hechos mientras es ayudado por el profesor, convirtiéndose en el centro de la enseñanza.</w:t>
      </w:r>
    </w:p>
    <w:p>
      <w:pPr>
        <w:pStyle w:val="ListParagraph"/>
        <w:numPr>
          <w:ilvl w:val="0"/>
          <w:numId w:val="1"/>
        </w:numPr>
        <w:rPr/>
      </w:pPr>
      <w:r>
        <w:rPr/>
        <w:t xml:space="preserve">Metodologías mixtas: </w:t>
      </w:r>
      <w:r>
        <w:rPr/>
        <w:t>Con el desarrollo de la tecnología digital, ha ido apareciendo un nuevo sistema de enseñanza, el mixto. Este consiste en la combinación de un modelo de enseñanza en físico, más tradicional, con uno digital y más innovador. Los alumnos asisten a clase donde reciben un trato personalizado, pueden preguntar dudas, e interaccionar con otros compañeros. Luego, cuando tengan tiempo, pueden dedicarse al repaso de la asignatura gracias a los recursos de enseñanza digitales, donde y cuando quiera. Dicha relación con la tecnología, ayuda a los estudiantes a familiarizarse con un mundo cada vez más digitalizado, desarrollando así, nuevas estrategias de aprendizaje.</w:t>
      </w:r>
    </w:p>
    <w:p>
      <w:pPr>
        <w:pStyle w:val="ListParagraph"/>
        <w:numPr>
          <w:ilvl w:val="0"/>
          <w:numId w:val="1"/>
        </w:numPr>
        <w:rPr/>
      </w:pPr>
      <w:r>
        <w:rPr/>
        <w:t xml:space="preserve">Metodologías basadas en el pensamiento crítico: Cuando en una sociedad hay sobre-abundancia de información, se vuelve menester que el individuo sea capaz de discernir lo veraz de lo falso – a esto se le llama pensamiento crítico. Dicha capacidad se descompone en la evaluación del hecho, diferenciarlo de las opiniones, el cuestionamiento de supuestos, identificar falacias y sesgos, y la formulación de juicios fundamentados. De esta forma se genera un ciudadano responsable. </w:t>
      </w:r>
    </w:p>
    <w:p>
      <w:pPr>
        <w:pStyle w:val="Heading3"/>
        <w:rPr>
          <w:rFonts w:eastAsia="Times New Roman"/>
          <w:lang w:eastAsia="es-ES_tradnl"/>
        </w:rPr>
      </w:pPr>
      <w:r>
        <w:rPr>
          <w:rFonts w:eastAsia="Times New Roman" w:ascii="Aptos" w:hAnsi="Aptos" w:asciiTheme="minorHAnsi" w:hAnsiTheme="minorHAnsi"/>
          <w:lang w:eastAsia="es-ES_tradnl"/>
        </w:rPr>
        <w:t xml:space="preserve">Actividad 3. </w:t>
      </w:r>
      <w:r>
        <w:rPr>
          <w:rFonts w:eastAsia="Times New Roman"/>
          <w:lang w:eastAsia="es-ES_tradnl"/>
        </w:rPr>
        <w:t>Metodología a distancia de la UNED en una asignatura</w:t>
      </w:r>
    </w:p>
    <w:p>
      <w:pPr>
        <w:pStyle w:val="Normal"/>
        <w:rPr/>
      </w:pPr>
      <w:r>
        <w:rPr/>
        <w:t xml:space="preserve">Selecciona una de las asignaturas en las que estás matriculado y analiza los elementos de educación a distancia que la definen. </w:t>
      </w:r>
    </w:p>
    <w:p>
      <w:pPr>
        <w:pStyle w:val="Normal"/>
        <w:rPr>
          <w:sz w:val="28"/>
          <w:szCs w:val="22"/>
        </w:rPr>
      </w:pPr>
      <w:r>
        <w:rPr/>
        <w:t>Indica 5 elementos de una asignatura que sean característicos de la metodología a distancia. Justifica tu respuesta.</w:t>
      </w:r>
    </w:p>
    <w:p>
      <w:pPr>
        <w:pStyle w:val="Normal"/>
        <w:rPr>
          <w:sz w:val="28"/>
          <w:szCs w:val="22"/>
        </w:rPr>
      </w:pPr>
      <w:r>
        <w:rPr/>
      </w:r>
    </w:p>
    <w:p>
      <w:pPr>
        <w:pStyle w:val="Normal"/>
        <w:rPr>
          <w:sz w:val="28"/>
          <w:szCs w:val="22"/>
        </w:rPr>
      </w:pPr>
      <w:r>
        <w:rPr/>
        <w:t>He elegido “Lógica y Estructuras Discretas” de Ingeniería Informática. A continuación, se destacan los 5 puntos.</w:t>
      </w:r>
    </w:p>
    <w:p>
      <w:pPr>
        <w:pStyle w:val="Normal"/>
        <w:rPr>
          <w:sz w:val="28"/>
          <w:szCs w:val="22"/>
        </w:rPr>
      </w:pPr>
      <w:r>
        <w:rPr/>
      </w:r>
    </w:p>
    <w:p>
      <w:pPr>
        <w:pStyle w:val="Normal"/>
        <w:rPr>
          <w:sz w:val="28"/>
          <w:szCs w:val="22"/>
        </w:rPr>
      </w:pPr>
      <w:r>
        <w:rPr/>
        <w:t>1. Para empezar, la asignatura cuenta con un sección en la página web de la UNED. Ya dentro, se pueden consultar una guía de la asignatura, un enlace a los contenidos, otro enlace a las Pruebas de Evaluación Continua (PEC), otro a Akademos (o Akademus), donde se pueden encontrar las clases gra</w:t>
      </w:r>
      <w:r>
        <w:rPr/>
        <w:t>b</w:t>
      </w:r>
      <w:r>
        <w:rPr/>
        <w:t>adas… Dicho portal es el epicentro de la educación a distancia.</w:t>
      </w:r>
    </w:p>
    <w:p>
      <w:pPr>
        <w:pStyle w:val="Normal"/>
        <w:rPr>
          <w:sz w:val="28"/>
          <w:szCs w:val="22"/>
        </w:rPr>
      </w:pPr>
      <w:r>
        <w:rPr/>
      </w:r>
    </w:p>
    <w:p>
      <w:pPr>
        <w:pStyle w:val="Normal"/>
        <w:rPr>
          <w:sz w:val="28"/>
          <w:szCs w:val="22"/>
        </w:rPr>
      </w:pPr>
      <w:r>
        <w:rPr/>
        <w:t xml:space="preserve">2. </w:t>
      </w:r>
      <w:r>
        <w:rPr/>
        <w:t>Los materiales didácticos están siempre disponibles, no importa si una persona está en España o en el extranjero, mientras tenga un dispositivos con internet, podrá acceder al contenido de la asignatura. En el caso de Lógica y Estructuras Discretas, incluso no es necesario darse de alta, los materiales están en abierto. Esto fomenta el aprendizaje autónomo y flexible.</w:t>
      </w:r>
    </w:p>
    <w:p>
      <w:pPr>
        <w:pStyle w:val="Normal"/>
        <w:rPr>
          <w:sz w:val="28"/>
          <w:szCs w:val="22"/>
        </w:rPr>
      </w:pPr>
      <w:r>
        <w:rPr/>
      </w:r>
    </w:p>
    <w:p>
      <w:pPr>
        <w:pStyle w:val="Normal"/>
        <w:rPr>
          <w:sz w:val="28"/>
          <w:szCs w:val="22"/>
        </w:rPr>
      </w:pPr>
      <w:r>
        <w:rPr/>
        <w:t>3. Por otro lado, no todo es el texto, las clases grabadas que juegan un papel fundamental al añadir otra fuente de donde extraer el contenido. Dichas clases, al estar grabadas, son accesibles en cualquier momento, fomentando la autonomía del alumnado y permitiendo que se organice mientras cuenta con tal guía.</w:t>
      </w:r>
    </w:p>
    <w:p>
      <w:pPr>
        <w:pStyle w:val="Normal"/>
        <w:rPr>
          <w:sz w:val="28"/>
          <w:szCs w:val="22"/>
        </w:rPr>
      </w:pPr>
      <w:r>
        <w:rPr/>
      </w:r>
    </w:p>
    <w:p>
      <w:pPr>
        <w:pStyle w:val="Normal"/>
        <w:rPr>
          <w:sz w:val="28"/>
          <w:szCs w:val="22"/>
        </w:rPr>
      </w:pPr>
      <w:r>
        <w:rPr/>
        <w:t>4. Las PEC o Pruebas de Evaluación Continua sirve para que los estudiantes sepan si han comprendido bien el temario de una forma mucho más práctica. En lo personal, lo considero utilísimo, pues, se supone, que si un estudiante aprueba todas las PEC, lo más probable es que apruebe el examen final con buena nota.</w:t>
      </w:r>
    </w:p>
    <w:p>
      <w:pPr>
        <w:pStyle w:val="Normal"/>
        <w:rPr>
          <w:sz w:val="28"/>
          <w:szCs w:val="22"/>
        </w:rPr>
      </w:pPr>
      <w:r>
        <w:rPr/>
      </w:r>
    </w:p>
    <w:p>
      <w:pPr>
        <w:pStyle w:val="Normal"/>
        <w:rPr>
          <w:sz w:val="28"/>
          <w:szCs w:val="22"/>
        </w:rPr>
      </w:pPr>
      <w:r>
        <w:rPr/>
        <w:t>5. Por último, los foros, generan una comunidad educativa donde los estudiantes colaboran entre si para resolver sus propias dudas, y si esta es lo suficientemente compleja, puede intervenir el profesorado, así, se construye una relación entre los alumnos (como si de una clase se tratara) y nadie se queda con dudas.</w:t>
      </w:r>
    </w:p>
    <w:p>
      <w:pPr>
        <w:pStyle w:val="Normal"/>
        <w:rPr>
          <w:sz w:val="28"/>
          <w:szCs w:val="22"/>
        </w:rPr>
      </w:pPr>
      <w:r>
        <w:rPr/>
      </w:r>
    </w:p>
    <w:p>
      <w:pPr>
        <w:pStyle w:val="Heading3"/>
        <w:rPr>
          <w:rFonts w:eastAsia="Times New Roman"/>
          <w:lang w:eastAsia="es-ES_tradnl"/>
        </w:rPr>
      </w:pPr>
      <w:r>
        <w:rPr>
          <w:rFonts w:eastAsia="Times New Roman"/>
          <w:lang w:eastAsia="es-ES_tradnl"/>
        </w:rPr>
        <w:t>Actividad 4. Cuestionario de opinión: “Metodología a distancia: Interés y percepción del alumnado”</w:t>
      </w:r>
    </w:p>
    <w:p>
      <w:pPr>
        <w:pStyle w:val="Normal"/>
        <w:rPr>
          <w:rFonts w:ascii="Arial" w:hAnsi="Arial" w:eastAsia="Times New Roman" w:cs="Arial"/>
          <w:color w:val="000000"/>
          <w:sz w:val="20"/>
          <w:szCs w:val="20"/>
          <w:lang w:eastAsia="es-ES_tradnl"/>
        </w:rPr>
      </w:pPr>
      <w:r>
        <w:rPr>
          <w:rFonts w:eastAsia="Times New Roman" w:cs="Arial" w:ascii="Arial" w:hAnsi="Arial"/>
          <w:color w:themeColor="text1" w:val="000000"/>
          <w:sz w:val="20"/>
          <w:szCs w:val="20"/>
          <w:lang w:eastAsia="es-ES_tradnl"/>
        </w:rPr>
        <w:t xml:space="preserve">Responder al cuestionario: </w:t>
      </w:r>
      <w:hyperlink r:id="rId2">
        <w:r>
          <w:rPr>
            <w:rStyle w:val="Hyperlink"/>
            <w:rFonts w:eastAsia="Times New Roman" w:cs="Arial" w:ascii="Arial" w:hAnsi="Arial"/>
            <w:sz w:val="20"/>
            <w:szCs w:val="20"/>
            <w:lang w:eastAsia="es-ES_tradnl"/>
          </w:rPr>
          <w:t>https://forms.office.com/e/0BxXUH4p9p</w:t>
        </w:r>
      </w:hyperlink>
      <w:r>
        <w:rPr>
          <w:rFonts w:eastAsia="Times New Roman" w:cs="Arial" w:ascii="Arial" w:hAnsi="Arial"/>
          <w:color w:themeColor="text1" w:val="000000"/>
          <w:sz w:val="20"/>
          <w:szCs w:val="20"/>
          <w:lang w:eastAsia="es-ES_tradnl"/>
        </w:rPr>
        <w:t xml:space="preserve"> </w:t>
      </w:r>
    </w:p>
    <w:p>
      <w:pPr>
        <w:pStyle w:val="Normal"/>
        <w:rPr>
          <w:rFonts w:ascii="Arial" w:hAnsi="Arial" w:eastAsia="Times New Roman" w:cs="Arial"/>
          <w:color w:val="000000"/>
          <w:sz w:val="20"/>
          <w:szCs w:val="20"/>
          <w:lang w:eastAsia="es-ES_tradnl"/>
        </w:rPr>
      </w:pPr>
      <w:r>
        <w:rPr>
          <w:rFonts w:eastAsia="Times New Roman" w:cs="Arial" w:ascii="Arial" w:hAnsi="Arial"/>
          <w:color w:themeColor="text1" w:val="000000"/>
          <w:sz w:val="20"/>
          <w:szCs w:val="20"/>
          <w:lang w:eastAsia="es-ES_tradnl"/>
        </w:rPr>
        <w:t>No olvides Hacer una captura de pantalla de la última pantalla del cuestionario para adjuntarlo al Word con el resto de las actividades.</w:t>
      </w:r>
    </w:p>
    <w:p>
      <w:pPr>
        <w:pStyle w:val="Normal"/>
        <w:rPr>
          <w:rFonts w:ascii="Arial" w:hAnsi="Arial" w:eastAsia="Times New Roman" w:cs="Arial"/>
          <w:color w:val="000000"/>
          <w:sz w:val="20"/>
          <w:szCs w:val="20"/>
          <w:lang w:eastAsia="es-ES_tradnl"/>
        </w:rPr>
      </w:pPr>
      <w:r>
        <w:rPr/>
      </w:r>
    </w:p>
    <w:p>
      <w:pPr>
        <w:pStyle w:val="Normal"/>
        <w:rPr>
          <w:rFonts w:ascii="Arial" w:hAnsi="Arial" w:eastAsia="Times New Roman" w:cs="Arial"/>
          <w:color w:val="000000"/>
          <w:sz w:val="20"/>
          <w:szCs w:val="20"/>
          <w:lang w:eastAsia="es-ES_tradn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00040" cy="300418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3"/>
                    <a:stretch>
                      <a:fillRect/>
                    </a:stretch>
                  </pic:blipFill>
                  <pic:spPr bwMode="auto">
                    <a:xfrm>
                      <a:off x="0" y="0"/>
                      <a:ext cx="5400040" cy="3004185"/>
                    </a:xfrm>
                    <a:prstGeom prst="rect">
                      <a:avLst/>
                    </a:prstGeom>
                    <a:noFill/>
                  </pic:spPr>
                </pic:pic>
              </a:graphicData>
            </a:graphic>
          </wp:anchor>
        </w:drawing>
      </w:r>
    </w:p>
    <w:p>
      <w:pPr>
        <w:pStyle w:val="Heading3"/>
        <w:spacing w:before="160" w:after="80"/>
        <w:rPr>
          <w:rFonts w:eastAsia="Times New Roman"/>
          <w:lang w:eastAsia="es-ES_tradnl"/>
        </w:rPr>
      </w:pPr>
      <w:r>
        <w:rPr/>
      </w:r>
    </w:p>
    <w:sectPr>
      <w:footerReference w:type="even" r:id="rId4"/>
      <w:footerReference w:type="default" r:id="rId5"/>
      <w:footerReference w:type="first" r:id="rId6"/>
      <w:type w:val="nextPage"/>
      <w:pgSz w:w="11906" w:h="16838"/>
      <w:pgMar w:left="1701" w:right="1701" w:gutter="0" w:header="0" w:top="1109" w:footer="708" w:bottom="14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Titillium Web">
    <w:charset w:val="00"/>
    <w:family w:val="auto"/>
    <w:pitch w:val="variable"/>
  </w:font>
  <w:font w:name="Aptos Display">
    <w:charset w:val="00"/>
    <w:family w:val="auto"/>
    <w:pitch w:val="variable"/>
  </w:font>
  <w:font w:name="Liberation Sans">
    <w:altName w:val="Arial"/>
    <w:charset w:val="00"/>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rStyle w:val="PageNumber"/>
      </w:rPr>
    </w:pPr>
    <w:r>
      <w:rPr/>
      <mc:AlternateContent>
        <mc:Choice Requires="wps">
          <w:drawing>
            <wp:anchor behindDoc="1" distT="0" distB="0" distL="0" distR="0" simplePos="0" locked="0" layoutInCell="0" allowOverlap="1" relativeHeight="11">
              <wp:simplePos x="0" y="0"/>
              <wp:positionH relativeFrom="margin">
                <wp:align>right</wp:align>
              </wp:positionH>
              <wp:positionV relativeFrom="paragraph">
                <wp:posOffset>635</wp:posOffset>
              </wp:positionV>
              <wp:extent cx="14605" cy="14605"/>
              <wp:effectExtent l="0" t="0" r="0" b="0"/>
              <wp:wrapNone/>
              <wp:docPr id="2" name="Marc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964919428"/>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Marco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964919428"/>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rStyle w:val="PageNumber"/>
      </w:rPr>
    </w:pPr>
    <w:r>
      <w:rPr/>
      <mc:AlternateContent>
        <mc:Choice Requires="wps">
          <w:drawing>
            <wp:anchor behindDoc="1" distT="0" distB="0" distL="0" distR="0" simplePos="0" locked="0" layoutInCell="0" allowOverlap="1" relativeHeight="8">
              <wp:simplePos x="0" y="0"/>
              <wp:positionH relativeFrom="margin">
                <wp:align>right</wp:align>
              </wp:positionH>
              <wp:positionV relativeFrom="paragraph">
                <wp:posOffset>635</wp:posOffset>
              </wp:positionV>
              <wp:extent cx="97790" cy="252730"/>
              <wp:effectExtent l="0" t="0" r="0" b="0"/>
              <wp:wrapNone/>
              <wp:docPr id="3" name="Marco2"/>
              <a:graphic xmlns:a="http://schemas.openxmlformats.org/drawingml/2006/main">
                <a:graphicData uri="http://schemas.microsoft.com/office/word/2010/wordprocessingShape">
                  <wps:wsp>
                    <wps:cNvSpPr/>
                    <wps:spPr>
                      <a:xfrm>
                        <a:off x="0" y="0"/>
                        <a:ext cx="97920" cy="25272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2019886923"/>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lIns="0" rIns="0" tIns="0" bIns="0" anchor="t">
                      <a:spAutoFit/>
                    </wps:bodyPr>
                  </wps:wsp>
                </a:graphicData>
              </a:graphic>
            </wp:anchor>
          </w:drawing>
        </mc:Choice>
        <mc:Fallback>
          <w:pict>
            <v:rect id="shape_0" ID="Marco2" path="m0,0l-2147483645,0l-2147483645,-2147483646l0,-2147483646xe" stroked="f" o:allowincell="f" style="position:absolute;margin-left:417.45pt;margin-top:0.05pt;width:7.65pt;height:19.85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2019886923"/>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rStyle w:val="PageNumber"/>
      </w:rPr>
    </w:pPr>
    <w:r>
      <w:rPr/>
      <mc:AlternateContent>
        <mc:Choice Requires="wps">
          <w:drawing>
            <wp:anchor behindDoc="1" distT="0" distB="0" distL="0" distR="0" simplePos="0" locked="0" layoutInCell="0" allowOverlap="1" relativeHeight="8">
              <wp:simplePos x="0" y="0"/>
              <wp:positionH relativeFrom="margin">
                <wp:align>right</wp:align>
              </wp:positionH>
              <wp:positionV relativeFrom="paragraph">
                <wp:posOffset>635</wp:posOffset>
              </wp:positionV>
              <wp:extent cx="97790" cy="252730"/>
              <wp:effectExtent l="0" t="0" r="0" b="0"/>
              <wp:wrapNone/>
              <wp:docPr id="4" name="Marco2"/>
              <a:graphic xmlns:a="http://schemas.openxmlformats.org/drawingml/2006/main">
                <a:graphicData uri="http://schemas.microsoft.com/office/word/2010/wordprocessingShape">
                  <wps:wsp>
                    <wps:cNvSpPr/>
                    <wps:spPr>
                      <a:xfrm>
                        <a:off x="0" y="0"/>
                        <a:ext cx="97920" cy="25272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2019886923"/>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lIns="0" rIns="0" tIns="0" bIns="0" anchor="t">
                      <a:spAutoFit/>
                    </wps:bodyPr>
                  </wps:wsp>
                </a:graphicData>
              </a:graphic>
            </wp:anchor>
          </w:drawing>
        </mc:Choice>
        <mc:Fallback>
          <w:pict>
            <v:rect id="shape_0" ID="Marco2" path="m0,0l-2147483645,0l-2147483645,-2147483646l0,-2147483646xe" stroked="f" o:allowincell="f" style="position:absolute;margin-left:417.45pt;margin-top:0.05pt;width:7.65pt;height:19.85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2019886923"/>
                    </w:sdtPr>
                    <w:sdt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9"/>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475e"/>
    <w:pPr>
      <w:widowControl/>
      <w:suppressAutoHyphens w:val="true"/>
      <w:bidi w:val="0"/>
      <w:spacing w:before="120" w:after="120"/>
      <w:jc w:val="left"/>
    </w:pPr>
    <w:rPr>
      <w:rFonts w:ascii="Titillium Web" w:hAnsi="Titillium Web" w:eastAsia="Aptos" w:cs=""/>
      <w:color w:themeColor="text1" w:val="000000"/>
      <w:kern w:val="0"/>
      <w:sz w:val="24"/>
      <w:szCs w:val="24"/>
      <w:lang w:val="es-ES" w:eastAsia="en-US" w:bidi="ar-SA"/>
    </w:rPr>
  </w:style>
  <w:style w:type="paragraph" w:styleId="Heading1">
    <w:name w:val="heading 1"/>
    <w:basedOn w:val="Normal"/>
    <w:next w:val="Normal"/>
    <w:link w:val="Ttulo1Car"/>
    <w:uiPriority w:val="9"/>
    <w:qFormat/>
    <w:rsid w:val="00b807b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b807b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unhideWhenUsed/>
    <w:qFormat/>
    <w:rsid w:val="00b807b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b807b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b807b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b807bc"/>
    <w:pPr>
      <w:keepNext w:val="true"/>
      <w:keepLines/>
      <w:spacing w:before="40" w:after="12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b807bc"/>
    <w:pPr>
      <w:keepNext w:val="true"/>
      <w:keepLines/>
      <w:spacing w:before="40" w:after="12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b807b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b807b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807b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b807b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qFormat/>
    <w:rsid w:val="00b807bc"/>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b807bc"/>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b807bc"/>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b807bc"/>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b807bc"/>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b807bc"/>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b807bc"/>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b807b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b807bc"/>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b807bc"/>
    <w:rPr>
      <w:i/>
      <w:iCs/>
      <w:color w:themeColor="text1" w:themeTint="bf" w:val="404040"/>
    </w:rPr>
  </w:style>
  <w:style w:type="character" w:styleId="IntenseEmphasis">
    <w:name w:val="Intense Emphasis"/>
    <w:basedOn w:val="DefaultParagraphFont"/>
    <w:uiPriority w:val="21"/>
    <w:qFormat/>
    <w:rsid w:val="00b807bc"/>
    <w:rPr>
      <w:i/>
      <w:iCs/>
      <w:color w:themeColor="accent1" w:themeShade="bf" w:val="0F4761"/>
    </w:rPr>
  </w:style>
  <w:style w:type="character" w:styleId="CitadestacadaCar" w:customStyle="1">
    <w:name w:val="Cita destacada Car"/>
    <w:basedOn w:val="DefaultParagraphFont"/>
    <w:link w:val="IntenseQuote"/>
    <w:uiPriority w:val="30"/>
    <w:qFormat/>
    <w:rsid w:val="00b807bc"/>
    <w:rPr>
      <w:i/>
      <w:iCs/>
      <w:color w:themeColor="accent1" w:themeShade="bf" w:val="0F4761"/>
    </w:rPr>
  </w:style>
  <w:style w:type="character" w:styleId="IntenseReference">
    <w:name w:val="Intense Reference"/>
    <w:basedOn w:val="DefaultParagraphFont"/>
    <w:uiPriority w:val="32"/>
    <w:qFormat/>
    <w:rsid w:val="00b807bc"/>
    <w:rPr>
      <w:b/>
      <w:bCs/>
      <w:smallCaps/>
      <w:color w:themeColor="accent1" w:themeShade="bf" w:val="0F4761"/>
      <w:spacing w:val="5"/>
    </w:rPr>
  </w:style>
  <w:style w:type="character" w:styleId="PiedepginaCar" w:customStyle="1">
    <w:name w:val="Pie de página Car"/>
    <w:basedOn w:val="DefaultParagraphFont"/>
    <w:uiPriority w:val="99"/>
    <w:qFormat/>
    <w:rsid w:val="00b807bc"/>
    <w:rPr>
      <w:rFonts w:ascii="Titillium Web" w:hAnsi="Titillium Web"/>
      <w:color w:themeColor="text1" w:val="000000"/>
      <w:sz w:val="28"/>
      <w:szCs w:val="22"/>
    </w:rPr>
  </w:style>
  <w:style w:type="character" w:styleId="PageNumber">
    <w:name w:val="page number"/>
    <w:basedOn w:val="DefaultParagraphFont"/>
    <w:uiPriority w:val="99"/>
    <w:semiHidden/>
    <w:unhideWhenUsed/>
    <w:rsid w:val="00b807bc"/>
    <w:rPr/>
  </w:style>
  <w:style w:type="character" w:styleId="EncabezadoCar" w:customStyle="1">
    <w:name w:val="Encabezado Car"/>
    <w:basedOn w:val="DefaultParagraphFont"/>
    <w:uiPriority w:val="99"/>
    <w:qFormat/>
    <w:rsid w:val="00962613"/>
    <w:rPr>
      <w:rFonts w:ascii="Titillium Web" w:hAnsi="Titillium Web"/>
      <w:color w:themeColor="text1" w:val="000000"/>
    </w:rPr>
  </w:style>
  <w:style w:type="character" w:styleId="InternetLink">
    <w:name w:val="Internet Link"/>
    <w:basedOn w:val="DefaultParagraphFont"/>
    <w:uiPriority w:val="99"/>
    <w:unhideWhenUsed/>
    <w:qFormat/>
    <w:rsid w:val="00bf42e5"/>
    <w:rPr>
      <w:color w:val="0000FF"/>
      <w:u w:val="single"/>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b807bc"/>
    <w:pPr>
      <w:spacing w:before="12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b807bc"/>
    <w:pPr>
      <w:spacing w:before="12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b807bc"/>
    <w:pPr>
      <w:spacing w:before="160" w:after="160"/>
      <w:jc w:val="center"/>
    </w:pPr>
    <w:rPr>
      <w:i/>
      <w:iCs/>
      <w:color w:themeColor="text1" w:themeTint="bf" w:val="404040"/>
    </w:rPr>
  </w:style>
  <w:style w:type="paragraph" w:styleId="ListParagraph">
    <w:name w:val="List Paragraph"/>
    <w:basedOn w:val="Normal"/>
    <w:uiPriority w:val="34"/>
    <w:qFormat/>
    <w:rsid w:val="00b807bc"/>
    <w:pPr>
      <w:spacing w:before="120" w:after="120"/>
      <w:ind w:left="720"/>
      <w:contextualSpacing/>
    </w:pPr>
    <w:rPr/>
  </w:style>
  <w:style w:type="paragraph" w:styleId="IntenseQuote">
    <w:name w:val="Intense Quote"/>
    <w:basedOn w:val="Normal"/>
    <w:next w:val="Normal"/>
    <w:link w:val="CitadestacadaCar"/>
    <w:uiPriority w:val="30"/>
    <w:qFormat/>
    <w:rsid w:val="00b807b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ceraypie">
    <w:name w:val="Cabecera y pie"/>
    <w:basedOn w:val="Normal"/>
    <w:qFormat/>
    <w:pPr/>
    <w:rPr/>
  </w:style>
  <w:style w:type="paragraph" w:styleId="Footer">
    <w:name w:val="footer"/>
    <w:basedOn w:val="Normal"/>
    <w:link w:val="PiedepginaCar"/>
    <w:uiPriority w:val="99"/>
    <w:unhideWhenUsed/>
    <w:rsid w:val="00b807bc"/>
    <w:pPr>
      <w:tabs>
        <w:tab w:val="clear" w:pos="708"/>
        <w:tab w:val="center" w:pos="4252" w:leader="none"/>
        <w:tab w:val="right" w:pos="8504" w:leader="none"/>
      </w:tabs>
      <w:spacing w:before="120" w:after="0"/>
    </w:pPr>
    <w:rPr/>
  </w:style>
  <w:style w:type="paragraph" w:styleId="Header">
    <w:name w:val="header"/>
    <w:basedOn w:val="Normal"/>
    <w:link w:val="EncabezadoCar"/>
    <w:uiPriority w:val="99"/>
    <w:unhideWhenUsed/>
    <w:rsid w:val="00962613"/>
    <w:pPr>
      <w:tabs>
        <w:tab w:val="clear" w:pos="708"/>
        <w:tab w:val="center" w:pos="4252" w:leader="none"/>
        <w:tab w:val="right" w:pos="8504" w:leader="none"/>
      </w:tabs>
      <w:spacing w:before="0" w:after="0"/>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ms.office.com/e/0BxXUH4p9p"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LibreOffice/24.8.2.1$Windows_X86_64 LibreOffice_project/0f794b6e29741098670a3b95d60478a65d05ef13</Application>
  <AppVersion>15.0000</AppVersion>
  <Pages>4</Pages>
  <Words>1038</Words>
  <Characters>5554</Characters>
  <CharactersWithSpaces>6560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2024-06-01T17:21:00Z</dcterms:created>
  <dc:creator>SONIA MARIA SANTOVENA CASAL</dc:creator>
  <dc:description/>
  <dc:language>es-ES</dc:language>
  <cp:lastModifiedBy/>
  <dcterms:modified xsi:type="dcterms:W3CDTF">2024-11-21T22:20:34Z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