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노바테크-약어-사전-및-정보-분류-안내"/>
      <w:r>
        <w:t xml:space="preserve">노바테크 약어 사전 및 정보 분류 안내</w:t>
      </w:r>
      <w:bookmarkEnd w:id="20"/>
    </w:p>
    <w:p>
      <w:pPr>
        <w:pStyle w:val="FirstParagraph"/>
      </w:pPr>
      <w:r>
        <w:t xml:space="preserve">본 문서는 사내에서 자주 쓰이는 약어, 용어, 그리고 정보 분류 체계를 정리합니다. 신입사원 온보딩 1주차에 1회 정독을 권장하며, 새 약어는 슬랙 #ops-glossary에 제안 후 본 문서에 반영됩니다. 마지막 업데이트: 2026-04-15.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정보-분류information-classification-가드레일-핵심"/>
      <w:r>
        <w:t xml:space="preserve">1. 정보 분류(Information Classification) — 가드레일 핵심</w:t>
      </w:r>
      <w:bookmarkEnd w:id="21"/>
    </w:p>
    <w:p>
      <w:pPr>
        <w:pStyle w:val="FirstParagraph"/>
      </w:pPr>
      <w:r>
        <w:t xml:space="preserve">모든 사내 정보는 다음 4단계 중 하나로 분류됩니다. 본 분류는 사내 문서 검색 도우미·메일 어시스턴트 등 자동화 시스템의 가드레일 기준이 되므로 정확히 숙지해야 합니다.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자동화 시스템 처리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C1 (최고 기밀)</w:t>
            </w:r>
          </w:p>
        </w:tc>
        <w:tc>
          <w:p>
            <w:pPr>
              <w:pStyle w:val="Compact"/>
              <w:jc w:val="left"/>
            </w:pPr>
            <w:r>
              <w:t xml:space="preserve">외부 유출 시 회사에 중대한 손해를 끼칠 수 있는 정보</w:t>
            </w:r>
          </w:p>
        </w:tc>
        <w:tc>
          <w:p>
            <w:pPr>
              <w:pStyle w:val="Compact"/>
              <w:jc w:val="left"/>
            </w:pPr>
            <w:r>
              <w:t xml:space="preserve">회사 분기·연간 매출, 주요 계약 금액, 임원 의사 결정 회의록, 인수합병 계획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즉시 차단</w:t>
            </w:r>
            <w:r>
              <w:t xml:space="preserve">. 답변 거부 후 담당자 직접 문의 안내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C2 (제한)</w:t>
            </w:r>
          </w:p>
        </w:tc>
        <w:tc>
          <w:p>
            <w:pPr>
              <w:pStyle w:val="Compact"/>
              <w:jc w:val="left"/>
            </w:pPr>
            <w:r>
              <w:t xml:space="preserve">외부 공개 전 단계의 정보</w:t>
            </w:r>
          </w:p>
        </w:tc>
        <w:tc>
          <w:p>
            <w:pPr>
              <w:pStyle w:val="Compact"/>
              <w:jc w:val="left"/>
            </w:pPr>
            <w:r>
              <w:t xml:space="preserve">고객사 계약 데이터, 미공개 제품 코드네임(예: 알파, 베타 등), 미공개 제품 로드맵, 인사 평가 정보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마스킹 후</w:t>
            </w:r>
            <w:r>
              <w:t xml:space="preserve"> </w:t>
            </w:r>
            <w:r>
              <w:t xml:space="preserve">답변. 코드네임은</w:t>
            </w:r>
            <w:r>
              <w:t xml:space="preserve"> </w:t>
            </w:r>
            <w:r>
              <w:t xml:space="preserve">“</w:t>
            </w:r>
            <w:r>
              <w:t xml:space="preserve">[프로젝트 X]</w:t>
            </w:r>
            <w:r>
              <w:t xml:space="preserve">”</w:t>
            </w:r>
            <w:r>
              <w:t xml:space="preserve"> </w:t>
            </w:r>
            <w:r>
              <w:t xml:space="preserve">형태로 가림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(사내 공개)</w:t>
            </w:r>
          </w:p>
        </w:tc>
        <w:tc>
          <w:p>
            <w:pPr>
              <w:pStyle w:val="Compact"/>
              <w:jc w:val="left"/>
            </w:pPr>
            <w:r>
              <w:t xml:space="preserve">사내 모든 임직원에게 공개된 정보</w:t>
            </w:r>
          </w:p>
        </w:tc>
        <w:tc>
          <w:p>
            <w:pPr>
              <w:pStyle w:val="Compact"/>
              <w:jc w:val="left"/>
            </w:pPr>
            <w:r>
              <w:t xml:space="preserve">HR 정책, 운영 매뉴얼, 온보딩 자료, 사내 위키 일반 페이지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자유롭게 답변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(외부 공개)</w:t>
            </w:r>
          </w:p>
        </w:tc>
        <w:tc>
          <w:p>
            <w:pPr>
              <w:pStyle w:val="Compact"/>
              <w:jc w:val="left"/>
            </w:pPr>
            <w:r>
              <w:t xml:space="preserve">회사 외부에 이미 공개된 정보</w:t>
            </w:r>
          </w:p>
        </w:tc>
        <w:tc>
          <w:p>
            <w:pPr>
              <w:pStyle w:val="Compact"/>
              <w:jc w:val="left"/>
            </w:pPr>
            <w:r>
              <w:t xml:space="preserve">공식 보도자료, 채용 공고, 공개 블로그 포스트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자유롭게 답변 가능</w:t>
            </w:r>
          </w:p>
        </w:tc>
      </w:tr>
    </w:tbl>
    <w:p>
      <w:pPr>
        <w:pStyle w:val="Heading3"/>
      </w:pPr>
      <w:bookmarkStart w:id="22" w:name="c1c2-키워드-트리거-자동화-시스템-참고용"/>
      <w:r>
        <w:t xml:space="preserve">C1·C2 키워드 트리거 (자동화 시스템 참고용)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C1 트리거: 매출, 영업이익, 분기 실적, 계약 금액, 임원 회의, 인수, 합병, 투자 유치 금액</w:t>
      </w:r>
    </w:p>
    <w:p>
      <w:pPr>
        <w:numPr>
          <w:ilvl w:val="0"/>
          <w:numId w:val="1001"/>
        </w:numPr>
        <w:pStyle w:val="Compact"/>
      </w:pPr>
      <w:r>
        <w:t xml:space="preserve">C2 트리거: 코드네임(알파·베타·감마·델타·엡실론), 미공개 제품, 미공개 로드맵, 고객사 명단, 평가 등급</w:t>
      </w:r>
    </w:p>
    <w:p>
      <w:pPr>
        <w:pStyle w:val="Heading3"/>
      </w:pPr>
      <w:bookmarkStart w:id="23" w:name="거부-메시지-시스템-표준"/>
      <w:r>
        <w:t xml:space="preserve">거부 메시지 (시스템 표준)</w:t>
      </w:r>
      <w:bookmarkEnd w:id="23"/>
    </w:p>
    <w:p>
      <w:pPr>
        <w:pStyle w:val="BlockText"/>
      </w:pPr>
      <w:r>
        <w:t xml:space="preserve">“</w:t>
      </w:r>
      <w:r>
        <w:t xml:space="preserve">이 질문은 비공개 정보(C1)를 포함합니다.</w:t>
      </w:r>
      <w:r>
        <w:t xml:space="preserve"> </w:t>
      </w:r>
      <w:r>
        <w:t xml:space="preserve">검색 도우미는 답을 보여드릴 수 없습니다.</w:t>
      </w:r>
      <w:r>
        <w:t xml:space="preserve"> </w:t>
      </w:r>
      <w:r>
        <w:t xml:space="preserve">담당자: HR(hr@novatech.example) 또는 본부장에게 직접 문의해 주세요.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사업제품-약어"/>
      <w:r>
        <w:t xml:space="preserve">2. 사업·제품 약어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풀이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Monthly Recurring Revenue</w:t>
            </w:r>
          </w:p>
        </w:tc>
        <w:tc>
          <w:p>
            <w:pPr>
              <w:pStyle w:val="Compact"/>
              <w:jc w:val="left"/>
            </w:pPr>
            <w:r>
              <w:t xml:space="preserve">월간 반복 매출. SaaS 사업의 핵심 지표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</w:t>
            </w:r>
          </w:p>
        </w:tc>
        <w:tc>
          <w:p>
            <w:pPr>
              <w:pStyle w:val="Compact"/>
              <w:jc w:val="left"/>
            </w:pPr>
            <w:r>
              <w:t xml:space="preserve">Annual Recurring Revenue</w:t>
            </w:r>
          </w:p>
        </w:tc>
        <w:tc>
          <w:p>
            <w:pPr>
              <w:pStyle w:val="Compact"/>
              <w:jc w:val="left"/>
            </w:pPr>
            <w:r>
              <w:t xml:space="preserve">연간 반복 매출. MRR × 12로 추정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ARPU</w:t>
            </w:r>
          </w:p>
        </w:tc>
        <w:tc>
          <w:p>
            <w:pPr>
              <w:pStyle w:val="Compact"/>
              <w:jc w:val="left"/>
            </w:pPr>
            <w:r>
              <w:t xml:space="preserve">Average Revenue Per User</w:t>
            </w:r>
          </w:p>
        </w:tc>
        <w:tc>
          <w:p>
            <w:pPr>
              <w:pStyle w:val="Compact"/>
              <w:jc w:val="left"/>
            </w:pPr>
            <w:r>
              <w:t xml:space="preserve">사용자 1인당 평균 매출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</w:t>
            </w:r>
          </w:p>
        </w:tc>
        <w:tc>
          <w:p>
            <w:pPr>
              <w:pStyle w:val="Compact"/>
              <w:jc w:val="left"/>
            </w:pPr>
            <w:r>
              <w:t xml:space="preserve">Lifetime Value</w:t>
            </w:r>
          </w:p>
        </w:tc>
        <w:tc>
          <w:p>
            <w:pPr>
              <w:pStyle w:val="Compact"/>
              <w:jc w:val="left"/>
            </w:pPr>
            <w:r>
              <w:t xml:space="preserve">고객 생애 가치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p>
            <w:pPr>
              <w:pStyle w:val="Compact"/>
              <w:jc w:val="left"/>
            </w:pPr>
            <w:r>
              <w:t xml:space="preserve">Customer Acquisition Cost</w:t>
            </w:r>
          </w:p>
        </w:tc>
        <w:tc>
          <w:p>
            <w:pPr>
              <w:pStyle w:val="Compact"/>
              <w:jc w:val="left"/>
            </w:pPr>
            <w:r>
              <w:t xml:space="preserve">신규 고객 1명 확보에 든 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NRR</w:t>
            </w:r>
          </w:p>
        </w:tc>
        <w:tc>
          <w:p>
            <w:pPr>
              <w:pStyle w:val="Compact"/>
              <w:jc w:val="left"/>
            </w:pPr>
            <w:r>
              <w:t xml:space="preserve">Net Revenue Retention</w:t>
            </w:r>
          </w:p>
        </w:tc>
        <w:tc>
          <w:p>
            <w:pPr>
              <w:pStyle w:val="Compact"/>
              <w:jc w:val="left"/>
            </w:pPr>
            <w:r>
              <w:t xml:space="preserve">순매출 유지율(기존 고객 기준 잔존·확장 매출)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GRR</w:t>
            </w:r>
          </w:p>
        </w:tc>
        <w:tc>
          <w:p>
            <w:pPr>
              <w:pStyle w:val="Compact"/>
              <w:jc w:val="left"/>
            </w:pPr>
            <w:r>
              <w:t xml:space="preserve">Gross Revenue Retention</w:t>
            </w:r>
          </w:p>
        </w:tc>
        <w:tc>
          <w:p>
            <w:pPr>
              <w:pStyle w:val="Compact"/>
              <w:jc w:val="left"/>
            </w:pPr>
            <w:r>
              <w:t xml:space="preserve">총매출 유지율(이탈만 반영, 확장 제외)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Churn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고객 이탈률(월 또는 연 단위)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TAM/SAM/SOM</w:t>
            </w:r>
          </w:p>
        </w:tc>
        <w:tc>
          <w:p>
            <w:pPr>
              <w:pStyle w:val="Compact"/>
              <w:jc w:val="left"/>
            </w:pPr>
            <w:r>
              <w:t xml:space="preserve">Total/Serviceable/Serviceable Obtainable Market</w:t>
            </w:r>
          </w:p>
        </w:tc>
        <w:tc>
          <w:p>
            <w:pPr>
              <w:pStyle w:val="Compact"/>
              <w:jc w:val="left"/>
            </w:pPr>
            <w:r>
              <w:t xml:space="preserve">전체·접근 가능·실제 도달 가능 시장 규모</w:t>
            </w:r>
          </w:p>
        </w:tc>
      </w:tr>
    </w:tbl>
    <w:p>
      <w:pPr>
        <w:pStyle w:val="Heading2"/>
      </w:pPr>
      <w:bookmarkStart w:id="25" w:name="조직운영-약어"/>
      <w:r>
        <w:t xml:space="preserve">3. 조직·운영 약어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풀이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OKR</w:t>
            </w:r>
          </w:p>
        </w:tc>
        <w:tc>
          <w:p>
            <w:pPr>
              <w:pStyle w:val="Compact"/>
              <w:jc w:val="left"/>
            </w:pPr>
            <w:r>
              <w:t xml:space="preserve">Objectives and Key Results</w:t>
            </w:r>
          </w:p>
        </w:tc>
        <w:tc>
          <w:p>
            <w:pPr>
              <w:pStyle w:val="Compact"/>
              <w:jc w:val="left"/>
            </w:pPr>
            <w:r>
              <w:t xml:space="preserve">분기 목표·핵심 결과 관리 체계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p>
            <w:pPr>
              <w:pStyle w:val="Compact"/>
              <w:jc w:val="left"/>
            </w:pPr>
            <w:r>
              <w:t xml:space="preserve">Key Performance Indicator</w:t>
            </w:r>
          </w:p>
        </w:tc>
        <w:tc>
          <w:p>
            <w:pPr>
              <w:pStyle w:val="Compact"/>
              <w:jc w:val="left"/>
            </w:pPr>
            <w:r>
              <w:t xml:space="preserve">핵심 성과 지표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1on1</w:t>
            </w:r>
          </w:p>
        </w:tc>
        <w:tc>
          <w:p>
            <w:pPr>
              <w:pStyle w:val="Compact"/>
              <w:jc w:val="left"/>
            </w:pPr>
            <w:r>
              <w:t xml:space="preserve">One-on-one</w:t>
            </w:r>
          </w:p>
        </w:tc>
        <w:tc>
          <w:p>
            <w:pPr>
              <w:pStyle w:val="Compact"/>
              <w:jc w:val="left"/>
            </w:pPr>
            <w:r>
              <w:t xml:space="preserve">매니저·팀원 정기 1:1 면담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OOO</w:t>
            </w:r>
          </w:p>
        </w:tc>
        <w:tc>
          <w:p>
            <w:pPr>
              <w:pStyle w:val="Compact"/>
              <w:jc w:val="left"/>
            </w:pPr>
            <w:r>
              <w:t xml:space="preserve">Out Of Office</w:t>
            </w:r>
          </w:p>
        </w:tc>
        <w:tc>
          <w:p>
            <w:pPr>
              <w:pStyle w:val="Compact"/>
              <w:jc w:val="left"/>
            </w:pPr>
            <w:r>
              <w:t xml:space="preserve">부재중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WFH</w:t>
            </w:r>
          </w:p>
        </w:tc>
        <w:tc>
          <w:p>
            <w:pPr>
              <w:pStyle w:val="Compact"/>
              <w:jc w:val="left"/>
            </w:pPr>
            <w:r>
              <w:t xml:space="preserve">Work From Home</w:t>
            </w:r>
          </w:p>
        </w:tc>
        <w:tc>
          <w:p>
            <w:pPr>
              <w:pStyle w:val="Compact"/>
              <w:jc w:val="left"/>
            </w:pPr>
            <w:r>
              <w:t xml:space="preserve">재택근무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p>
            <w:pPr>
              <w:pStyle w:val="Compact"/>
              <w:jc w:val="left"/>
            </w:pPr>
            <w:r>
              <w:t xml:space="preserve">Return To Office</w:t>
            </w:r>
          </w:p>
        </w:tc>
        <w:tc>
          <w:p>
            <w:pPr>
              <w:pStyle w:val="Compact"/>
              <w:jc w:val="left"/>
            </w:pPr>
            <w:r>
              <w:t xml:space="preserve">사무실 복귀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AAR</w:t>
            </w:r>
          </w:p>
        </w:tc>
        <w:tc>
          <w:p>
            <w:pPr>
              <w:pStyle w:val="Compact"/>
              <w:jc w:val="left"/>
            </w:pPr>
            <w:r>
              <w:t xml:space="preserve">After Action Review</w:t>
            </w:r>
          </w:p>
        </w:tc>
        <w:tc>
          <w:p>
            <w:pPr>
              <w:pStyle w:val="Compact"/>
              <w:jc w:val="left"/>
            </w:pPr>
            <w:r>
              <w:t xml:space="preserve">사후 회고</w:t>
            </w:r>
          </w:p>
        </w:tc>
      </w:tr>
    </w:tbl>
    <w:p>
      <w:pPr>
        <w:pStyle w:val="Heading2"/>
      </w:pPr>
      <w:bookmarkStart w:id="26" w:name="기술-약어"/>
      <w:r>
        <w:t xml:space="preserve">4. 기술 약어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풀이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  <w:tc>
          <w:p>
            <w:pPr>
              <w:pStyle w:val="Compact"/>
              <w:jc w:val="left"/>
            </w:pPr>
            <w:r>
              <w:t xml:space="preserve">검색 보강 생성. 외부 문서를 검색해 LLM 답변에 근거 제공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Large Language Model</w:t>
            </w:r>
          </w:p>
        </w:tc>
        <w:tc>
          <w:p>
            <w:pPr>
              <w:pStyle w:val="Compact"/>
              <w:jc w:val="left"/>
            </w:pPr>
            <w:r>
              <w:t xml:space="preserve">대규모 언어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  <w:tc>
          <w:p>
            <w:pPr>
              <w:pStyle w:val="Compact"/>
              <w:jc w:val="left"/>
            </w:pPr>
            <w:r>
              <w:t xml:space="preserve">모델·외부 도구 연결 표준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  <w:tc>
          <w:p>
            <w:pPr>
              <w:pStyle w:val="Compact"/>
              <w:jc w:val="left"/>
            </w:pPr>
            <w:r>
              <w:t xml:space="preserve">응용 프로그램 인터페이스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  <w:tc>
          <w:p>
            <w:pPr>
              <w:pStyle w:val="Compact"/>
              <w:jc w:val="left"/>
            </w:pPr>
            <w:r>
              <w:t xml:space="preserve">서비스 수준 합의서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Objective</w:t>
            </w:r>
          </w:p>
        </w:tc>
        <w:tc>
          <w:p>
            <w:pPr>
              <w:pStyle w:val="Compact"/>
              <w:jc w:val="left"/>
            </w:pPr>
            <w:r>
              <w:t xml:space="preserve">서비스 수준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p>
            <w:pPr>
              <w:pStyle w:val="Compact"/>
              <w:jc w:val="left"/>
            </w:pPr>
            <w:r>
              <w:t xml:space="preserve">Service Level Indicator</w:t>
            </w:r>
          </w:p>
        </w:tc>
        <w:tc>
          <w:p>
            <w:pPr>
              <w:pStyle w:val="Compact"/>
              <w:jc w:val="left"/>
            </w:pPr>
            <w:r>
              <w:t xml:space="preserve">서비스 수준 지표(측정값)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p>
            <w:pPr>
              <w:pStyle w:val="Compact"/>
              <w:jc w:val="left"/>
            </w:pPr>
            <w:r>
              <w:t xml:space="preserve">Single Sign-On</w:t>
            </w:r>
          </w:p>
        </w:tc>
        <w:tc>
          <w:p>
            <w:pPr>
              <w:pStyle w:val="Compact"/>
              <w:jc w:val="left"/>
            </w:pPr>
            <w:r>
              <w:t xml:space="preserve">통합 인증</w:t>
            </w:r>
          </w:p>
        </w:tc>
      </w:tr>
    </w:tbl>
    <w:p>
      <w:pPr>
        <w:pStyle w:val="Heading2"/>
      </w:pPr>
      <w:bookmarkStart w:id="27" w:name="hr복리-약어"/>
      <w:r>
        <w:t xml:space="preserve">5. HR·복리 약어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풀이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FTE</w:t>
            </w:r>
          </w:p>
        </w:tc>
        <w:tc>
          <w:p>
            <w:pPr>
              <w:pStyle w:val="Compact"/>
              <w:jc w:val="left"/>
            </w:pPr>
            <w:r>
              <w:t xml:space="preserve">Full-Time Equivalent</w:t>
            </w:r>
          </w:p>
        </w:tc>
        <w:tc>
          <w:p>
            <w:pPr>
              <w:pStyle w:val="Compact"/>
              <w:jc w:val="left"/>
            </w:pPr>
            <w:r>
              <w:t xml:space="preserve">정규직 환산 인원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PTO</w:t>
            </w:r>
          </w:p>
        </w:tc>
        <w:tc>
          <w:p>
            <w:pPr>
              <w:pStyle w:val="Compact"/>
              <w:jc w:val="left"/>
            </w:pPr>
            <w:r>
              <w:t xml:space="preserve">Paid Time Off</w:t>
            </w:r>
          </w:p>
        </w:tc>
        <w:tc>
          <w:p>
            <w:pPr>
              <w:pStyle w:val="Compact"/>
              <w:jc w:val="left"/>
            </w:pPr>
            <w:r>
              <w:t xml:space="preserve">유급 휴가(연차+병가 등 통칭, 일부 외국계 표현)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ESOP</w:t>
            </w:r>
          </w:p>
        </w:tc>
        <w:tc>
          <w:p>
            <w:pPr>
              <w:pStyle w:val="Compact"/>
              <w:jc w:val="left"/>
            </w:pPr>
            <w:r>
              <w:t xml:space="preserve">Employee Stock Ownership Plan</w:t>
            </w:r>
          </w:p>
        </w:tc>
        <w:tc>
          <w:p>
            <w:pPr>
              <w:pStyle w:val="Compact"/>
              <w:jc w:val="left"/>
            </w:pPr>
            <w:r>
              <w:t xml:space="preserve">우리사주제도. 노바테크는 미운영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RSU</w:t>
            </w:r>
          </w:p>
        </w:tc>
        <w:tc>
          <w:p>
            <w:pPr>
              <w:pStyle w:val="Compact"/>
              <w:jc w:val="left"/>
            </w:pPr>
            <w:r>
              <w:t xml:space="preserve">Restricted Stock Units</w:t>
            </w:r>
          </w:p>
        </w:tc>
        <w:tc>
          <w:p>
            <w:pPr>
              <w:pStyle w:val="Compact"/>
              <w:jc w:val="left"/>
            </w:pPr>
            <w:r>
              <w:t xml:space="preserve">양도제한조건부주식. 노바테크는 미운영</w:t>
            </w:r>
          </w:p>
        </w:tc>
      </w:tr>
    </w:tbl>
    <w:p>
      <w:pPr>
        <w:pStyle w:val="BlockText"/>
      </w:pPr>
      <w:r>
        <w:rPr>
          <w:b/>
        </w:rPr>
        <w:t xml:space="preserve">주의</w:t>
      </w:r>
      <w:r>
        <w:t xml:space="preserve">: ESOP·RSU 등 주식 보상 정책은 현재 노바테크에서 운영하지 않습니다. 도입 시점은 미정이며, 관련 문의는 HR 담당자에게 직접 해주세요.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2026-05-04T00:56:41Z</dcterms:created>
  <dcterms:modified xsi:type="dcterms:W3CDTF">2026-05-04T00:56:41Z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