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연차 유급휴가 정책</w:t>
      </w:r>
    </w:p>
    <w:p>
      <w:r>
        <w:rPr>
          <w:rFonts w:ascii="맑은 고딕" w:hAnsi="맑은 고딕" w:eastAsia="맑은 고딕"/>
          <w:b w:val="0"/>
          <w:sz w:val="22"/>
        </w:rPr>
        <w:t>문서번호: HR-2026-002  |  분류: Internal  |  최종 개정: 2026-01-10  |  소관: HR팀</w:t>
      </w:r>
    </w:p>
    <w:p>
      <w:r>
        <w:rPr>
          <w:rFonts w:ascii="맑은 고딕" w:hAnsi="맑은 고딕" w:eastAsia="맑은 고딕"/>
          <w:b w:val="0"/>
          <w:sz w:val="22"/>
        </w:rPr>
        <w:t>본 정책은 임직원의 연차 유급휴가 발생·사용·정산 절차를 정합니다. 근로기준법 제60조를 준거로 하며, 회사는 법정 한도 이상의 휴가는 별도 운영하지 않는다.</w:t>
      </w:r>
    </w:p>
    <w:p>
      <w:pPr>
        <w:pStyle w:val="Heading1"/>
      </w:pPr>
      <w:r>
        <w:rPr>
          <w:rFonts w:ascii="맑은 고딕" w:hAnsi="맑은 고딕" w:eastAsia="맑은 고딕"/>
        </w:rPr>
        <w:t>제1조 (연차 발생)</w:t>
      </w:r>
    </w:p>
    <w:p>
      <w:r>
        <w:rPr>
          <w:rFonts w:ascii="맑은 고딕" w:hAnsi="맑은 고딕" w:eastAsia="맑은 고딕"/>
          <w:b w:val="0"/>
          <w:sz w:val="22"/>
        </w:rPr>
        <w:t>① 입사 1년 미만 임직원: 1개월 만근 시 다음 달 1일에 1일씩 발생한다(최대 11일).</w:t>
      </w:r>
    </w:p>
    <w:p>
      <w:r>
        <w:rPr>
          <w:rFonts w:ascii="맑은 고딕" w:hAnsi="맑은 고딕" w:eastAsia="맑은 고딕"/>
          <w:b w:val="0"/>
          <w:sz w:val="22"/>
        </w:rPr>
        <w:t>② 입사 1년 이상 임직원: 매년 입사월에 15일이 일괄 발생한다.</w:t>
      </w:r>
    </w:p>
    <w:p>
      <w:r>
        <w:rPr>
          <w:rFonts w:ascii="맑은 고딕" w:hAnsi="맑은 고딕" w:eastAsia="맑은 고딕"/>
          <w:b w:val="0"/>
          <w:sz w:val="22"/>
        </w:rPr>
        <w:t>③ 근속 2년마다 1일씩 가산되며, 가산 한도는 25일이다(즉, 근속 21년 이상 시 25일 고정).</w:t>
      </w:r>
    </w:p>
    <w:p>
      <w:r>
        <w:rPr>
          <w:rFonts w:ascii="맑은 고딕" w:hAnsi="맑은 고딕" w:eastAsia="맑은 고딕"/>
          <w:b w:val="0"/>
          <w:sz w:val="22"/>
        </w:rPr>
        <w:t>④ 출근율이 80% 미만인 해는 다음 해 연차가 발생하지 않는다(법정 기준).</w:t>
      </w:r>
    </w:p>
    <w:p>
      <w:pPr>
        <w:pStyle w:val="Heading1"/>
      </w:pPr>
      <w:r>
        <w:rPr>
          <w:rFonts w:ascii="맑은 고딕" w:hAnsi="맑은 고딕" w:eastAsia="맑은 고딕"/>
        </w:rPr>
        <w:t>제2조 (연차 사용)</w:t>
      </w:r>
    </w:p>
    <w:p>
      <w:r>
        <w:rPr>
          <w:rFonts w:ascii="맑은 고딕" w:hAnsi="맑은 고딕" w:eastAsia="맑은 고딕"/>
          <w:b w:val="0"/>
          <w:sz w:val="22"/>
        </w:rPr>
        <w:t>① 임직원은 사내 HR 시스템에서 사용 희망일 3영업일 전까지 신청한다(긴급 상황 제외).</w:t>
      </w:r>
    </w:p>
    <w:p>
      <w:r>
        <w:rPr>
          <w:rFonts w:ascii="맑은 고딕" w:hAnsi="맑은 고딕" w:eastAsia="맑은 고딕"/>
          <w:b w:val="0"/>
          <w:sz w:val="22"/>
        </w:rPr>
        <w:t>② 매니저는 신청을 가능한 한 승인하되, 업무 공백이 큰 경우 시기를 협의 변경할 수 있다.</w:t>
      </w:r>
    </w:p>
    <w:p>
      <w:r>
        <w:rPr>
          <w:rFonts w:ascii="맑은 고딕" w:hAnsi="맑은 고딕" w:eastAsia="맑은 고딕"/>
          <w:b w:val="0"/>
          <w:sz w:val="22"/>
        </w:rPr>
        <w:t>③ 반차(0.5일) 또는 반반차(0.25일) 단위 사용이 가능하다.</w:t>
      </w:r>
    </w:p>
    <w:p>
      <w:pPr>
        <w:pStyle w:val="Heading1"/>
      </w:pPr>
      <w:r>
        <w:rPr>
          <w:rFonts w:ascii="맑은 고딕" w:hAnsi="맑은 고딕" w:eastAsia="맑은 고딕"/>
        </w:rPr>
        <w:t>제3조 (연차 사용 촉진제)</w:t>
      </w:r>
    </w:p>
    <w:p>
      <w:r>
        <w:rPr>
          <w:rFonts w:ascii="맑은 고딕" w:hAnsi="맑은 고딕" w:eastAsia="맑은 고딕"/>
          <w:b w:val="0"/>
          <w:sz w:val="22"/>
        </w:rPr>
        <w:t>① 회사는 매년 7월(1차)과 10월(2차)에 미사용 연차에 대한 사용 촉진을 통지한다.</w:t>
      </w:r>
    </w:p>
    <w:p>
      <w:r>
        <w:rPr>
          <w:rFonts w:ascii="맑은 고딕" w:hAnsi="맑은 고딕" w:eastAsia="맑은 고딕"/>
          <w:b w:val="0"/>
          <w:sz w:val="22"/>
        </w:rPr>
        <w:t>② 1차 통지: 사용 가능 잔여 일수와 사용 계획 제출 요청.</w:t>
      </w:r>
    </w:p>
    <w:p>
      <w:r>
        <w:rPr>
          <w:rFonts w:ascii="맑은 고딕" w:hAnsi="맑은 고딕" w:eastAsia="맑은 고딕"/>
          <w:b w:val="0"/>
          <w:sz w:val="22"/>
        </w:rPr>
        <w:t>③ 2차 통지: 미제출 또는 미사용 일수에 대해 회사가 사용일을 지정 통보한다.</w:t>
      </w:r>
    </w:p>
    <w:p>
      <w:r>
        <w:rPr>
          <w:rFonts w:ascii="맑은 고딕" w:hAnsi="맑은 고딕" w:eastAsia="맑은 고딕"/>
          <w:b w:val="0"/>
          <w:sz w:val="22"/>
        </w:rPr>
        <w:t>④ 위 절차를 모두 거친 후에도 미사용된 연차에 대해서는 미사용 수당을 지급하지 않는다(법정 사용 촉진제 효력).</w:t>
      </w:r>
    </w:p>
    <w:p>
      <w:pPr>
        <w:pStyle w:val="Heading1"/>
      </w:pPr>
      <w:r>
        <w:rPr>
          <w:rFonts w:ascii="맑은 고딕" w:hAnsi="맑은 고딕" w:eastAsia="맑은 고딕"/>
        </w:rPr>
        <w:t>제4조 (미사용 연차 보상)</w:t>
      </w:r>
    </w:p>
    <w:p>
      <w:r>
        <w:rPr>
          <w:rFonts w:ascii="맑은 고딕" w:hAnsi="맑은 고딕" w:eastAsia="맑은 고딕"/>
          <w:b w:val="0"/>
          <w:sz w:val="22"/>
        </w:rPr>
        <w:t>① 사용 촉진제를 적용하지 않은 경우, 회계연도 종료 시 미사용 연차는 통상임금 100%로 보상한다.</w:t>
      </w:r>
    </w:p>
    <w:p>
      <w:r>
        <w:rPr>
          <w:rFonts w:ascii="맑은 고딕" w:hAnsi="맑은 고딕" w:eastAsia="맑은 고딕"/>
          <w:b w:val="0"/>
          <w:sz w:val="22"/>
        </w:rPr>
        <w:t>② 퇴직 시 잔여 미사용 연차는 일괄 보상한다.</w:t>
      </w:r>
    </w:p>
    <w:p>
      <w:pPr>
        <w:pStyle w:val="Heading1"/>
      </w:pPr>
      <w:r>
        <w:rPr>
          <w:rFonts w:ascii="맑은 고딕" w:hAnsi="맑은 고딕" w:eastAsia="맑은 고딕"/>
        </w:rPr>
        <w:t>제5조 (특별휴가)</w:t>
      </w:r>
    </w:p>
    <w:p>
      <w:r>
        <w:rPr>
          <w:rFonts w:ascii="맑은 고딕" w:hAnsi="맑은 고딕" w:eastAsia="맑은 고딕"/>
          <w:b w:val="0"/>
          <w:sz w:val="22"/>
        </w:rPr>
        <w:t>① 본인 결혼: 5일</w:t>
      </w:r>
    </w:p>
    <w:p>
      <w:r>
        <w:rPr>
          <w:rFonts w:ascii="맑은 고딕" w:hAnsi="맑은 고딕" w:eastAsia="맑은 고딕"/>
          <w:b w:val="0"/>
          <w:sz w:val="22"/>
        </w:rPr>
        <w:t>② 자녀 결혼: 1일</w:t>
      </w:r>
    </w:p>
    <w:p>
      <w:r>
        <w:rPr>
          <w:rFonts w:ascii="맑은 고딕" w:hAnsi="맑은 고딕" w:eastAsia="맑은 고딕"/>
          <w:b w:val="0"/>
          <w:sz w:val="22"/>
        </w:rPr>
        <w:t>③ 부모·배우자·자녀 사망: 5일</w:t>
      </w:r>
    </w:p>
    <w:p>
      <w:r>
        <w:rPr>
          <w:rFonts w:ascii="맑은 고딕" w:hAnsi="맑은 고딕" w:eastAsia="맑은 고딕"/>
          <w:b w:val="0"/>
          <w:sz w:val="22"/>
        </w:rPr>
        <w:t>④ 조부모·외조부모·형제자매 사망: 3일</w:t>
      </w:r>
    </w:p>
    <w:p>
      <w:r>
        <w:rPr>
          <w:rFonts w:ascii="맑은 고딕" w:hAnsi="맑은 고딕" w:eastAsia="맑은 고딕"/>
          <w:b w:val="0"/>
          <w:sz w:val="22"/>
        </w:rPr>
        <w:t>⑤ 본인·배우자 출산(여성 본인 출산은 출산휴가 별도 적용): 위 출산휴가 정책 참조</w:t>
      </w:r>
    </w:p>
    <w:p>
      <w:pPr>
        <w:pStyle w:val="Heading1"/>
      </w:pPr>
      <w:r>
        <w:rPr>
          <w:rFonts w:ascii="맑은 고딕" w:hAnsi="맑은 고딕" w:eastAsia="맑은 고딕"/>
        </w:rPr>
        <w:t>제6조 (문의처)</w:t>
      </w:r>
    </w:p>
    <w:p>
      <w:r>
        <w:rPr>
          <w:rFonts w:ascii="맑은 고딕" w:hAnsi="맑은 고딕" w:eastAsia="맑은 고딕"/>
          <w:b w:val="0"/>
          <w:sz w:val="22"/>
        </w:rPr>
        <w:t>HR팀: hr@novatech.example  |  내선 1100  |  슬랙 #ask-hr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