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0A88C9"/>
          <w:sz w:val="56"/>
        </w:rPr>
        <w:t>VITALITTY</w:t>
      </w:r>
    </w:p>
    <w:p>
      <w:pPr>
        <w:jc w:val="center"/>
      </w:pPr>
      <w:r>
        <w:rPr>
          <w:b/>
          <w:color w:val="1F4E79"/>
          <w:sz w:val="46"/>
        </w:rPr>
        <w:t>COMPENDIO CIENTÍFICO PUBMED</w:t>
      </w:r>
    </w:p>
    <w:p>
      <w:pPr>
        <w:jc w:val="center"/>
      </w:pPr>
      <w:r>
        <w:rPr>
          <w:color w:val="666666"/>
          <w:sz w:val="22"/>
        </w:rPr>
        <w:t>Nutrición · composición corporal · rendimiento · salud hormonal · microbiota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5FB"/>
          </w:tcPr>
          <w:p>
            <w:r>
              <w:rPr>
                <w:b/>
              </w:rPr>
            </w:r>
            <w:r>
              <w:rPr>
                <w:b/>
              </w:rPr>
              <w:t>Actualización</w:t>
            </w:r>
          </w:p>
        </w:tc>
        <w:tc>
          <w:tcPr>
            <w:tcW w:type="dxa" w:w="5100"/>
          </w:tcPr>
          <w:p>
            <w:r/>
            <w:r>
              <w:t>30 de septiembre de 2026</w:t>
            </w:r>
          </w:p>
        </w:tc>
      </w:tr>
      <w:tr>
        <w:tc>
          <w:tcPr>
            <w:tcW w:type="dxa" w:w="5100"/>
            <w:shd w:fill="EAF5FB"/>
          </w:tcPr>
          <w:p>
            <w:r>
              <w:rPr>
                <w:b/>
              </w:rPr>
            </w:r>
            <w:r>
              <w:rPr>
                <w:b/>
              </w:rPr>
              <w:t>Referencias PubMed únicas</w:t>
            </w:r>
          </w:p>
        </w:tc>
        <w:tc>
          <w:tcPr>
            <w:tcW w:type="dxa" w:w="5100"/>
          </w:tcPr>
          <w:p>
            <w:r/>
            <w:r>
              <w:t>68</w:t>
            </w:r>
          </w:p>
        </w:tc>
      </w:tr>
      <w:tr>
        <w:tc>
          <w:tcPr>
            <w:tcW w:type="dxa" w:w="5100"/>
            <w:shd w:fill="EAF5FB"/>
          </w:tcPr>
          <w:p>
            <w:r>
              <w:rPr>
                <w:b/>
              </w:rPr>
            </w:r>
            <w:r>
              <w:rPr>
                <w:b/>
              </w:rPr>
              <w:t>Uso</w:t>
            </w:r>
          </w:p>
        </w:tc>
        <w:tc>
          <w:tcPr>
            <w:tcW w:type="dxa" w:w="5100"/>
          </w:tcPr>
          <w:p>
            <w:r/>
            <w:r>
              <w:t>Biblioteca interna del Editor Vitalitty</w:t>
            </w:r>
          </w:p>
        </w:tc>
      </w:tr>
    </w:tbl>
    <w:p>
      <w:r>
        <w:br/>
      </w:r>
    </w:p>
    <w:p>
      <w:pPr>
        <w:jc w:val="center"/>
      </w:pPr>
      <w:r>
        <w:rPr>
          <w:i/>
          <w:color w:val="666666"/>
          <w:sz w:val="18"/>
        </w:rPr>
        <w:t>Criterio de inclusión: prioridad a metaanálisis, revisiones sistemáticas, umbrella reviews, position stands y RCTs relevantes indexados en PubMed.</w:t>
      </w:r>
    </w:p>
    <w:p>
      <w:pPr>
        <w:jc w:val="center"/>
      </w:pPr>
      <w:r>
        <w:rPr>
          <w:b/>
          <w:color w:val="1F4E79"/>
        </w:rPr>
        <w:t>Los enlaces incluidos son clicables y dirigen directamente a PubMed.</w:t>
      </w:r>
    </w:p>
    <w:p>
      <w:r>
        <w:br w:type="page"/>
      </w:r>
    </w:p>
    <w:p>
      <w:pPr>
        <w:pStyle w:val="Heading1"/>
      </w:pPr>
      <w:r>
        <w:t>Índice de contenidos</w:t>
      </w:r>
    </w:p>
    <w:p>
      <w:pPr>
        <w:pStyle w:val="ListBullet"/>
      </w:pPr>
      <w:r>
        <w:t>Parte I — Hipertrofia, entrenamiento, microbiota, PMS, dismenorrea y retención de líquidos</w:t>
      </w:r>
    </w:p>
    <w:p>
      <w:pPr>
        <w:pStyle w:val="ListBullet"/>
      </w:pPr>
      <w:r>
        <w:t>Parte II — Recomposición corporal, pérdida de grasa, salud hormonal, menopausia, estrés, cortisol y sueño</w:t>
      </w:r>
    </w:p>
    <w:p>
      <w:pPr>
        <w:pStyle w:val="ListBullet"/>
      </w:pPr>
      <w:r>
        <w:t>Anexo — Índice consolidado de PMIDs y enlaces directos a PubMed</w:t>
      </w:r>
    </w:p>
    <w:p>
      <w:pPr>
        <w:sectPr>
          <w:footerReference w:type="default" r:id="rId9"/>
          <w:pgSz w:w="12240" w:h="15840"/>
          <w:pgMar w:top="964" w:right="1020" w:bottom="907" w:left="1020" w:header="397" w:footer="397" w:gutter="0"/>
          <w:cols w:space="720"/>
          <w:docGrid w:linePitch="360"/>
        </w:sectPr>
      </w:pPr>
    </w:p>
    <w:p>
      <w:pPr>
        <w:pStyle w:val="Title"/>
      </w:pPr>
      <w:r>
        <w:t>PARTE I</w:t>
      </w:r>
    </w:p>
    <w:p>
      <w:r>
        <w:rPr>
          <w:b/>
        </w:rPr>
        <w:t>Hipertrofia · Microbiota · Inflamación/PMS/Retención de líquidos</w:t>
      </w:r>
    </w:p>
    <w:p>
      <w:pPr>
        <w:pStyle w:val="Heading1"/>
      </w:pPr>
      <w:r>
        <w:t>VITALITTY — Base científica 01</w:t>
      </w:r>
    </w:p>
    <w:p>
      <w:pPr>
        <w:pStyle w:val="Heading2"/>
      </w:pPr>
      <w:r>
        <w:t>Hipertrofia · Microbiota · Inflamación/PMS/Retención de líquidos</w:t>
      </w:r>
    </w:p>
    <w:p>
      <w:r>
        <w:rPr>
          <w:b/>
        </w:rPr>
        <w:t>Fecha de actualización:</w:t>
      </w:r>
      <w:r>
        <w:t xml:space="preserve"> 5 septiembre 2026</w:t>
      </w:r>
    </w:p>
    <w:p>
      <w:r>
        <w:rPr>
          <w:b/>
        </w:rPr>
        <w:t>Uso:</w:t>
      </w:r>
      <w:r>
        <w:t xml:space="preserve"> fuente interna para el Editor Vitalitty.</w:t>
      </w:r>
    </w:p>
    <w:p>
      <w:r>
        <w:rPr>
          <w:b/>
        </w:rPr>
        <w:t>Criterio de inclusión:</w:t>
      </w:r>
      <w:r>
        <w:t xml:space="preserve"> prioridad a metaanálisis, revisiones sistemáticas, umbrella reviews y RCTs relevantes indexados en PubMed.</w:t>
      </w:r>
    </w:p>
    <w:p>
      <w:r>
        <w:rPr>
          <w:b/>
        </w:rPr>
        <w:t>Regla editorial:</w:t>
      </w:r>
      <w:r>
        <w:t xml:space="preserve"> no convertir asociaciones o resultados de baja certeza en recomendaciones automáticas. Diferenciar siempre población, intervención, resultado clínico y limitaciones.</w:t>
      </w:r>
    </w:p>
    <w:p>
      <w:pPr>
        <w:pStyle w:val="Heading1"/>
      </w:pPr>
      <w:r>
        <w:t>1. HIPERTROFIA / GANANCIA DE MASA MUSCULAR</w:t>
      </w:r>
    </w:p>
    <w:p>
      <w:pPr>
        <w:pStyle w:val="Heading2"/>
      </w:pPr>
      <w:r>
        <w:t>H1 — Volumen y frecuencia de entrenamiento</w:t>
      </w:r>
    </w:p>
    <w:p>
      <w:r>
        <w:rPr>
          <w:b/>
        </w:rPr>
        <w:t>Referencia:</w:t>
      </w:r>
      <w:r>
        <w:t xml:space="preserve"> Pelland JC et al. </w:t>
      </w:r>
      <w:r>
        <w:rPr>
          <w:i/>
        </w:rPr>
        <w:t>The Resistance Training Dose Response: Meta-Regressions Exploring the Effects of Weekly Volume and Frequency on Muscle Hypertrophy and Strength Gains.</w:t>
      </w:r>
      <w:r>
        <w:t xml:space="preserve"> Sports Medicine. 2026.</w:t>
      </w:r>
    </w:p>
    <w:p>
      <w:r>
        <w:rPr>
          <w:b/>
        </w:rPr>
        <w:t>PMID:</w:t>
      </w:r>
      <w:r>
        <w:t xml:space="preserve"> 41343037</w:t>
      </w:r>
    </w:p>
    <w:p>
      <w:r>
        <w:rPr>
          <w:b/>
        </w:rPr>
        <w:t>Tipo:</w:t>
      </w:r>
      <w:r>
        <w:t xml:space="preserve"> metaanálisis + metarregresión.</w:t>
      </w:r>
    </w:p>
    <w:p>
      <w:r>
        <w:rPr>
          <w:b/>
        </w:rPr>
        <w:t>Muestra:</w:t>
      </w:r>
      <w:r>
        <w:t xml:space="preserve"> 67 estudios; 2.058 participantes.</w:t>
      </w:r>
    </w:p>
    <w:p>
      <w:r>
        <w:rPr>
          <w:b/>
        </w:rPr>
        <w:t>Hallazgo clave:</w:t>
      </w:r>
      <w:r>
        <w:t xml:space="preserve"> el volumen semanal muestra relación dosis-respuesta con hipertrofia, con rendimientos decrecientes. La frecuencia, aislada del volumen, parece menos determinante para hipertrofia. La contabilización de series directas e indirectas importa.</w:t>
      </w:r>
    </w:p>
    <w:p>
      <w:r>
        <w:rPr>
          <w:b/>
        </w:rPr>
        <w:t>Aplicación Vitalitty:</w:t>
      </w:r>
      <w:r>
        <w:t xml:space="preserve"> priorizar volumen semanal suficiente y progresable; evitar fijar una frecuencia universal sin considerar volumen, tolerancia y adherencia.</w:t>
      </w:r>
    </w:p>
    <w:p>
      <w:r>
        <w:rPr>
          <w:b/>
        </w:rPr>
        <w:t>Enlace:</w:t>
      </w:r>
      <w:r>
        <w:t xml:space="preserve"> </w:t>
      </w:r>
      <w:hyperlink r:id="rId10">
        <w:r>
          <w:rPr>
            <w:color w:val="0563C1"/>
            <w:u w:val="single"/>
          </w:rPr>
          <w:t>https://pubmed.ncbi.nlm.nih.gov/41343037/</w:t>
        </w:r>
      </w:hyperlink>
    </w:p>
    <w:p>
      <w:pPr>
        <w:pStyle w:val="Heading2"/>
      </w:pPr>
      <w:r>
        <w:t>H2 — Variables de entrenamiento para hipertrofia</w:t>
      </w:r>
    </w:p>
    <w:p>
      <w:r>
        <w:rPr>
          <w:b/>
        </w:rPr>
        <w:t>Referencia:</w:t>
      </w:r>
      <w:r>
        <w:t xml:space="preserve"> Bernárdez-Vázquez R et al. </w:t>
      </w:r>
      <w:r>
        <w:rPr>
          <w:i/>
        </w:rPr>
        <w:t>Resistance Training Variables for Optimization of Muscle Hypertrophy: An Umbrella Review.</w:t>
      </w:r>
      <w:r>
        <w:t xml:space="preserve"> 2022.</w:t>
      </w:r>
    </w:p>
    <w:p>
      <w:r>
        <w:rPr>
          <w:b/>
        </w:rPr>
        <w:t>PMID:</w:t>
      </w:r>
      <w:r>
        <w:t xml:space="preserve"> 35873210</w:t>
      </w:r>
    </w:p>
    <w:p>
      <w:r>
        <w:rPr>
          <w:b/>
        </w:rPr>
        <w:t>Tipo:</w:t>
      </w:r>
      <w:r>
        <w:t xml:space="preserve"> umbrella review.</w:t>
      </w:r>
    </w:p>
    <w:p>
      <w:r>
        <w:rPr>
          <w:b/>
        </w:rPr>
        <w:t>Base:</w:t>
      </w:r>
      <w:r>
        <w:t xml:space="preserve"> 14 metaanálisis; 178 estudios primarios; 4.784 participantes.</w:t>
      </w:r>
    </w:p>
    <w:p>
      <w:r>
        <w:rPr>
          <w:b/>
        </w:rPr>
        <w:t>Hallazgo clave:</w:t>
      </w:r>
      <w:r>
        <w:t xml:space="preserve"> múltiples variables contribuyen, pero el volumen semanal es una de las más relevantes; cargas muy variadas pueden hipertrofiar; tempos extremadamente lentos no parecen ventajosos; otras variables tienen menor peso independiente.</w:t>
      </w:r>
    </w:p>
    <w:p>
      <w:r>
        <w:rPr>
          <w:b/>
        </w:rPr>
        <w:t>Aplicación Vitalitty:</w:t>
      </w:r>
      <w:r>
        <w:t xml:space="preserve"> fuente paraguas para lógica general de prescripción de entrenamiento orientado a hipertrofia.</w:t>
      </w:r>
    </w:p>
    <w:p>
      <w:r>
        <w:rPr>
          <w:b/>
        </w:rPr>
        <w:t>Enlace:</w:t>
      </w:r>
      <w:r>
        <w:t xml:space="preserve"> </w:t>
      </w:r>
      <w:hyperlink r:id="rId11">
        <w:r>
          <w:rPr>
            <w:color w:val="0563C1"/>
            <w:u w:val="single"/>
          </w:rPr>
          <w:t>https://pubmed.ncbi.nlm.nih.gov/35873210/</w:t>
        </w:r>
      </w:hyperlink>
    </w:p>
    <w:p>
      <w:pPr>
        <w:pStyle w:val="Heading2"/>
      </w:pPr>
      <w:r>
        <w:t>H3 — Proteína y entrenamiento de fuerza</w:t>
      </w:r>
    </w:p>
    <w:p>
      <w:r>
        <w:rPr>
          <w:b/>
        </w:rPr>
        <w:t>Referencia:</w:t>
      </w:r>
      <w:r>
        <w:t xml:space="preserve"> Morton RW et al. </w:t>
      </w:r>
      <w:r>
        <w:rPr>
          <w:i/>
        </w:rPr>
        <w:t>A systematic review, meta-analysis and meta-regression of the effect of protein supplementation on resistance training-induced gains in muscle mass and strength in healthy adults.</w:t>
      </w:r>
      <w:r>
        <w:t xml:space="preserve"> 2018.</w:t>
      </w:r>
    </w:p>
    <w:p>
      <w:r>
        <w:rPr>
          <w:b/>
        </w:rPr>
        <w:t>PMID:</w:t>
      </w:r>
      <w:r>
        <w:t xml:space="preserve"> 28698222</w:t>
      </w:r>
    </w:p>
    <w:p>
      <w:r>
        <w:rPr>
          <w:b/>
        </w:rPr>
        <w:t>Tipo:</w:t>
      </w:r>
      <w:r>
        <w:t xml:space="preserve"> revisión sistemática + metaanálisis + metarregresión.</w:t>
      </w:r>
    </w:p>
    <w:p>
      <w:r>
        <w:rPr>
          <w:b/>
        </w:rPr>
        <w:t>Muestra:</w:t>
      </w:r>
      <w:r>
        <w:t xml:space="preserve"> 49 estudios; 1.863 participantes.</w:t>
      </w:r>
    </w:p>
    <w:p>
      <w:r>
        <w:rPr>
          <w:b/>
        </w:rPr>
        <w:t>Hallazgo clave:</w:t>
      </w:r>
      <w:r>
        <w:t xml:space="preserve"> la suplementación proteica aumenta modestamente masa libre de grasa, tamaño muscular y fuerza durante entrenamiento de fuerza. El análisis de punto de ruptura situó gran parte del beneficio alrededor de ~1,6 g/kg/día de proteína total, sin implicar un techo universal individual.</w:t>
      </w:r>
    </w:p>
    <w:p>
      <w:r>
        <w:rPr>
          <w:b/>
        </w:rPr>
        <w:t>Aplicación Vitalitty:</w:t>
      </w:r>
      <w:r>
        <w:t xml:space="preserve"> asegurar proteína total suficiente antes de priorizar timing o suplementos. No imponer 1,6 g/kg como cifra rígida para todos.</w:t>
      </w:r>
    </w:p>
    <w:p>
      <w:r>
        <w:rPr>
          <w:b/>
        </w:rPr>
        <w:t>Enlace:</w:t>
      </w:r>
      <w:r>
        <w:t xml:space="preserve"> </w:t>
      </w:r>
      <w:hyperlink r:id="rId12">
        <w:r>
          <w:rPr>
            <w:color w:val="0563C1"/>
            <w:u w:val="single"/>
          </w:rPr>
          <w:t>https://pubmed.ncbi.nlm.nih.gov/28698222/</w:t>
        </w:r>
      </w:hyperlink>
    </w:p>
    <w:p>
      <w:pPr>
        <w:pStyle w:val="Heading2"/>
      </w:pPr>
      <w:r>
        <w:t>H4 — Proximidad al fallo / RIR</w:t>
      </w:r>
    </w:p>
    <w:p>
      <w:r>
        <w:rPr>
          <w:b/>
        </w:rPr>
        <w:t>Referencia:</w:t>
      </w:r>
      <w:r>
        <w:t xml:space="preserve"> Robinson ZP et al. </w:t>
      </w:r>
      <w:r>
        <w:rPr>
          <w:i/>
        </w:rPr>
        <w:t>Exploring the Dose-Response Relationship Between Estimated Resistance Training Proximity to Failure, Strength Gain, and Muscle Hypertrophy: A Series of Meta-Regressions.</w:t>
      </w:r>
      <w:r>
        <w:t xml:space="preserve"> 2024.</w:t>
      </w:r>
    </w:p>
    <w:p>
      <w:r>
        <w:rPr>
          <w:b/>
        </w:rPr>
        <w:t>PMID:</w:t>
      </w:r>
      <w:r>
        <w:t xml:space="preserve"> 38970765</w:t>
      </w:r>
    </w:p>
    <w:p>
      <w:r>
        <w:rPr>
          <w:b/>
        </w:rPr>
        <w:t>Tipo:</w:t>
      </w:r>
      <w:r>
        <w:t xml:space="preserve"> metarregresiones.</w:t>
      </w:r>
    </w:p>
    <w:p>
      <w:r>
        <w:rPr>
          <w:b/>
        </w:rPr>
        <w:t>Hallazgo clave:</w:t>
      </w:r>
      <w:r>
        <w:t xml:space="preserve"> la hipertrofia tiende a aumentar cuando las series terminan más cerca del fallo; la relación con ganancia de fuerza es mucho menor.</w:t>
      </w:r>
    </w:p>
    <w:p>
      <w:r>
        <w:rPr>
          <w:b/>
        </w:rPr>
        <w:t>Aplicación Vitalitty:</w:t>
      </w:r>
      <w:r>
        <w:t xml:space="preserve"> usar proximidad razonable al fallo como herramienta, no como obligación de fallar en cada serie.</w:t>
      </w:r>
    </w:p>
    <w:p>
      <w:r>
        <w:rPr>
          <w:b/>
        </w:rPr>
        <w:t>Enlace:</w:t>
      </w:r>
      <w:r>
        <w:t xml:space="preserve"> </w:t>
      </w:r>
      <w:hyperlink r:id="rId13">
        <w:r>
          <w:rPr>
            <w:color w:val="0563C1"/>
            <w:u w:val="single"/>
          </w:rPr>
          <w:t>https://pubmed.ncbi.nlm.nih.gov/38970765/</w:t>
        </w:r>
      </w:hyperlink>
    </w:p>
    <w:p>
      <w:pPr>
        <w:pStyle w:val="Heading2"/>
      </w:pPr>
      <w:r>
        <w:t>H5 — Fallo muscular vs no fallo</w:t>
      </w:r>
    </w:p>
    <w:p>
      <w:r>
        <w:rPr>
          <w:b/>
        </w:rPr>
        <w:t>Referencia:</w:t>
      </w:r>
      <w:r>
        <w:t xml:space="preserve"> Refalo MC et al. </w:t>
      </w:r>
      <w:r>
        <w:rPr>
          <w:i/>
        </w:rPr>
        <w:t>Influence of Resistance Training Proximity-to-Failure on Skeletal Muscle Hypertrophy: A Systematic Review with Meta-analysis.</w:t>
      </w:r>
      <w:r>
        <w:t xml:space="preserve"> 2023.</w:t>
      </w:r>
    </w:p>
    <w:p>
      <w:r>
        <w:rPr>
          <w:b/>
        </w:rPr>
        <w:t>PMID:</w:t>
      </w:r>
      <w:r>
        <w:t xml:space="preserve"> 36334240</w:t>
      </w:r>
    </w:p>
    <w:p>
      <w:r>
        <w:rPr>
          <w:b/>
        </w:rPr>
        <w:t>Tipo:</w:t>
      </w:r>
      <w:r>
        <w:t xml:space="preserve"> revisión sistemática + metaanálisis.</w:t>
      </w:r>
    </w:p>
    <w:p>
      <w:r>
        <w:rPr>
          <w:b/>
        </w:rPr>
        <w:t>Hallazgo clave:</w:t>
      </w:r>
      <w:r>
        <w:t xml:space="preserve"> no se observa ventaja clara de llegar al fallo muscular momentáneo frente a detenerse antes, especialmente cuando el esfuerzo y el volumen son comparables.</w:t>
      </w:r>
    </w:p>
    <w:p>
      <w:r>
        <w:rPr>
          <w:b/>
        </w:rPr>
        <w:t>Aplicación Vitalitty:</w:t>
      </w:r>
      <w:r>
        <w:t xml:space="preserve"> no recomendar fallo absoluto sistemático como requisito de hipertrofia.</w:t>
      </w:r>
    </w:p>
    <w:p>
      <w:r>
        <w:rPr>
          <w:b/>
        </w:rPr>
        <w:t>Enlace:</w:t>
      </w:r>
      <w:r>
        <w:t xml:space="preserve"> </w:t>
      </w:r>
      <w:hyperlink r:id="rId14">
        <w:r>
          <w:rPr>
            <w:color w:val="0563C1"/>
            <w:u w:val="single"/>
          </w:rPr>
          <w:t>https://pubmed.ncbi.nlm.nih.gov/36334240/</w:t>
        </w:r>
      </w:hyperlink>
    </w:p>
    <w:p>
      <w:pPr>
        <w:pStyle w:val="Heading2"/>
      </w:pPr>
      <w:r>
        <w:t>H6 — Carga y rango de repeticiones</w:t>
      </w:r>
    </w:p>
    <w:p>
      <w:r>
        <w:rPr>
          <w:b/>
        </w:rPr>
        <w:t>Referencia:</w:t>
      </w:r>
      <w:r>
        <w:t xml:space="preserve"> Lopez P et al. </w:t>
      </w:r>
      <w:r>
        <w:rPr>
          <w:i/>
        </w:rPr>
        <w:t>Resistance Training Load Effects on Muscle Hypertrophy and Strength Gain: Systematic Review and Network Meta-analysis.</w:t>
      </w:r>
      <w:r>
        <w:t xml:space="preserve"> 2021.</w:t>
      </w:r>
    </w:p>
    <w:p>
      <w:r>
        <w:rPr>
          <w:b/>
        </w:rPr>
        <w:t>PMID:</w:t>
      </w:r>
      <w:r>
        <w:t xml:space="preserve"> 33433148</w:t>
      </w:r>
    </w:p>
    <w:p>
      <w:r>
        <w:rPr>
          <w:b/>
        </w:rPr>
        <w:t>Tipo:</w:t>
      </w:r>
      <w:r>
        <w:t xml:space="preserve"> network meta-analysis.</w:t>
      </w:r>
    </w:p>
    <w:p>
      <w:r>
        <w:rPr>
          <w:b/>
        </w:rPr>
        <w:t>Muestra:</w:t>
      </w:r>
      <w:r>
        <w:t xml:space="preserve"> 28 estudios; 747 adultos.</w:t>
      </w:r>
    </w:p>
    <w:p>
      <w:r>
        <w:rPr>
          <w:b/>
        </w:rPr>
        <w:t>Hallazgo clave:</w:t>
      </w:r>
      <w:r>
        <w:t xml:space="preserve"> con series llevadas a alto esfuerzo, cargas bajas, moderadas y altas pueden producir hipertrofia similar; cargas moderadas/altas son superiores para fuerza máxima.</w:t>
      </w:r>
    </w:p>
    <w:p>
      <w:r>
        <w:rPr>
          <w:b/>
        </w:rPr>
        <w:t>Aplicación Vitalitty:</w:t>
      </w:r>
      <w:r>
        <w:t xml:space="preserve"> permitir distintos rangos de repeticiones según ejercicio, objetivo, comodidad articular y adherencia.</w:t>
      </w:r>
    </w:p>
    <w:p>
      <w:r>
        <w:rPr>
          <w:b/>
        </w:rPr>
        <w:t>Enlace:</w:t>
      </w:r>
      <w:r>
        <w:t xml:space="preserve"> </w:t>
      </w:r>
      <w:hyperlink r:id="rId15">
        <w:r>
          <w:rPr>
            <w:color w:val="0563C1"/>
            <w:u w:val="single"/>
          </w:rPr>
          <w:t>https://pubmed.ncbi.nlm.nih.gov/33433148/</w:t>
        </w:r>
      </w:hyperlink>
    </w:p>
    <w:p>
      <w:pPr>
        <w:pStyle w:val="Heading2"/>
      </w:pPr>
      <w:r>
        <w:t>H7 — Carga alta vs baja: hipertrofia y fuerza</w:t>
      </w:r>
    </w:p>
    <w:p>
      <w:r>
        <w:rPr>
          <w:b/>
        </w:rPr>
        <w:t>Referencia:</w:t>
      </w:r>
      <w:r>
        <w:t xml:space="preserve"> Refalo MC et al. </w:t>
      </w:r>
      <w:r>
        <w:rPr>
          <w:i/>
        </w:rPr>
        <w:t>Influence of resistance training load on measures of skeletal muscle hypertrophy and improvements in maximal strength and neuromuscular task performance: A systematic review and meta-analysis.</w:t>
      </w:r>
      <w:r>
        <w:t xml:space="preserve"> 2021.</w:t>
      </w:r>
    </w:p>
    <w:p>
      <w:r>
        <w:rPr>
          <w:b/>
        </w:rPr>
        <w:t>PMID:</w:t>
      </w:r>
      <w:r>
        <w:t xml:space="preserve"> 33874848</w:t>
      </w:r>
    </w:p>
    <w:p>
      <w:r>
        <w:rPr>
          <w:b/>
        </w:rPr>
        <w:t>Tipo:</w:t>
      </w:r>
      <w:r>
        <w:t xml:space="preserve"> revisión sistemática + metaanálisis.</w:t>
      </w:r>
    </w:p>
    <w:p>
      <w:r>
        <w:rPr>
          <w:b/>
        </w:rPr>
        <w:t>Muestra:</w:t>
      </w:r>
      <w:r>
        <w:t xml:space="preserve"> 45 estudios.</w:t>
      </w:r>
    </w:p>
    <w:p>
      <w:r>
        <w:rPr>
          <w:b/>
        </w:rPr>
        <w:t>Hallazgo clave:</w:t>
      </w:r>
      <w:r>
        <w:t xml:space="preserve"> hipertrofia similar con cargas altas y bajas; cargas altas superiores para 1RM y fuerza isométrica.</w:t>
      </w:r>
    </w:p>
    <w:p>
      <w:r>
        <w:rPr>
          <w:b/>
        </w:rPr>
        <w:t>Aplicación Vitalitty:</w:t>
      </w:r>
      <w:r>
        <w:t xml:space="preserve"> hipertrofia no exige entrenar pesado en todos los ejercicios.</w:t>
      </w:r>
    </w:p>
    <w:p>
      <w:r>
        <w:rPr>
          <w:b/>
        </w:rPr>
        <w:t>Enlace:</w:t>
      </w:r>
      <w:r>
        <w:t xml:space="preserve"> </w:t>
      </w:r>
      <w:hyperlink r:id="rId16">
        <w:r>
          <w:rPr>
            <w:color w:val="0563C1"/>
            <w:u w:val="single"/>
          </w:rPr>
          <w:t>https://pubmed.ncbi.nlm.nih.gov/33874848/</w:t>
        </w:r>
      </w:hyperlink>
    </w:p>
    <w:p>
      <w:pPr>
        <w:pStyle w:val="Heading2"/>
      </w:pPr>
      <w:r>
        <w:t>H8 — Creatina + entrenamiento de fuerza: composición corporal</w:t>
      </w:r>
    </w:p>
    <w:p>
      <w:r>
        <w:rPr>
          <w:b/>
        </w:rPr>
        <w:t>Referencia:</w:t>
      </w:r>
      <w:r>
        <w:t xml:space="preserve"> Desai I et al. </w:t>
      </w:r>
      <w:r>
        <w:rPr>
          <w:i/>
        </w:rPr>
        <w:t>The Effect of Creatine Supplementation on Resistance Training-Based Changes to Body Composition: A Systematic Review and Meta-analysis.</w:t>
      </w:r>
      <w:r>
        <w:t xml:space="preserve"> 2024.</w:t>
      </w:r>
    </w:p>
    <w:p>
      <w:r>
        <w:rPr>
          <w:b/>
        </w:rPr>
        <w:t>PMID:</w:t>
      </w:r>
      <w:r>
        <w:t xml:space="preserve"> 39074168</w:t>
      </w:r>
    </w:p>
    <w:p>
      <w:r>
        <w:rPr>
          <w:b/>
        </w:rPr>
        <w:t>Tipo:</w:t>
      </w:r>
      <w:r>
        <w:t xml:space="preserve"> revisión sistemática + metaanálisis.</w:t>
      </w:r>
    </w:p>
    <w:p>
      <w:r>
        <w:rPr>
          <w:b/>
        </w:rPr>
        <w:t>Hallazgo clave:</w:t>
      </w:r>
      <w:r>
        <w:t xml:space="preserve"> creatina + entrenamiento de fuerza produce mayor aumento de masa libre de grasa que entrenamiento solo; interpretar masa libre de grasa con cautela por cambios de agua intracelular.</w:t>
      </w:r>
    </w:p>
    <w:p>
      <w:r>
        <w:rPr>
          <w:b/>
        </w:rPr>
        <w:t>Aplicación Vitalitty:</w:t>
      </w:r>
      <w:r>
        <w:t xml:space="preserve"> creatina como suplemento con respaldo sólido, evitando vender cada kg de masa libre de grasa como músculo contráctil puro.</w:t>
      </w:r>
    </w:p>
    <w:p>
      <w:r>
        <w:rPr>
          <w:b/>
        </w:rPr>
        <w:t>Enlace:</w:t>
      </w:r>
      <w:r>
        <w:t xml:space="preserve"> </w:t>
      </w:r>
      <w:hyperlink r:id="rId17">
        <w:r>
          <w:rPr>
            <w:color w:val="0563C1"/>
            <w:u w:val="single"/>
          </w:rPr>
          <w:t>https://pubmed.ncbi.nlm.nih.gov/39074168/</w:t>
        </w:r>
      </w:hyperlink>
    </w:p>
    <w:p>
      <w:pPr>
        <w:pStyle w:val="Heading2"/>
      </w:pPr>
      <w:r>
        <w:t>H9 — Déficit energético y ganancia de masa magra</w:t>
      </w:r>
    </w:p>
    <w:p>
      <w:r>
        <w:rPr>
          <w:b/>
        </w:rPr>
        <w:t>Referencia:</w:t>
      </w:r>
      <w:r>
        <w:t xml:space="preserve"> Murphy C, Koehler K. </w:t>
      </w:r>
      <w:r>
        <w:rPr>
          <w:i/>
        </w:rPr>
        <w:t>Energy deficiency impairs resistance training gains in lean mass but not strength: A meta-analysis and meta-regression.</w:t>
      </w:r>
      <w:r>
        <w:t xml:space="preserve"> 2022.</w:t>
      </w:r>
    </w:p>
    <w:p>
      <w:r>
        <w:rPr>
          <w:b/>
        </w:rPr>
        <w:t>PMID:</w:t>
      </w:r>
      <w:r>
        <w:t xml:space="preserve"> 34623696</w:t>
      </w:r>
    </w:p>
    <w:p>
      <w:r>
        <w:rPr>
          <w:b/>
        </w:rPr>
        <w:t>Tipo:</w:t>
      </w:r>
      <w:r>
        <w:t xml:space="preserve"> metaanálisis + metarregresión.</w:t>
      </w:r>
    </w:p>
    <w:p>
      <w:r>
        <w:rPr>
          <w:b/>
        </w:rPr>
        <w:t>Hallazgo clave:</w:t>
      </w:r>
      <w:r>
        <w:t xml:space="preserve"> los déficits energéticos perjudican las ganancias de masa magra; la metarregresión estimó que un déficit aproximado de 500 kcal/día anulaba, de media, las ganancias de masa magra.</w:t>
      </w:r>
    </w:p>
    <w:p>
      <w:r>
        <w:rPr>
          <w:b/>
        </w:rPr>
        <w:t>Aplicación Vitalitty:</w:t>
      </w:r>
      <w:r>
        <w:t xml:space="preserve"> no fijar superávits universales, pero evitar déficits importantes cuando el objetivo prioritario sea maximizar hipertrofia.</w:t>
      </w:r>
    </w:p>
    <w:p>
      <w:r>
        <w:rPr>
          <w:b/>
        </w:rPr>
        <w:t>Enlace:</w:t>
      </w:r>
      <w:r>
        <w:t xml:space="preserve"> </w:t>
      </w:r>
      <w:hyperlink r:id="rId18">
        <w:r>
          <w:rPr>
            <w:color w:val="0563C1"/>
            <w:u w:val="single"/>
          </w:rPr>
          <w:t>https://pubmed.ncbi.nlm.nih.gov/34623696/</w:t>
        </w:r>
      </w:hyperlink>
    </w:p>
    <w:p>
      <w:pPr>
        <w:pStyle w:val="Heading2"/>
      </w:pPr>
      <w:r>
        <w:t>H10 — Timing de proteína</w:t>
      </w:r>
    </w:p>
    <w:p>
      <w:r>
        <w:rPr>
          <w:b/>
        </w:rPr>
        <w:t>Referencia:</w:t>
      </w:r>
      <w:r>
        <w:t xml:space="preserve"> </w:t>
      </w:r>
      <w:r>
        <w:rPr>
          <w:i/>
        </w:rPr>
        <w:t>Does Protein Ingestion Timing Affect Exercise-Induced Adaptations? A Systematic Review with Meta-Analysis.</w:t>
      </w:r>
      <w:r>
        <w:t xml:space="preserve"> 2025.</w:t>
      </w:r>
    </w:p>
    <w:p>
      <w:r>
        <w:rPr>
          <w:b/>
        </w:rPr>
        <w:t>PMID:</w:t>
      </w:r>
      <w:r>
        <w:t xml:space="preserve"> 40647175</w:t>
      </w:r>
    </w:p>
    <w:p>
      <w:r>
        <w:rPr>
          <w:b/>
        </w:rPr>
        <w:t>Tipo:</w:t>
      </w:r>
      <w:r>
        <w:t xml:space="preserve"> revisión sistemática + metaanálisis de comparaciones directas pre vs post.</w:t>
      </w:r>
    </w:p>
    <w:p>
      <w:r>
        <w:rPr>
          <w:b/>
        </w:rPr>
        <w:t>Hallazgo clave:</w:t>
      </w:r>
      <w:r>
        <w:t xml:space="preserve"> el momento exacto antes o después del entrenamiento no parece modificar de forma importante las adaptaciones cuando la ingesta global es adecuada.</w:t>
      </w:r>
    </w:p>
    <w:p>
      <w:r>
        <w:rPr>
          <w:b/>
        </w:rPr>
        <w:t>Aplicación Vitalitty:</w:t>
      </w:r>
      <w:r>
        <w:t xml:space="preserve"> priorizar proteína diaria total y distribución práctica; no crear una “ventana anabólica” rígida.</w:t>
      </w:r>
    </w:p>
    <w:p>
      <w:r>
        <w:rPr>
          <w:b/>
        </w:rPr>
        <w:t>Enlace:</w:t>
      </w:r>
      <w:r>
        <w:t xml:space="preserve"> </w:t>
      </w:r>
      <w:hyperlink r:id="rId19">
        <w:r>
          <w:rPr>
            <w:color w:val="0563C1"/>
            <w:u w:val="single"/>
          </w:rPr>
          <w:t>https://pubmed.ncbi.nlm.nih.gov/40647175/</w:t>
        </w:r>
      </w:hyperlink>
    </w:p>
    <w:p>
      <w:pPr>
        <w:pStyle w:val="Heading3"/>
      </w:pPr>
      <w:r>
        <w:t>Regla interna Vitalitty — Hipertrofia</w:t>
      </w:r>
    </w:p>
    <w:p>
      <w:r>
        <w:rPr>
          <w:b/>
        </w:rPr>
        <w:t>Orden de prioridad práctico:</w:t>
      </w:r>
      <w:r>
        <w:t xml:space="preserve"> entrenamiento adecuado → volumen semanal → esfuerzo/proximidad al fallo → energía suficiente → proteína suficiente → creatina → distribución/timing.</w:t>
      </w:r>
    </w:p>
    <w:p>
      <w:pPr>
        <w:pStyle w:val="Heading1"/>
      </w:pPr>
      <w:r>
        <w:t>2. MICROBIOTA INTESTINAL</w:t>
      </w:r>
    </w:p>
    <w:p>
      <w:pPr>
        <w:pStyle w:val="Heading2"/>
      </w:pPr>
      <w:r>
        <w:t>M1 — Fibra y microbiota</w:t>
      </w:r>
    </w:p>
    <w:p>
      <w:r>
        <w:rPr>
          <w:b/>
        </w:rPr>
        <w:t>Referencia:</w:t>
      </w:r>
      <w:r>
        <w:t xml:space="preserve"> So D et al. </w:t>
      </w:r>
      <w:r>
        <w:rPr>
          <w:i/>
        </w:rPr>
        <w:t>Dietary fiber intervention on gut microbiota composition in healthy adults: a systematic review and meta-analysis.</w:t>
      </w:r>
      <w:r>
        <w:t xml:space="preserve"> 2018.</w:t>
      </w:r>
    </w:p>
    <w:p>
      <w:r>
        <w:rPr>
          <w:b/>
        </w:rPr>
        <w:t>PMID:</w:t>
      </w:r>
      <w:r>
        <w:t xml:space="preserve"> 29757343</w:t>
      </w:r>
    </w:p>
    <w:p>
      <w:r>
        <w:rPr>
          <w:b/>
        </w:rPr>
        <w:t>Tipo:</w:t>
      </w:r>
      <w:r>
        <w:t xml:space="preserve"> revisión sistemática + metaanálisis.</w:t>
      </w:r>
    </w:p>
    <w:p>
      <w:r>
        <w:rPr>
          <w:b/>
        </w:rPr>
        <w:t>Muestra:</w:t>
      </w:r>
      <w:r>
        <w:t xml:space="preserve"> 64 estudios; 2.099 participantes.</w:t>
      </w:r>
    </w:p>
    <w:p>
      <w:r>
        <w:rPr>
          <w:b/>
        </w:rPr>
        <w:t>Hallazgo clave:</w:t>
      </w:r>
      <w:r>
        <w:t xml:space="preserve"> la fibra aumentó Bifidobacterium y Lactobacillus y elevó modestamente butirato fecal; fructanos y GOS mostraron efectos particularmente consistentes. No aumentó la diversidad alfa de forma significativa.</w:t>
      </w:r>
    </w:p>
    <w:p>
      <w:r>
        <w:rPr>
          <w:b/>
        </w:rPr>
        <w:t>Aplicación Vitalitty:</w:t>
      </w:r>
      <w:r>
        <w:t xml:space="preserve"> priorizar cantidad y diversidad de fibra tolerada; no usar “más diversidad alfa” como único objetivo de microbiota.</w:t>
      </w:r>
    </w:p>
    <w:p>
      <w:r>
        <w:rPr>
          <w:b/>
        </w:rPr>
        <w:t>Enlace:</w:t>
      </w:r>
      <w:r>
        <w:t xml:space="preserve"> </w:t>
      </w:r>
      <w:hyperlink r:id="rId20">
        <w:r>
          <w:rPr>
            <w:color w:val="0563C1"/>
            <w:u w:val="single"/>
          </w:rPr>
          <w:t>https://pubmed.ncbi.nlm.nih.gov/29757343/</w:t>
        </w:r>
      </w:hyperlink>
    </w:p>
    <w:p>
      <w:pPr>
        <w:pStyle w:val="Heading2"/>
      </w:pPr>
      <w:r>
        <w:t>M2 — Intervenciones dietéticas y microbiota</w:t>
      </w:r>
    </w:p>
    <w:p>
      <w:r>
        <w:rPr>
          <w:b/>
        </w:rPr>
        <w:t>Referencia:</w:t>
      </w:r>
      <w:r>
        <w:t xml:space="preserve"> Aslam H et al. </w:t>
      </w:r>
      <w:r>
        <w:rPr>
          <w:i/>
        </w:rPr>
        <w:t>Dietary interventions and the gut microbiota: a systematic literature review of 80 controlled clinical trials.</w:t>
      </w:r>
      <w:r>
        <w:t xml:space="preserve"> 2026.</w:t>
      </w:r>
    </w:p>
    <w:p>
      <w:r>
        <w:rPr>
          <w:b/>
        </w:rPr>
        <w:t>PMID:</w:t>
      </w:r>
      <w:r>
        <w:t xml:space="preserve"> 41501909</w:t>
      </w:r>
    </w:p>
    <w:p>
      <w:r>
        <w:rPr>
          <w:b/>
        </w:rPr>
        <w:t>Tipo:</w:t>
      </w:r>
      <w:r>
        <w:t xml:space="preserve"> revisión sistemática de 80 ensayos controlados.</w:t>
      </w:r>
    </w:p>
    <w:p>
      <w:r>
        <w:rPr>
          <w:b/>
        </w:rPr>
        <w:t>Hallazgo clave:</w:t>
      </w:r>
      <w:r>
        <w:t xml:space="preserve"> patrones mediterráneos, vegetales, ricos en fibra y polifenoles se asociaron frecuentemente con cambios favorables en microorganismos/productores de SCFA; patrones muy restrictivos pueden reducir algunos taxones beneficiosos en determinadas poblaciones.</w:t>
      </w:r>
    </w:p>
    <w:p>
      <w:r>
        <w:rPr>
          <w:b/>
        </w:rPr>
        <w:t>Aplicación Vitalitty:</w:t>
      </w:r>
      <w:r>
        <w:t xml:space="preserve"> usar patrones dietéticos y diversidad vegetal como base; restricciones como low-FODMAP deben ser terapéuticas, temporales y con reintroducción cuando proceda.</w:t>
      </w:r>
    </w:p>
    <w:p>
      <w:r>
        <w:rPr>
          <w:b/>
        </w:rPr>
        <w:t>Enlace:</w:t>
      </w:r>
      <w:r>
        <w:t xml:space="preserve"> </w:t>
      </w:r>
      <w:hyperlink r:id="rId21">
        <w:r>
          <w:rPr>
            <w:color w:val="0563C1"/>
            <w:u w:val="single"/>
          </w:rPr>
          <w:t>https://pubmed.ncbi.nlm.nih.gov/41501909/</w:t>
        </w:r>
      </w:hyperlink>
    </w:p>
    <w:p>
      <w:pPr>
        <w:pStyle w:val="Heading2"/>
      </w:pPr>
      <w:r>
        <w:t>M3 — Probióticos y diversidad en personas sanas</w:t>
      </w:r>
    </w:p>
    <w:p>
      <w:r>
        <w:rPr>
          <w:b/>
        </w:rPr>
        <w:t>Referencia:</w:t>
      </w:r>
      <w:r>
        <w:t xml:space="preserve"> Éliás AJ et al. </w:t>
      </w:r>
      <w:r>
        <w:rPr>
          <w:i/>
        </w:rPr>
        <w:t>Effect of probiotic supplementation on the gut microbiota diversity in healthy populations: a systematic review and meta-analysis of randomised controlled trials.</w:t>
      </w:r>
      <w:r>
        <w:t xml:space="preserve"> 2026.</w:t>
      </w:r>
    </w:p>
    <w:p>
      <w:r>
        <w:rPr>
          <w:b/>
        </w:rPr>
        <w:t>PMID:</w:t>
      </w:r>
      <w:r>
        <w:t xml:space="preserve"> 41495831</w:t>
      </w:r>
    </w:p>
    <w:p>
      <w:r>
        <w:rPr>
          <w:b/>
        </w:rPr>
        <w:t>Tipo:</w:t>
      </w:r>
      <w:r>
        <w:t xml:space="preserve"> revisión sistemática + metaanálisis.</w:t>
      </w:r>
    </w:p>
    <w:p>
      <w:r>
        <w:rPr>
          <w:b/>
        </w:rPr>
        <w:t>Base:</w:t>
      </w:r>
      <w:r>
        <w:t xml:space="preserve"> 47 estudios en revisión; 22 estudios / 1.068 sujetos en metaanálisis de diversidad.</w:t>
      </w:r>
    </w:p>
    <w:p>
      <w:r>
        <w:rPr>
          <w:b/>
        </w:rPr>
        <w:t>Hallazgo clave:</w:t>
      </w:r>
      <w:r>
        <w:t xml:space="preserve"> los probióticos no modificaron significativamente Shannon, Chao1, Simpson ni OTUs observadas en adultos sanos.</w:t>
      </w:r>
    </w:p>
    <w:p>
      <w:r>
        <w:rPr>
          <w:b/>
        </w:rPr>
        <w:t>Aplicación Vitalitty:</w:t>
      </w:r>
      <w:r>
        <w:t xml:space="preserve"> evitar recomendar “probióticos para mejorar la flora” de forma genérica. Elegir cepa/formulación según indicación clínica concreta.</w:t>
      </w:r>
    </w:p>
    <w:p>
      <w:r>
        <w:rPr>
          <w:b/>
        </w:rPr>
        <w:t>Enlace:</w:t>
      </w:r>
      <w:r>
        <w:t xml:space="preserve"> </w:t>
      </w:r>
      <w:hyperlink r:id="rId22">
        <w:r>
          <w:rPr>
            <w:color w:val="0563C1"/>
            <w:u w:val="single"/>
          </w:rPr>
          <w:t>https://pubmed.ncbi.nlm.nih.gov/41495831/</w:t>
        </w:r>
      </w:hyperlink>
    </w:p>
    <w:p>
      <w:pPr>
        <w:pStyle w:val="Heading2"/>
      </w:pPr>
      <w:r>
        <w:t>M4 — Polifenoles y microbiota/SCFA</w:t>
      </w:r>
    </w:p>
    <w:p>
      <w:r>
        <w:rPr>
          <w:b/>
        </w:rPr>
        <w:t>Referencia:</w:t>
      </w:r>
      <w:r>
        <w:t xml:space="preserve"> Alshatari S, Ziarno M. </w:t>
      </w:r>
      <w:r>
        <w:rPr>
          <w:i/>
        </w:rPr>
        <w:t>Effects of Polyphenol Supplementation on Gut Microbiota Composition and Fecal Short-Chain Fatty Acids: A Systematic Review and Meta-Analysis of Randomized Controlled Trials.</w:t>
      </w:r>
      <w:r>
        <w:t xml:space="preserve"> 2026.</w:t>
      </w:r>
    </w:p>
    <w:p>
      <w:r>
        <w:rPr>
          <w:b/>
        </w:rPr>
        <w:t>PMID:</w:t>
      </w:r>
      <w:r>
        <w:t xml:space="preserve"> 42280405</w:t>
      </w:r>
    </w:p>
    <w:p>
      <w:r>
        <w:rPr>
          <w:b/>
        </w:rPr>
        <w:t>Tipo:</w:t>
      </w:r>
      <w:r>
        <w:t xml:space="preserve"> revisión sistemática + metaanálisis.</w:t>
      </w:r>
    </w:p>
    <w:p>
      <w:r>
        <w:rPr>
          <w:b/>
        </w:rPr>
        <w:t>Muestra:</w:t>
      </w:r>
      <w:r>
        <w:t xml:space="preserve"> 50 RCT; 2.042 participantes.</w:t>
      </w:r>
    </w:p>
    <w:p>
      <w:r>
        <w:rPr>
          <w:b/>
        </w:rPr>
        <w:t>Hallazgo clave:</w:t>
      </w:r>
      <w:r>
        <w:t xml:space="preserve"> aumento significativo de butirato y cambios favorables en algunos taxones; heterogeneidad relevante y necesidad de demostrar significado clínico de los cambios microbiológicos.</w:t>
      </w:r>
    </w:p>
    <w:p>
      <w:r>
        <w:rPr>
          <w:b/>
        </w:rPr>
        <w:t>Aplicación Vitalitty:</w:t>
      </w:r>
      <w:r>
        <w:t xml:space="preserve"> favorecer alimentos vegetales ricos en polifenoles; no equiparar automáticamente cambio de taxón con beneficio clínico demostrado.</w:t>
      </w:r>
    </w:p>
    <w:p>
      <w:r>
        <w:rPr>
          <w:b/>
        </w:rPr>
        <w:t>Enlace:</w:t>
      </w:r>
      <w:r>
        <w:t xml:space="preserve"> </w:t>
      </w:r>
      <w:hyperlink r:id="rId23">
        <w:r>
          <w:rPr>
            <w:color w:val="0563C1"/>
            <w:u w:val="single"/>
          </w:rPr>
          <w:t>https://pubmed.ncbi.nlm.nih.gov/42280405/</w:t>
        </w:r>
      </w:hyperlink>
    </w:p>
    <w:p>
      <w:pPr>
        <w:pStyle w:val="Heading2"/>
      </w:pPr>
      <w:r>
        <w:t>M5 — Dieta mediterránea y microbiota</w:t>
      </w:r>
    </w:p>
    <w:p>
      <w:r>
        <w:rPr>
          <w:b/>
        </w:rPr>
        <w:t>Referencia:</w:t>
      </w:r>
      <w:r>
        <w:t xml:space="preserve"> Kimble R et al. </w:t>
      </w:r>
      <w:r>
        <w:rPr>
          <w:i/>
        </w:rPr>
        <w:t>Effects of a mediterranean diet on the gut microbiota and microbial metabolites: A systematic review of randomized controlled trials and observational studies.</w:t>
      </w:r>
      <w:r>
        <w:t xml:space="preserve"> 2023.</w:t>
      </w:r>
    </w:p>
    <w:p>
      <w:r>
        <w:rPr>
          <w:b/>
        </w:rPr>
        <w:t>PMID:</w:t>
      </w:r>
      <w:r>
        <w:t xml:space="preserve"> 35361035</w:t>
      </w:r>
    </w:p>
    <w:p>
      <w:r>
        <w:rPr>
          <w:b/>
        </w:rPr>
        <w:t>Tipo:</w:t>
      </w:r>
      <w:r>
        <w:t xml:space="preserve"> revisión sistemática.</w:t>
      </w:r>
    </w:p>
    <w:p>
      <w:r>
        <w:rPr>
          <w:b/>
        </w:rPr>
        <w:t>Base:</w:t>
      </w:r>
      <w:r>
        <w:t xml:space="preserve"> 17 RCT + 17 estudios observacionales.</w:t>
      </w:r>
    </w:p>
    <w:p>
      <w:r>
        <w:rPr>
          <w:b/>
        </w:rPr>
        <w:t>Hallazgo clave:</w:t>
      </w:r>
      <w:r>
        <w:t xml:space="preserve"> existen señales favorables, pero no un patrón microbiológico universal y consistente entre estudios.</w:t>
      </w:r>
    </w:p>
    <w:p>
      <w:r>
        <w:rPr>
          <w:b/>
        </w:rPr>
        <w:t>Aplicación Vitalitty:</w:t>
      </w:r>
      <w:r>
        <w:t xml:space="preserve"> recomendar dieta mediterránea por su evidencia global de salud; evitar prometer una “firma” microbiológica específica.</w:t>
      </w:r>
    </w:p>
    <w:p>
      <w:r>
        <w:rPr>
          <w:b/>
        </w:rPr>
        <w:t>Enlace:</w:t>
      </w:r>
      <w:r>
        <w:t xml:space="preserve"> </w:t>
      </w:r>
      <w:hyperlink r:id="rId24">
        <w:r>
          <w:rPr>
            <w:color w:val="0563C1"/>
            <w:u w:val="single"/>
          </w:rPr>
          <w:t>https://pubmed.ncbi.nlm.nih.gov/35361035/</w:t>
        </w:r>
      </w:hyperlink>
    </w:p>
    <w:p>
      <w:pPr>
        <w:pStyle w:val="Heading2"/>
      </w:pPr>
      <w:r>
        <w:t>M6 — Dieta mediterránea, microbiota y riesgo metabólico</w:t>
      </w:r>
    </w:p>
    <w:p>
      <w:r>
        <w:rPr>
          <w:b/>
        </w:rPr>
        <w:t>Referencia:</w:t>
      </w:r>
      <w:r>
        <w:t xml:space="preserve"> </w:t>
      </w:r>
      <w:r>
        <w:rPr>
          <w:i/>
        </w:rPr>
        <w:t>Mediterranean diet, gut microbiota, and type 2 diabetes: A systematic review and meta-analysis of intervention trials.</w:t>
      </w:r>
      <w:r>
        <w:t xml:space="preserve"> 2025/2026.</w:t>
      </w:r>
    </w:p>
    <w:p>
      <w:r>
        <w:rPr>
          <w:b/>
        </w:rPr>
        <w:t>PMID:</w:t>
      </w:r>
      <w:r>
        <w:t xml:space="preserve"> 41381307</w:t>
      </w:r>
    </w:p>
    <w:p>
      <w:r>
        <w:rPr>
          <w:b/>
        </w:rPr>
        <w:t>Tipo:</w:t>
      </w:r>
      <w:r>
        <w:t xml:space="preserve"> revisión sistemática + metaanálisis de ensayos de intervención.</w:t>
      </w:r>
    </w:p>
    <w:p>
      <w:r>
        <w:rPr>
          <w:b/>
        </w:rPr>
        <w:t>Hallazgo clave:</w:t>
      </w:r>
      <w:r>
        <w:t xml:space="preserve"> evalúa efectos metabólicos y de microbiota de intervenciones mediterráneas en adultos con mayor riesgo de DM2/CVD.</w:t>
      </w:r>
    </w:p>
    <w:p>
      <w:r>
        <w:rPr>
          <w:b/>
        </w:rPr>
        <w:t>Aplicación Vitalitty:</w:t>
      </w:r>
      <w:r>
        <w:t xml:space="preserve"> especialmente útil para módulos de microbiota + riesgo cardiometabólico.</w:t>
      </w:r>
    </w:p>
    <w:p>
      <w:r>
        <w:rPr>
          <w:b/>
        </w:rPr>
        <w:t>Enlace:</w:t>
      </w:r>
      <w:r>
        <w:t xml:space="preserve"> </w:t>
      </w:r>
      <w:hyperlink r:id="rId25">
        <w:r>
          <w:rPr>
            <w:color w:val="0563C1"/>
            <w:u w:val="single"/>
          </w:rPr>
          <w:t>https://pubmed.ncbi.nlm.nih.gov/41381307/</w:t>
        </w:r>
      </w:hyperlink>
    </w:p>
    <w:p>
      <w:pPr>
        <w:pStyle w:val="Heading2"/>
      </w:pPr>
      <w:r>
        <w:t>M7 — Alimentos fermentados y bienestar gastrointestinal</w:t>
      </w:r>
    </w:p>
    <w:p>
      <w:r>
        <w:rPr>
          <w:b/>
        </w:rPr>
        <w:t>Referencia:</w:t>
      </w:r>
      <w:r>
        <w:t xml:space="preserve"> Mukherjee A et al. </w:t>
      </w:r>
      <w:r>
        <w:rPr>
          <w:i/>
        </w:rPr>
        <w:t>Impact of fermented foods consumption on gastrointestinal wellbeing in healthy adults: a systematic review and meta-analysis.</w:t>
      </w:r>
      <w:r>
        <w:t xml:space="preserve"> 2025.</w:t>
      </w:r>
    </w:p>
    <w:p>
      <w:r>
        <w:rPr>
          <w:b/>
        </w:rPr>
        <w:t>PMID:</w:t>
      </w:r>
      <w:r>
        <w:t xml:space="preserve"> 41141260</w:t>
      </w:r>
    </w:p>
    <w:p>
      <w:r>
        <w:rPr>
          <w:b/>
        </w:rPr>
        <w:t>Tipo:</w:t>
      </w:r>
      <w:r>
        <w:t xml:space="preserve"> revisión sistemática + metaanálisis.</w:t>
      </w:r>
    </w:p>
    <w:p>
      <w:r>
        <w:rPr>
          <w:b/>
        </w:rPr>
        <w:t>Hallazgo clave:</w:t>
      </w:r>
      <w:r>
        <w:t xml:space="preserve"> beneficios en varios resultados gastrointestinales, pero con certeza variable y heterogeneidad.</w:t>
      </w:r>
    </w:p>
    <w:p>
      <w:r>
        <w:rPr>
          <w:b/>
        </w:rPr>
        <w:t>Aplicación Vitalitty:</w:t>
      </w:r>
      <w:r>
        <w:t xml:space="preserve"> fermentados como opción alimentaria útil según tolerancia; no presentarlos como tratamiento universal ni como sustituto de fibra/diversidad vegetal.</w:t>
      </w:r>
    </w:p>
    <w:p>
      <w:r>
        <w:rPr>
          <w:b/>
        </w:rPr>
        <w:t>Enlace:</w:t>
      </w:r>
      <w:r>
        <w:t xml:space="preserve"> </w:t>
      </w:r>
      <w:hyperlink r:id="rId26">
        <w:r>
          <w:rPr>
            <w:color w:val="0563C1"/>
            <w:u w:val="single"/>
          </w:rPr>
          <w:t>https://pubmed.ncbi.nlm.nih.gov/41141260/</w:t>
        </w:r>
      </w:hyperlink>
    </w:p>
    <w:p>
      <w:pPr>
        <w:pStyle w:val="Heading3"/>
      </w:pPr>
      <w:r>
        <w:t>Regla interna Vitalitty — Microbiota</w:t>
      </w:r>
    </w:p>
    <w:p>
      <w:r>
        <w:rPr>
          <w:b/>
        </w:rPr>
        <w:t>Base práctica:</w:t>
      </w:r>
      <w:r>
        <w:t xml:space="preserve"> diversidad vegetal + fibra suficiente y tolerada → variedad de sustratos fermentables/prebióticos → polifenoles → fermentados según tolerancia → evitar restricciones innecesarias → probióticos solo con indicación/cepa/formulación concretas.</w:t>
      </w:r>
    </w:p>
    <w:p>
      <w:pPr>
        <w:pStyle w:val="Heading1"/>
      </w:pPr>
      <w:r>
        <w:t>3. MUJER: INFLAMACIÓN, PMS, DISMENORREA Y RETENCIÓN DE LÍQUIDOS</w:t>
      </w:r>
    </w:p>
    <w:p>
      <w:pPr>
        <w:ind w:left="397" w:right="170"/>
      </w:pPr>
      <w:r>
        <w:rPr>
          <w:b/>
          <w:color w:val="1F4E79"/>
        </w:rPr>
        <w:t xml:space="preserve">Nota: </w:t>
      </w:r>
      <w:r>
        <w:rPr>
          <w:b/>
        </w:rPr>
        <w:t>Regla de clasificación:</w:t>
      </w:r>
      <w:r>
        <w:t xml:space="preserve"> no usar “inflamación” como término único. Diferenciar inflamación sistémica, distensión gastrointestinal, edema/retención hídrica y síntomas premenstruales.</w:t>
      </w:r>
    </w:p>
    <w:p>
      <w:pPr>
        <w:pStyle w:val="Heading2"/>
      </w:pPr>
      <w:r>
        <w:t>W1 — Dieta mediterránea e inflamación</w:t>
      </w:r>
    </w:p>
    <w:p>
      <w:r>
        <w:rPr>
          <w:b/>
        </w:rPr>
        <w:t>Referencia:</w:t>
      </w:r>
      <w:r>
        <w:t xml:space="preserve"> Keshani M et al. </w:t>
      </w:r>
      <w:r>
        <w:rPr>
          <w:i/>
        </w:rPr>
        <w:t>Mediterranean Diet Reduces Inflammation in Adults: A Systematic Review and Meta-analysis of Randomized Controlled Trials.</w:t>
      </w:r>
      <w:r>
        <w:t xml:space="preserve"> 2026.</w:t>
      </w:r>
    </w:p>
    <w:p>
      <w:r>
        <w:rPr>
          <w:b/>
        </w:rPr>
        <w:t>PMID:</w:t>
      </w:r>
      <w:r>
        <w:t xml:space="preserve"> 41211687</w:t>
      </w:r>
    </w:p>
    <w:p>
      <w:r>
        <w:rPr>
          <w:b/>
        </w:rPr>
        <w:t>Tipo:</w:t>
      </w:r>
      <w:r>
        <w:t xml:space="preserve"> revisión sistemática + metaanálisis de RCT.</w:t>
      </w:r>
    </w:p>
    <w:p>
      <w:r>
        <w:rPr>
          <w:b/>
        </w:rPr>
        <w:t>Muestra:</w:t>
      </w:r>
      <w:r>
        <w:t xml:space="preserve"> 33 RCT; 3.476 participantes.</w:t>
      </w:r>
    </w:p>
    <w:p>
      <w:r>
        <w:rPr>
          <w:b/>
        </w:rPr>
        <w:t>Hallazgo clave:</w:t>
      </w:r>
      <w:r>
        <w:t xml:space="preserve"> reducciones significativas en hs-CRP, IL-6 e IL-17; no todos los marcadores inflamatorios respondieron.</w:t>
      </w:r>
    </w:p>
    <w:p>
      <w:r>
        <w:rPr>
          <w:b/>
        </w:rPr>
        <w:t>Aplicación Vitalitty:</w:t>
      </w:r>
      <w:r>
        <w:t xml:space="preserve"> dieta mediterránea como patrón antiinflamatorio respaldado; evitar afirmar reducción universal de cualquier biomarcador.</w:t>
      </w:r>
    </w:p>
    <w:p>
      <w:r>
        <w:rPr>
          <w:b/>
        </w:rPr>
        <w:t>Enlace:</w:t>
      </w:r>
      <w:r>
        <w:t xml:space="preserve"> </w:t>
      </w:r>
      <w:hyperlink r:id="rId27">
        <w:r>
          <w:rPr>
            <w:color w:val="0563C1"/>
            <w:u w:val="single"/>
          </w:rPr>
          <w:t>https://pubmed.ncbi.nlm.nih.gov/41211687/</w:t>
        </w:r>
      </w:hyperlink>
    </w:p>
    <w:p>
      <w:pPr>
        <w:pStyle w:val="Heading2"/>
      </w:pPr>
      <w:r>
        <w:t>W2 — Omega-3 y síndrome premenstrual</w:t>
      </w:r>
    </w:p>
    <w:p>
      <w:r>
        <w:rPr>
          <w:b/>
        </w:rPr>
        <w:t>Referencia:</w:t>
      </w:r>
      <w:r>
        <w:t xml:space="preserve"> </w:t>
      </w:r>
      <w:r>
        <w:rPr>
          <w:i/>
        </w:rPr>
        <w:t>Effect of omega-3 fatty acids on premenstrual syndrome: A systematic review and meta-analysis.</w:t>
      </w:r>
      <w:r>
        <w:t xml:space="preserve"> 2022.</w:t>
      </w:r>
    </w:p>
    <w:p>
      <w:r>
        <w:rPr>
          <w:b/>
        </w:rPr>
        <w:t>PMID:</w:t>
      </w:r>
      <w:r>
        <w:t xml:space="preserve"> 35266254</w:t>
      </w:r>
    </w:p>
    <w:p>
      <w:r>
        <w:rPr>
          <w:b/>
        </w:rPr>
        <w:t>Tipo:</w:t>
      </w:r>
      <w:r>
        <w:t xml:space="preserve"> revisión sistemática + metaanálisis de RCT.</w:t>
      </w:r>
    </w:p>
    <w:p>
      <w:r>
        <w:rPr>
          <w:b/>
        </w:rPr>
        <w:t>Hallazgo clave:</w:t>
      </w:r>
      <w:r>
        <w:t xml:space="preserve"> reducción de severidad global de PMS, con heterogeneidad elevada.</w:t>
      </w:r>
    </w:p>
    <w:p>
      <w:r>
        <w:rPr>
          <w:b/>
        </w:rPr>
        <w:t>Aplicación Vitalitty:</w:t>
      </w:r>
      <w:r>
        <w:t xml:space="preserve"> posible herramienta en PMS, pero no recomendación automática ni dosis universal sin contexto clínico.</w:t>
      </w:r>
    </w:p>
    <w:p>
      <w:r>
        <w:rPr>
          <w:b/>
        </w:rPr>
        <w:t>Enlace:</w:t>
      </w:r>
      <w:r>
        <w:t xml:space="preserve"> </w:t>
      </w:r>
      <w:hyperlink r:id="rId28">
        <w:r>
          <w:rPr>
            <w:color w:val="0563C1"/>
            <w:u w:val="single"/>
          </w:rPr>
          <w:t>https://pubmed.ncbi.nlm.nih.gov/35266254/</w:t>
        </w:r>
      </w:hyperlink>
    </w:p>
    <w:p>
      <w:pPr>
        <w:pStyle w:val="Heading2"/>
      </w:pPr>
      <w:r>
        <w:t>W3 — Omega-3 y dismenorrea</w:t>
      </w:r>
    </w:p>
    <w:p>
      <w:r>
        <w:rPr>
          <w:b/>
        </w:rPr>
        <w:t>Referencia:</w:t>
      </w:r>
      <w:r>
        <w:t xml:space="preserve"> Snipe RMJ et al. </w:t>
      </w:r>
      <w:r>
        <w:rPr>
          <w:i/>
        </w:rPr>
        <w:t>Omega-3 long chain polyunsaturated fatty acids as a potential treatment for reducing dysmenorrhoea pain: Systematic literature review and meta-analysis.</w:t>
      </w:r>
      <w:r>
        <w:t xml:space="preserve"> 2024.</w:t>
      </w:r>
    </w:p>
    <w:p>
      <w:r>
        <w:rPr>
          <w:b/>
        </w:rPr>
        <w:t>PMID:</w:t>
      </w:r>
      <w:r>
        <w:t xml:space="preserve"> 37545015</w:t>
      </w:r>
    </w:p>
    <w:p>
      <w:r>
        <w:rPr>
          <w:b/>
        </w:rPr>
        <w:t>Tipo:</w:t>
      </w:r>
      <w:r>
        <w:t xml:space="preserve"> revisión sistemática + metaanálisis.</w:t>
      </w:r>
    </w:p>
    <w:p>
      <w:r>
        <w:rPr>
          <w:b/>
        </w:rPr>
        <w:t>Muestra:</w:t>
      </w:r>
      <w:r>
        <w:t xml:space="preserve"> 12 estudios; 881 mujeres.</w:t>
      </w:r>
    </w:p>
    <w:p>
      <w:r>
        <w:rPr>
          <w:b/>
        </w:rPr>
        <w:t>Hallazgo clave:</w:t>
      </w:r>
      <w:r>
        <w:t xml:space="preserve"> reducción del dolor menstrual; estudios usaron 300–1.800 mg/día durante 2–3 meses, pero la calidad fue predominantemente neutral.</w:t>
      </w:r>
    </w:p>
    <w:p>
      <w:r>
        <w:rPr>
          <w:b/>
        </w:rPr>
        <w:t>Aplicación Vitalitty:</w:t>
      </w:r>
      <w:r>
        <w:t xml:space="preserve"> considerar omega-3 como apoyo en dismenorrea; no transformar el rango estudiado en dosis automática para todas.</w:t>
      </w:r>
    </w:p>
    <w:p>
      <w:r>
        <w:rPr>
          <w:b/>
        </w:rPr>
        <w:t>Enlace:</w:t>
      </w:r>
      <w:r>
        <w:t xml:space="preserve"> </w:t>
      </w:r>
      <w:hyperlink r:id="rId29">
        <w:r>
          <w:rPr>
            <w:color w:val="0563C1"/>
            <w:u w:val="single"/>
          </w:rPr>
          <w:t>https://pubmed.ncbi.nlm.nih.gov/37545015/</w:t>
        </w:r>
      </w:hyperlink>
    </w:p>
    <w:p>
      <w:pPr>
        <w:pStyle w:val="Heading2"/>
      </w:pPr>
      <w:r>
        <w:t>W4 — Calcio y PMS</w:t>
      </w:r>
    </w:p>
    <w:p>
      <w:r>
        <w:rPr>
          <w:b/>
        </w:rPr>
        <w:t>Referencia:</w:t>
      </w:r>
      <w:r>
        <w:t xml:space="preserve"> </w:t>
      </w:r>
      <w:r>
        <w:rPr>
          <w:i/>
        </w:rPr>
        <w:t>Beneficial Role of Calcium in Premenstrual Syndrome: A Systematic Review of Current Literature.</w:t>
      </w:r>
      <w:r>
        <w:t xml:space="preserve"> 2020.</w:t>
      </w:r>
    </w:p>
    <w:p>
      <w:r>
        <w:rPr>
          <w:b/>
        </w:rPr>
        <w:t>PMID:</w:t>
      </w:r>
      <w:r>
        <w:t xml:space="preserve"> 33312465</w:t>
      </w:r>
    </w:p>
    <w:p>
      <w:r>
        <w:rPr>
          <w:b/>
        </w:rPr>
        <w:t>Tipo:</w:t>
      </w:r>
      <w:r>
        <w:t xml:space="preserve"> revisión sistemática.</w:t>
      </w:r>
    </w:p>
    <w:p>
      <w:r>
        <w:rPr>
          <w:b/>
        </w:rPr>
        <w:t>Base:</w:t>
      </w:r>
      <w:r>
        <w:t xml:space="preserve"> 14 estudios (8 interventionales + 6 observacionales).</w:t>
      </w:r>
    </w:p>
    <w:p>
      <w:r>
        <w:rPr>
          <w:b/>
        </w:rPr>
        <w:t>Hallazgo clave:</w:t>
      </w:r>
      <w:r>
        <w:t xml:space="preserve"> la mayoría de estudios sugiere mejora de síntomas de PMS con calcio; evidencia no homogénea.</w:t>
      </w:r>
    </w:p>
    <w:p>
      <w:r>
        <w:rPr>
          <w:b/>
        </w:rPr>
        <w:t>Aplicación Vitalitty:</w:t>
      </w:r>
      <w:r>
        <w:t xml:space="preserve"> valorar ingesta adecuada de calcio; suplementación solo cuando encaje en el contexto dietético/clínico.</w:t>
      </w:r>
    </w:p>
    <w:p>
      <w:r>
        <w:rPr>
          <w:b/>
        </w:rPr>
        <w:t>Enlace:</w:t>
      </w:r>
      <w:r>
        <w:t xml:space="preserve"> </w:t>
      </w:r>
      <w:hyperlink r:id="rId30">
        <w:r>
          <w:rPr>
            <w:color w:val="0563C1"/>
            <w:u w:val="single"/>
          </w:rPr>
          <w:t>https://pubmed.ncbi.nlm.nih.gov/33312465/</w:t>
        </w:r>
      </w:hyperlink>
    </w:p>
    <w:p>
      <w:pPr>
        <w:pStyle w:val="Heading2"/>
      </w:pPr>
      <w:r>
        <w:t>W5 — Calcio y retención hídrica premenstrual (RCT)</w:t>
      </w:r>
    </w:p>
    <w:p>
      <w:r>
        <w:rPr>
          <w:b/>
        </w:rPr>
        <w:t>Referencia:</w:t>
      </w:r>
      <w:r>
        <w:t xml:space="preserve"> Thys-Jacobs S et al. </w:t>
      </w:r>
      <w:r>
        <w:rPr>
          <w:i/>
        </w:rPr>
        <w:t>Calcium supplementation in premenstrual syndrome: a randomized crossover trial.</w:t>
      </w:r>
      <w:r>
        <w:t xml:space="preserve"> 1989.</w:t>
      </w:r>
    </w:p>
    <w:p>
      <w:r>
        <w:rPr>
          <w:b/>
        </w:rPr>
        <w:t>PMID:</w:t>
      </w:r>
      <w:r>
        <w:t xml:space="preserve"> 2656936</w:t>
      </w:r>
    </w:p>
    <w:p>
      <w:r>
        <w:rPr>
          <w:b/>
        </w:rPr>
        <w:t>Tipo:</w:t>
      </w:r>
      <w:r>
        <w:t xml:space="preserve"> RCT cruzado, doble ciego.</w:t>
      </w:r>
    </w:p>
    <w:p>
      <w:r>
        <w:rPr>
          <w:b/>
        </w:rPr>
        <w:t>Hallazgo clave:</w:t>
      </w:r>
      <w:r>
        <w:t xml:space="preserve"> 1.000 mg de carbonato cálcico redujo varios dominios de PMS; la retención de agua mejoró significativamente.</w:t>
      </w:r>
    </w:p>
    <w:p>
      <w:r>
        <w:rPr>
          <w:b/>
        </w:rPr>
        <w:t>Aplicación Vitalitty:</w:t>
      </w:r>
      <w:r>
        <w:t xml:space="preserve"> evidencia directa pero antigua y pequeña; usar como apoyo, no como regla universal.</w:t>
      </w:r>
    </w:p>
    <w:p>
      <w:r>
        <w:rPr>
          <w:b/>
        </w:rPr>
        <w:t>Enlace:</w:t>
      </w:r>
      <w:r>
        <w:t xml:space="preserve"> </w:t>
      </w:r>
      <w:hyperlink r:id="rId31">
        <w:r>
          <w:rPr>
            <w:color w:val="0563C1"/>
            <w:u w:val="single"/>
          </w:rPr>
          <w:t>https://pubmed.ncbi.nlm.nih.gov/2656936/</w:t>
        </w:r>
      </w:hyperlink>
    </w:p>
    <w:p>
      <w:pPr>
        <w:pStyle w:val="Heading2"/>
      </w:pPr>
      <w:r>
        <w:t>W6 — Calcio y PMS (RCT multicéntrico)</w:t>
      </w:r>
    </w:p>
    <w:p>
      <w:r>
        <w:rPr>
          <w:b/>
        </w:rPr>
        <w:t>Referencia:</w:t>
      </w:r>
      <w:r>
        <w:t xml:space="preserve"> </w:t>
      </w:r>
      <w:r>
        <w:rPr>
          <w:i/>
        </w:rPr>
        <w:t>Calcium carbonate and the premenstrual syndrome: effects on premenstrual and menstrual symptoms.</w:t>
      </w:r>
      <w:r>
        <w:t xml:space="preserve"> 1998.</w:t>
      </w:r>
    </w:p>
    <w:p>
      <w:r>
        <w:rPr>
          <w:b/>
        </w:rPr>
        <w:t>PMID:</w:t>
      </w:r>
      <w:r>
        <w:t xml:space="preserve"> 9731851</w:t>
      </w:r>
    </w:p>
    <w:p>
      <w:r>
        <w:rPr>
          <w:b/>
        </w:rPr>
        <w:t>Tipo:</w:t>
      </w:r>
      <w:r>
        <w:t xml:space="preserve"> RCT multicéntrico.</w:t>
      </w:r>
    </w:p>
    <w:p>
      <w:r>
        <w:rPr>
          <w:b/>
        </w:rPr>
        <w:t>Muestra:</w:t>
      </w:r>
      <w:r>
        <w:t xml:space="preserve"> 466 mujeres válidas para eficacia.</w:t>
      </w:r>
    </w:p>
    <w:p>
      <w:r>
        <w:rPr>
          <w:b/>
        </w:rPr>
        <w:t>Intervención:</w:t>
      </w:r>
      <w:r>
        <w:t xml:space="preserve"> 1.200 mg/día de calcio elemental durante 3 ciclos.</w:t>
      </w:r>
    </w:p>
    <w:p>
      <w:r>
        <w:rPr>
          <w:b/>
        </w:rPr>
        <w:t>Hallazgo clave:</w:t>
      </w:r>
      <w:r>
        <w:t xml:space="preserve"> evaluó síntomas globales y dominios específicos, incluida retención de agua.</w:t>
      </w:r>
    </w:p>
    <w:p>
      <w:r>
        <w:rPr>
          <w:b/>
        </w:rPr>
        <w:t>Aplicación Vitalitty:</w:t>
      </w:r>
      <w:r>
        <w:t xml:space="preserve"> apoya la consideración del calcio en PMS, siempre individualizando ingesta total y seguridad.</w:t>
      </w:r>
    </w:p>
    <w:p>
      <w:r>
        <w:rPr>
          <w:b/>
        </w:rPr>
        <w:t>Enlace:</w:t>
      </w:r>
      <w:r>
        <w:t xml:space="preserve"> </w:t>
      </w:r>
      <w:hyperlink r:id="rId32">
        <w:r>
          <w:rPr>
            <w:color w:val="0563C1"/>
            <w:u w:val="single"/>
          </w:rPr>
          <w:t>https://pubmed.ncbi.nlm.nih.gov/9731851/</w:t>
        </w:r>
      </w:hyperlink>
    </w:p>
    <w:p>
      <w:pPr>
        <w:pStyle w:val="Heading2"/>
      </w:pPr>
      <w:r>
        <w:t>W7 — Zinc y PMS</w:t>
      </w:r>
    </w:p>
    <w:p>
      <w:r>
        <w:rPr>
          <w:b/>
        </w:rPr>
        <w:t>Referencia:</w:t>
      </w:r>
      <w:r>
        <w:t xml:space="preserve"> </w:t>
      </w:r>
      <w:r>
        <w:rPr>
          <w:i/>
        </w:rPr>
        <w:t>Effect of zinc supplementation on premenstrual symptoms: A systematic review and meta-analysis.</w:t>
      </w:r>
      <w:r>
        <w:t xml:space="preserve"> 2025.</w:t>
      </w:r>
    </w:p>
    <w:p>
      <w:r>
        <w:rPr>
          <w:b/>
        </w:rPr>
        <w:t>PMID:</w:t>
      </w:r>
      <w:r>
        <w:t xml:space="preserve"> 40737185</w:t>
      </w:r>
    </w:p>
    <w:p>
      <w:r>
        <w:rPr>
          <w:b/>
        </w:rPr>
        <w:t>Tipo:</w:t>
      </w:r>
      <w:r>
        <w:t xml:space="preserve"> revisión sistemática + metaanálisis.</w:t>
      </w:r>
    </w:p>
    <w:p>
      <w:r>
        <w:rPr>
          <w:b/>
        </w:rPr>
        <w:t>Hallazgo clave:</w:t>
      </w:r>
      <w:r>
        <w:t xml:space="preserve"> reducción de síntomas globales y emocionales con certeza moderada; síntomas físicos con certeza baja; pocos ensayos y heterogeneidad.</w:t>
      </w:r>
    </w:p>
    <w:p>
      <w:r>
        <w:rPr>
          <w:b/>
        </w:rPr>
        <w:t>Aplicación Vitalitty:</w:t>
      </w:r>
      <w:r>
        <w:t xml:space="preserve"> evidencia prometedora, todavía no suficiente para recomendación indiscriminada.</w:t>
      </w:r>
    </w:p>
    <w:p>
      <w:r>
        <w:rPr>
          <w:b/>
        </w:rPr>
        <w:t>Enlace:</w:t>
      </w:r>
      <w:r>
        <w:t xml:space="preserve"> </w:t>
      </w:r>
      <w:hyperlink r:id="rId33">
        <w:r>
          <w:rPr>
            <w:color w:val="0563C1"/>
            <w:u w:val="single"/>
          </w:rPr>
          <w:t>https://pubmed.ncbi.nlm.nih.gov/40737185/</w:t>
        </w:r>
      </w:hyperlink>
    </w:p>
    <w:p>
      <w:pPr>
        <w:pStyle w:val="Heading2"/>
      </w:pPr>
      <w:r>
        <w:t>W8 — Zinc y PMS, metaanálisis adicional</w:t>
      </w:r>
    </w:p>
    <w:p>
      <w:r>
        <w:rPr>
          <w:b/>
        </w:rPr>
        <w:t>Referencia:</w:t>
      </w:r>
      <w:r>
        <w:t xml:space="preserve"> Haider S et al. </w:t>
      </w:r>
      <w:r>
        <w:rPr>
          <w:i/>
        </w:rPr>
        <w:t>A systematic review and meta-analysis examining the role of zinc supplementation in ameliorating physical and psychological manifestations of premenstrual syndrome in young females.</w:t>
      </w:r>
      <w:r>
        <w:t xml:space="preserve"> 2025.</w:t>
      </w:r>
    </w:p>
    <w:p>
      <w:r>
        <w:rPr>
          <w:b/>
        </w:rPr>
        <w:t>PMID:</w:t>
      </w:r>
      <w:r>
        <w:t xml:space="preserve"> 40435711</w:t>
      </w:r>
    </w:p>
    <w:p>
      <w:r>
        <w:rPr>
          <w:b/>
        </w:rPr>
        <w:t>Tipo:</w:t>
      </w:r>
      <w:r>
        <w:t xml:space="preserve"> revisión sistemática + metaanálisis.</w:t>
      </w:r>
    </w:p>
    <w:p>
      <w:r>
        <w:rPr>
          <w:b/>
        </w:rPr>
        <w:t>Base:</w:t>
      </w:r>
      <w:r>
        <w:t xml:space="preserve"> 5 estudios.</w:t>
      </w:r>
    </w:p>
    <w:p>
      <w:r>
        <w:rPr>
          <w:b/>
        </w:rPr>
        <w:t>Hallazgo clave:</w:t>
      </w:r>
      <w:r>
        <w:t xml:space="preserve"> mejoría de síntomas físicos y varios dominios psicológicos.</w:t>
      </w:r>
    </w:p>
    <w:p>
      <w:r>
        <w:rPr>
          <w:b/>
        </w:rPr>
        <w:t>Aplicación Vitalitty:</w:t>
      </w:r>
      <w:r>
        <w:t xml:space="preserve"> fuente complementaria; el número de estudios sigue siendo limitado.</w:t>
      </w:r>
    </w:p>
    <w:p>
      <w:r>
        <w:rPr>
          <w:b/>
        </w:rPr>
        <w:t>Enlace:</w:t>
      </w:r>
      <w:r>
        <w:t xml:space="preserve"> </w:t>
      </w:r>
      <w:hyperlink r:id="rId34">
        <w:r>
          <w:rPr>
            <w:color w:val="0563C1"/>
            <w:u w:val="single"/>
          </w:rPr>
          <w:t>https://pubmed.ncbi.nlm.nih.gov/40435711/</w:t>
        </w:r>
      </w:hyperlink>
    </w:p>
    <w:p>
      <w:pPr>
        <w:pStyle w:val="Heading2"/>
      </w:pPr>
      <w:r>
        <w:t>W9 — Vitamina D y PMS</w:t>
      </w:r>
    </w:p>
    <w:p>
      <w:r>
        <w:rPr>
          <w:b/>
        </w:rPr>
        <w:t>Referencia:</w:t>
      </w:r>
      <w:r>
        <w:t xml:space="preserve"> Zainab A et al. </w:t>
      </w:r>
      <w:r>
        <w:rPr>
          <w:i/>
        </w:rPr>
        <w:t>Efficacy of Vitamin D Supplementation to Alleviate Premenstrual Syndrome Symptoms: A Systematic Review and Meta-Analysis of Randomized Controlled Trials.</w:t>
      </w:r>
      <w:r>
        <w:t xml:space="preserve"> 2026.</w:t>
      </w:r>
    </w:p>
    <w:p>
      <w:r>
        <w:rPr>
          <w:b/>
        </w:rPr>
        <w:t>PMID:</w:t>
      </w:r>
      <w:r>
        <w:t xml:space="preserve"> 42355996</w:t>
      </w:r>
    </w:p>
    <w:p>
      <w:r>
        <w:rPr>
          <w:b/>
        </w:rPr>
        <w:t>Tipo:</w:t>
      </w:r>
      <w:r>
        <w:t xml:space="preserve"> revisión sistemática + metaanálisis de RCT.</w:t>
      </w:r>
    </w:p>
    <w:p>
      <w:r>
        <w:rPr>
          <w:b/>
        </w:rPr>
        <w:t>Muestra:</w:t>
      </w:r>
      <w:r>
        <w:t xml:space="preserve"> 5 RCT; 436 participantes.</w:t>
      </w:r>
    </w:p>
    <w:p>
      <w:r>
        <w:rPr>
          <w:b/>
        </w:rPr>
        <w:t>Hallazgo clave:</w:t>
      </w:r>
      <w:r>
        <w:t xml:space="preserve"> reducción de severidad global, síntomas físicos y depresión; sin efecto significativo en ansiedad, craving ni retención de agua. Certeza global muy baja.</w:t>
      </w:r>
    </w:p>
    <w:p>
      <w:r>
        <w:rPr>
          <w:b/>
        </w:rPr>
        <w:t>Aplicación Vitalitty:</w:t>
      </w:r>
      <w:r>
        <w:t xml:space="preserve"> NO recomendar vitamina D específicamente como estrategia para “eliminar líquidos”.</w:t>
      </w:r>
    </w:p>
    <w:p>
      <w:r>
        <w:rPr>
          <w:b/>
        </w:rPr>
        <w:t>Enlace:</w:t>
      </w:r>
      <w:r>
        <w:t xml:space="preserve"> </w:t>
      </w:r>
      <w:hyperlink r:id="rId35">
        <w:r>
          <w:rPr>
            <w:color w:val="0563C1"/>
            <w:u w:val="single"/>
          </w:rPr>
          <w:t>https://pubmed.ncbi.nlm.nih.gov/42355996/</w:t>
        </w:r>
      </w:hyperlink>
    </w:p>
    <w:p>
      <w:pPr>
        <w:pStyle w:val="Heading2"/>
      </w:pPr>
      <w:r>
        <w:t>W10 — Magnesio y PMS</w:t>
      </w:r>
    </w:p>
    <w:p>
      <w:r>
        <w:rPr>
          <w:b/>
        </w:rPr>
        <w:t>Referencia:</w:t>
      </w:r>
      <w:r>
        <w:t xml:space="preserve"> Moslehi M et al. </w:t>
      </w:r>
      <w:r>
        <w:rPr>
          <w:i/>
        </w:rPr>
        <w:t>The Association Between Serum Magnesium and Premenstrual Syndrome: a Systematic Review and Meta-Analysis of Observational Studies.</w:t>
      </w:r>
      <w:r>
        <w:t xml:space="preserve"> 2019.</w:t>
      </w:r>
    </w:p>
    <w:p>
      <w:r>
        <w:rPr>
          <w:b/>
        </w:rPr>
        <w:t>PMID:</w:t>
      </w:r>
      <w:r>
        <w:t xml:space="preserve"> 30880352</w:t>
      </w:r>
    </w:p>
    <w:p>
      <w:r>
        <w:rPr>
          <w:b/>
        </w:rPr>
        <w:t>Tipo:</w:t>
      </w:r>
      <w:r>
        <w:t xml:space="preserve"> revisión sistemática + metaanálisis observacional.</w:t>
      </w:r>
    </w:p>
    <w:p>
      <w:r>
        <w:rPr>
          <w:b/>
        </w:rPr>
        <w:t>Hallazgo clave:</w:t>
      </w:r>
      <w:r>
        <w:t xml:space="preserve"> no se encontró asociación consistente entre magnesio sérico/eritrocitario y PMS; no demuestra eficacia terapéutica del suplemento.</w:t>
      </w:r>
    </w:p>
    <w:p>
      <w:r>
        <w:rPr>
          <w:b/>
        </w:rPr>
        <w:t>Aplicación Vitalitty:</w:t>
      </w:r>
      <w:r>
        <w:t xml:space="preserve"> NO usar este trabajo como justificación para suplementar magnesio contra la retención; se necesitan RCT terapéuticos específicos.</w:t>
      </w:r>
    </w:p>
    <w:p>
      <w:r>
        <w:rPr>
          <w:b/>
        </w:rPr>
        <w:t>Enlace:</w:t>
      </w:r>
      <w:r>
        <w:t xml:space="preserve"> </w:t>
      </w:r>
      <w:hyperlink r:id="rId36">
        <w:r>
          <w:rPr>
            <w:color w:val="0563C1"/>
            <w:u w:val="single"/>
          </w:rPr>
          <w:t>https://pubmed.ncbi.nlm.nih.gov/30880352/</w:t>
        </w:r>
      </w:hyperlink>
    </w:p>
    <w:p>
      <w:pPr>
        <w:pStyle w:val="Heading2"/>
      </w:pPr>
      <w:r>
        <w:t>W11 — Curcumina y PMS/dismenorrea — EXCLUIDO</w:t>
      </w:r>
    </w:p>
    <w:p>
      <w:r>
        <w:rPr>
          <w:b/>
        </w:rPr>
        <w:t>Referencia:</w:t>
      </w:r>
      <w:r>
        <w:t xml:space="preserve"> </w:t>
      </w:r>
      <w:r>
        <w:rPr>
          <w:i/>
        </w:rPr>
        <w:t>Effect of Curcumin on Dysmenorrhea and Symptoms of Premenstrual Syndrome: A Systematic Review and Meta-Analysis.</w:t>
      </w:r>
    </w:p>
    <w:p>
      <w:r>
        <w:rPr>
          <w:b/>
        </w:rPr>
        <w:t>PMID:</w:t>
      </w:r>
      <w:r>
        <w:t xml:space="preserve"> 38266637</w:t>
      </w:r>
    </w:p>
    <w:p>
      <w:r>
        <w:rPr>
          <w:b/>
        </w:rPr>
        <w:t>Estado:</w:t>
      </w:r>
      <w:r>
        <w:t xml:space="preserve"> </w:t>
      </w:r>
      <w:r>
        <w:rPr>
          <w:b/>
        </w:rPr>
        <w:t>RETRACTADO en 2025</w:t>
      </w:r>
      <w:r>
        <w:t>.</w:t>
      </w:r>
    </w:p>
    <w:p>
      <w:r>
        <w:rPr>
          <w:b/>
        </w:rPr>
        <w:t>Aplicación Vitalitty:</w:t>
      </w:r>
      <w:r>
        <w:t xml:space="preserve"> </w:t>
      </w:r>
      <w:r>
        <w:rPr>
          <w:b/>
        </w:rPr>
        <w:t>NO usar como fuente de recomendación. Mantener únicamente en lista de exclusión para evitar reutilización accidental.</w:t>
      </w:r>
    </w:p>
    <w:p>
      <w:r>
        <w:rPr>
          <w:b/>
        </w:rPr>
        <w:t>Enlace:</w:t>
      </w:r>
      <w:r>
        <w:t xml:space="preserve"> </w:t>
      </w:r>
      <w:hyperlink r:id="rId37">
        <w:r>
          <w:rPr>
            <w:color w:val="0563C1"/>
            <w:u w:val="single"/>
          </w:rPr>
          <w:t>https://pubmed.ncbi.nlm.nih.gov/38266637/</w:t>
        </w:r>
      </w:hyperlink>
    </w:p>
    <w:p>
      <w:pPr>
        <w:pStyle w:val="Heading3"/>
      </w:pPr>
      <w:r>
        <w:t>Regla interna Vitalitty — Mujeres / hinchazón</w:t>
      </w:r>
    </w:p>
    <w:p>
      <w:r>
        <w:t>Antes de sugerir una estrategia, clasificar el problema en una de estas categorías:</w:t>
      </w:r>
    </w:p>
    <w:p>
      <w:pPr>
        <w:pStyle w:val="ListNumber"/>
      </w:pPr>
      <w:r>
        <w:rPr>
          <w:b/>
        </w:rPr>
        <w:t>Inflamación sistémica/metabólica</w:t>
      </w:r>
      <w:r>
        <w:t xml:space="preserve"> → patrón dietético global, peso/adiposidad cuando proceda, ejercicio, sueño y patología de base.</w:t>
      </w:r>
    </w:p>
    <w:p>
      <w:pPr>
        <w:pStyle w:val="ListNumber"/>
      </w:pPr>
      <w:r>
        <w:rPr>
          <w:b/>
        </w:rPr>
        <w:t>Distensión abdominal</w:t>
      </w:r>
      <w:r>
        <w:t xml:space="preserve"> → investigar fermentación, tránsito, FODMAP según indicación, intolerancias y patología digestiva.</w:t>
      </w:r>
    </w:p>
    <w:p>
      <w:pPr>
        <w:pStyle w:val="ListNumber"/>
      </w:pPr>
      <w:r>
        <w:rPr>
          <w:b/>
        </w:rPr>
        <w:t>Retención hídrica/edema</w:t>
      </w:r>
      <w:r>
        <w:t xml:space="preserve"> → diferenciar cambios cíclicos de edema patológico; revisar sodio, actividad, hidratación, fármacos y signos de alarma.</w:t>
      </w:r>
    </w:p>
    <w:p>
      <w:pPr>
        <w:pStyle w:val="ListNumber"/>
      </w:pPr>
      <w:r>
        <w:rPr>
          <w:b/>
        </w:rPr>
        <w:t>PMS/dismenorrea</w:t>
      </w:r>
      <w:r>
        <w:t xml:space="preserve"> → intervenir según síntoma y evidencia específica; no mezclar automáticamente con “inflamación”.</w:t>
      </w:r>
    </w:p>
    <w:p>
      <w:pPr>
        <w:pStyle w:val="Heading1"/>
      </w:pPr>
      <w:r>
        <w:t>4. REGLAS DE CALIDAD PARA EL EDITOR VITALITTY</w:t>
      </w:r>
    </w:p>
    <w:p>
      <w:pPr>
        <w:pStyle w:val="ListBullet"/>
      </w:pPr>
      <w:r>
        <w:t>Priorizar metaanálisis de RCT, umbrella reviews y guías de práctica clínica de alta calidad.</w:t>
      </w:r>
    </w:p>
    <w:p>
      <w:pPr>
        <w:pStyle w:val="ListBullet"/>
      </w:pPr>
      <w:r>
        <w:t>Registrar siempre PMID/DOI/enlace y fecha de actualización.</w:t>
      </w:r>
    </w:p>
    <w:p>
      <w:pPr>
        <w:pStyle w:val="ListBullet"/>
      </w:pPr>
      <w:r>
        <w:t>No extrapolar resultados de personas sanas a pacientes con patología sin evidencia específica.</w:t>
      </w:r>
    </w:p>
    <w:p>
      <w:pPr>
        <w:pStyle w:val="ListBullet"/>
      </w:pPr>
      <w:r>
        <w:t>Distinguir masa libre de grasa de masa muscular real.</w:t>
      </w:r>
    </w:p>
    <w:p>
      <w:pPr>
        <w:pStyle w:val="ListBullet"/>
      </w:pPr>
      <w:r>
        <w:t>Distinguir cambio de microbiota de beneficio clínico demostrado.</w:t>
      </w:r>
    </w:p>
    <w:p>
      <w:pPr>
        <w:pStyle w:val="ListBullet"/>
      </w:pPr>
      <w:r>
        <w:t>Distinguir PMS, distensión abdominal, inflamación sistémica y edema.</w:t>
      </w:r>
    </w:p>
    <w:p>
      <w:pPr>
        <w:pStyle w:val="ListBullet"/>
      </w:pPr>
      <w:r>
        <w:t>No convertir dosis estudiadas en una pauta universal automática.</w:t>
      </w:r>
    </w:p>
    <w:p>
      <w:pPr>
        <w:pStyle w:val="ListBullet"/>
      </w:pPr>
      <w:r>
        <w:t>Marcar expresamente evidencia baja/muy baja y estudios retractados.</w:t>
      </w:r>
    </w:p>
    <w:p>
      <w:pPr>
        <w:pStyle w:val="ListBullet"/>
      </w:pPr>
      <w:r>
        <w:t>Si una recomendación tiene evidencia contradictoria, el editor debe mostrar incertidumbre y evitar afirmaciones categóricas.</w:t>
      </w:r>
    </w:p>
    <w:p>
      <w:pPr>
        <w:pStyle w:val="ListBullet"/>
      </w:pPr>
      <w:r>
        <w:t>Toda recomendación clínica debe poder rastrearse hasta una o más fuentes concretas de esta biblioteca.</w:t>
      </w:r>
    </w:p>
    <w:p>
      <w:pPr>
        <w:pStyle w:val="Heading1"/>
      </w:pPr>
      <w:r>
        <w:t>5. ESTADO DE ESTA BASE</w:t>
      </w:r>
    </w:p>
    <w:p>
      <w:r>
        <w:rPr>
          <w:b/>
        </w:rPr>
        <w:t>Versión:</w:t>
      </w:r>
      <w:r>
        <w:t xml:space="preserve"> 1.0</w:t>
      </w:r>
    </w:p>
    <w:p>
      <w:r>
        <w:rPr>
          <w:b/>
        </w:rPr>
        <w:t>Bloques incluidos:</w:t>
      </w:r>
      <w:r>
        <w:t xml:space="preserve"> Hipertrofia, microbiota, inflamación/PMS/retención de líquidos.</w:t>
      </w:r>
    </w:p>
    <w:p>
      <w:r>
        <w:rPr>
          <w:b/>
        </w:rPr>
        <w:t>Próximos bloques sugeridos:</w:t>
      </w:r>
      <w:r>
        <w:t xml:space="preserve"> pérdida de grasa/saciedad; diabetes/resistencia a la insulina; colesterol; hipertensión; SOP; menopausia; SIBO/low-FODMAP; estreñimiento; rendimiento deportivo; sueño; salud cardiovascular.</w:t>
      </w:r>
    </w:p>
    <w:p>
      <w:pPr>
        <w:sectPr>
          <w:pgSz w:w="12240" w:h="15840"/>
          <w:pgMar w:top="964" w:right="1020" w:bottom="907" w:left="1020" w:header="397" w:footer="397" w:gutter="0"/>
          <w:cols w:space="720"/>
          <w:docGrid w:linePitch="360"/>
        </w:sectPr>
      </w:pPr>
    </w:p>
    <w:p>
      <w:pPr>
        <w:pStyle w:val="Title"/>
      </w:pPr>
      <w:r>
        <w:t>PARTE II</w:t>
      </w:r>
    </w:p>
    <w:p>
      <w:r>
        <w:rPr>
          <w:b/>
        </w:rPr>
        <w:t>Composición corporal · Pérdida de grasa · Hipertrofia · Salud hormonal · Menopausia · Estrés y cortisol</w:t>
      </w:r>
    </w:p>
    <w:p>
      <w:pPr>
        <w:pStyle w:val="Heading1"/>
      </w:pPr>
      <w:r>
        <w:t>VITALITTY — BASE CIENTÍFICA 02</w:t>
      </w:r>
    </w:p>
    <w:p>
      <w:pPr>
        <w:pStyle w:val="Heading2"/>
      </w:pPr>
      <w:r>
        <w:t>Composición corporal, pérdida de grasa, hipertrofia, salud hormonal, menopausia, testosterona, estrés y cortisol</w:t>
      </w:r>
    </w:p>
    <w:p>
      <w:r>
        <w:rPr>
          <w:b/>
        </w:rPr>
        <w:t>Versión:</w:t>
      </w:r>
      <w:r>
        <w:t xml:space="preserve"> 05/09/2026</w:t>
      </w:r>
    </w:p>
    <w:p>
      <w:r>
        <w:rPr>
          <w:b/>
        </w:rPr>
        <w:t>Uso:</w:t>
      </w:r>
      <w:r>
        <w:t xml:space="preserve"> conocimiento interno del Editor Vitalitty. No es contenido que deba mostrarse automáticamente al paciente.</w:t>
      </w:r>
    </w:p>
    <w:p>
      <w:r>
        <w:rPr>
          <w:b/>
        </w:rPr>
        <w:t>Prioridad de evidencia:</w:t>
      </w:r>
      <w:r>
        <w:t xml:space="preserve"> metaanálisis / revisiones sistemáticas / umbrella reviews / position stands recientes.</w:t>
      </w:r>
    </w:p>
    <w:p>
      <w:pPr>
        <w:pStyle w:val="Heading1"/>
      </w:pPr>
      <w:r>
        <w:t>PRINCIPIOS GENERALES DEL EDITOR</w:t>
      </w:r>
    </w:p>
    <w:p>
      <w:pPr>
        <w:pStyle w:val="ListNumber"/>
      </w:pPr>
      <w:r>
        <w:rPr>
          <w:b/>
        </w:rPr>
        <w:t>No atribuir un estancamiento de peso a “las hormonas” sin demostrar primero la causa.</w:t>
      </w:r>
      <w:r>
        <w:t xml:space="preserve"> Estrés, sueño, menopausia, hipogonadismo, insulinorresistencia, medicación y otras condiciones pueden modificar hambre, adherencia, gasto espontáneo, rendimiento, distribución de grasa y retención hídrica, pero no “anulan” el balance energético.</w:t>
      </w:r>
    </w:p>
    <w:p>
      <w:pPr>
        <w:pStyle w:val="ListNumber"/>
      </w:pPr>
      <w:r>
        <w:rPr>
          <w:b/>
        </w:rPr>
        <w:t>No utilizar “cortisol alto = no puede perder grasa” como regla clínica.</w:t>
      </w:r>
      <w:r>
        <w:t xml:space="preserve"> La asociación entre cortisol crónico y adiposidad existe en algunos marcadores, pero no demuestra que el cortisol bloquee la pérdida de grasa cuando existe un déficit energético real y sostenido.</w:t>
      </w:r>
    </w:p>
    <w:p>
      <w:pPr>
        <w:pStyle w:val="ListNumber"/>
      </w:pPr>
      <w:r>
        <w:rPr>
          <w:b/>
        </w:rPr>
        <w:t>En obesidad masculina con testosterona baja, la pérdida de grasa es una intervención hormonal de primera línea basada en evidencia.</w:t>
      </w:r>
      <w:r>
        <w:t xml:space="preserve"> No sustituye el diagnóstico médico si existe hipogonadismo verdadero.</w:t>
      </w:r>
    </w:p>
    <w:p>
      <w:pPr>
        <w:pStyle w:val="ListNumber"/>
      </w:pPr>
      <w:r>
        <w:rPr>
          <w:b/>
        </w:rPr>
        <w:t>En peri/postmenopausia no intentar “restaurar” estrógenos o progesterona mediante alimentos o suplementos.</w:t>
      </w:r>
      <w:r>
        <w:t xml:space="preserve"> El objetivo nutricional es mejorar composición corporal, masa muscular, hueso, cardiometabolismo y síntomas; la terapia hormonal es un ámbito médico separado.</w:t>
      </w:r>
    </w:p>
    <w:p>
      <w:pPr>
        <w:pStyle w:val="ListNumber"/>
      </w:pPr>
      <w:r>
        <w:rPr>
          <w:b/>
        </w:rPr>
        <w:t>Proteína y entrenamiento de fuerza son las dos palancas principales para preservar/ganar músculo durante pérdida de peso.</w:t>
      </w:r>
    </w:p>
    <w:p>
      <w:pPr>
        <w:pStyle w:val="ListNumber"/>
      </w:pPr>
      <w:r>
        <w:rPr>
          <w:b/>
        </w:rPr>
        <w:t>Los hidratos se individualizan sobre todo por gasto, tolerancia, preferencias, control glucémico y demanda de entrenamiento.</w:t>
      </w:r>
      <w:r>
        <w:t xml:space="preserve"> No hay evidencia de que una dieta alta en hidratos aumente hipertrofia de forma independiente cuando energía y proteína están controladas.</w:t>
      </w:r>
    </w:p>
    <w:p>
      <w:pPr>
        <w:pStyle w:val="ListNumber"/>
      </w:pPr>
      <w:r>
        <w:rPr>
          <w:b/>
        </w:rPr>
        <w:t>No prescribir dietas altas en grasa con la justificación de “subir testosterona”.</w:t>
      </w:r>
      <w:r>
        <w:t xml:space="preserve"> El metaanálisis más reciente de RCT no muestra diferencias claras de hormonas sexuales entre dietas bajas y altas en grasa.</w:t>
      </w:r>
    </w:p>
    <w:p>
      <w:pPr>
        <w:pStyle w:val="ListNumber"/>
      </w:pPr>
      <w:r>
        <w:rPr>
          <w:b/>
        </w:rPr>
        <w:t>Los suplementos se usan como complemento, no como sustituto de energía adecuada, dieta, fuerza, sueño o diagnóstico médico.</w:t>
      </w:r>
    </w:p>
    <w:p>
      <w:pPr>
        <w:pStyle w:val="Heading1"/>
      </w:pPr>
      <w:r>
        <w:t>MÓDULO 1 — RECOMPOSICIÓN CORPORAL</w:t>
      </w:r>
    </w:p>
    <w:p>
      <w:pPr>
        <w:pStyle w:val="Heading2"/>
      </w:pPr>
      <w:r>
        <w:t>Objetivo: perder grasa manteniendo o aumentando masa muscular</w:t>
      </w:r>
    </w:p>
    <w:p>
      <w:pPr>
        <w:pStyle w:val="Heading3"/>
      </w:pPr>
      <w:r>
        <w:t>Jerarquía de intervención</w:t>
      </w:r>
    </w:p>
    <w:p>
      <w:pPr>
        <w:pStyle w:val="ListNumber"/>
      </w:pPr>
      <w:r>
        <w:t>Entrenamiento de fuerza progresivo.</w:t>
      </w:r>
    </w:p>
    <w:p>
      <w:pPr>
        <w:pStyle w:val="ListNumber"/>
      </w:pPr>
      <w:r>
        <w:t>Déficit energético moderado o mantenimiento energético según perfil y experiencia.</w:t>
      </w:r>
    </w:p>
    <w:p>
      <w:pPr>
        <w:pStyle w:val="ListNumber"/>
      </w:pPr>
      <w:r>
        <w:t>Proteína suficiente.</w:t>
      </w:r>
    </w:p>
    <w:p>
      <w:pPr>
        <w:pStyle w:val="ListNumber"/>
      </w:pPr>
      <w:r>
        <w:t>Carbohidratos suficientes para sostener calidad de entrenamiento.</w:t>
      </w:r>
    </w:p>
    <w:p>
      <w:pPr>
        <w:pStyle w:val="ListNumber"/>
      </w:pPr>
      <w:r>
        <w:t>Grasas suficientes y de buena calidad, evitando extremos innecesarios.</w:t>
      </w:r>
    </w:p>
    <w:p>
      <w:pPr>
        <w:pStyle w:val="ListNumber"/>
      </w:pPr>
      <w:r>
        <w:t>Creatina como suplemento principal si no hay contraindicación individual.</w:t>
      </w:r>
    </w:p>
    <w:p>
      <w:pPr>
        <w:pStyle w:val="ListNumber"/>
      </w:pPr>
      <w:r>
        <w:t>Sueño, estrés, NEAT/pasos y adherencia.</w:t>
      </w:r>
    </w:p>
    <w:p>
      <w:pPr>
        <w:pStyle w:val="Heading3"/>
      </w:pPr>
      <w:r>
        <w:t>Energía</w:t>
      </w:r>
    </w:p>
    <w:p>
      <w:pPr>
        <w:pStyle w:val="ListBullet"/>
      </w:pPr>
      <w:r>
        <w:t xml:space="preserve">Un metaanálisis con metarregresión encontró que déficits de aproximadamente </w:t>
      </w:r>
      <w:r>
        <w:rPr>
          <w:b/>
        </w:rPr>
        <w:t>500 kcal/día</w:t>
      </w:r>
      <w:r>
        <w:t xml:space="preserve"> impedían, de media, las ganancias de masa magra observadas con entrenamiento de fuerza.</w:t>
      </w:r>
    </w:p>
    <w:p>
      <w:pPr>
        <w:pStyle w:val="ListBullet"/>
      </w:pPr>
      <w:r>
        <w:t xml:space="preserve">Por tanto, cuando el objetivo prioritario es </w:t>
      </w:r>
      <w:r>
        <w:rPr>
          <w:b/>
        </w:rPr>
        <w:t>recomposición con posibilidad real de hipertrofia</w:t>
      </w:r>
      <w:r>
        <w:t>, evitar por defecto déficits agresivos.</w:t>
      </w:r>
    </w:p>
    <w:p>
      <w:pPr>
        <w:pStyle w:val="ListBullet"/>
      </w:pPr>
      <w:r>
        <w:rPr>
          <w:b/>
        </w:rPr>
        <w:t>Regla práctica Vitalitty:</w:t>
      </w:r>
      <w:r>
        <w:t xml:space="preserve"> iniciar normalmente con déficit pequeño/moderado y ajustar según grasa corporal, experiencia de entrenamiento, progreso y hambre. El porcentaje exacto (p. ej. 10–20%) es una heurística clínica, no un umbral demostrado por metaanálisis.</w:t>
      </w:r>
    </w:p>
    <w:p>
      <w:pPr>
        <w:pStyle w:val="ListBullet"/>
      </w:pPr>
      <w:r>
        <w:t>Sujetos novatos, con sobrepeso/obesidad o que retoman entrenamiento tienen mayor margen de recomposición que sujetos avanzados y muy magros.</w:t>
      </w:r>
    </w:p>
    <w:p>
      <w:r>
        <w:rPr>
          <w:b/>
        </w:rPr>
        <w:t>Fuente:</w:t>
      </w:r>
      <w:r>
        <w:t xml:space="preserve"> Energy deficiency impairs resistance training gains in lean mass but not strength. PMID 34623696.</w:t>
      </w:r>
    </w:p>
    <w:p>
      <w:hyperlink r:id="rId18">
        <w:r>
          <w:rPr>
            <w:color w:val="0563C1"/>
            <w:u w:val="single"/>
          </w:rPr>
          <w:t>https://pubmed.ncbi.nlm.nih.gov/34623696/</w:t>
        </w:r>
      </w:hyperlink>
    </w:p>
    <w:p>
      <w:pPr>
        <w:pStyle w:val="Heading3"/>
      </w:pPr>
      <w:r>
        <w:t>Proteína</w:t>
      </w:r>
    </w:p>
    <w:p>
      <w:pPr>
        <w:pStyle w:val="ListBullet"/>
      </w:pPr>
      <w:r>
        <w:t xml:space="preserve">En adultos con sobrepeso/obesidad durante pérdida de peso, una revisión de </w:t>
      </w:r>
      <w:r>
        <w:rPr>
          <w:b/>
        </w:rPr>
        <w:t>47 estudios / 3218 participantes</w:t>
      </w:r>
      <w:r>
        <w:t xml:space="preserve"> encontró mejor preservación muscular con mayor proteína.</w:t>
      </w:r>
    </w:p>
    <w:p>
      <w:pPr>
        <w:pStyle w:val="ListBullet"/>
      </w:pPr>
      <w:r>
        <w:rPr>
          <w:b/>
        </w:rPr>
        <w:t>&gt;1,3 g/kg/día</w:t>
      </w:r>
      <w:r>
        <w:t xml:space="preserve"> se asoció con mejor mantenimiento/ganancia de masa muscular; &lt;1,0 g/kg/día con más riesgo de pérdida muscular.</w:t>
      </w:r>
    </w:p>
    <w:p>
      <w:pPr>
        <w:pStyle w:val="ListBullet"/>
      </w:pPr>
      <w:r>
        <w:t xml:space="preserve">En deportistas o sujetos entrenados en déficit puede ser razonable moverse aproximadamente en </w:t>
      </w:r>
      <w:r>
        <w:rPr>
          <w:b/>
        </w:rPr>
        <w:t>1,6–2,4 g/kg/día</w:t>
      </w:r>
      <w:r>
        <w:t>, aumentando hacia el extremo superior cuanto más magro, entrenado o agresivo sea el déficit. Este rango es una recomendación práctica derivada de revisiones deportivas, no un único punto de corte universal.</w:t>
      </w:r>
    </w:p>
    <w:p>
      <w:pPr>
        <w:pStyle w:val="ListBullet"/>
      </w:pPr>
      <w:r>
        <w:t>En obesidad marcada no multiplicar automáticamente proteína por todo el peso real; individualizar con peso objetivo/ajustado o masa libre de grasa.</w:t>
      </w:r>
    </w:p>
    <w:p>
      <w:r>
        <w:rPr>
          <w:b/>
        </w:rPr>
        <w:t>Fuentes:</w:t>
      </w:r>
    </w:p>
    <w:p>
      <w:r>
        <w:t xml:space="preserve">PMID 39002131 — </w:t>
      </w:r>
      <w:hyperlink r:id="rId38">
        <w:r>
          <w:rPr>
            <w:color w:val="0563C1"/>
            <w:u w:val="single"/>
          </w:rPr>
          <w:t>https://pubmed.ncbi.nlm.nih.gov/39002131/</w:t>
        </w:r>
      </w:hyperlink>
    </w:p>
    <w:p>
      <w:r>
        <w:t xml:space="preserve">PMID 31794597 — </w:t>
      </w:r>
      <w:hyperlink r:id="rId39">
        <w:r>
          <w:rPr>
            <w:color w:val="0563C1"/>
            <w:u w:val="single"/>
          </w:rPr>
          <w:t>https://pubmed.ncbi.nlm.nih.gov/31794597/</w:t>
        </w:r>
      </w:hyperlink>
    </w:p>
    <w:p>
      <w:r>
        <w:t xml:space="preserve">PMID 29182451 — </w:t>
      </w:r>
      <w:hyperlink r:id="rId40">
        <w:r>
          <w:rPr>
            <w:color w:val="0563C1"/>
            <w:u w:val="single"/>
          </w:rPr>
          <w:t>https://pubmed.ncbi.nlm.nih.gov/29182451/</w:t>
        </w:r>
      </w:hyperlink>
    </w:p>
    <w:p>
      <w:pPr>
        <w:pStyle w:val="Heading3"/>
      </w:pPr>
      <w:r>
        <w:t>Hidratos de carbono</w:t>
      </w:r>
    </w:p>
    <w:p>
      <w:pPr>
        <w:pStyle w:val="ListBullet"/>
      </w:pPr>
      <w:r>
        <w:t xml:space="preserve">En 2026, un metaanálisis encontró que una ingesta mayor de hidratos </w:t>
      </w:r>
      <w:r>
        <w:rPr>
          <w:b/>
        </w:rPr>
        <w:t>no aumenta de forma independiente la hipertrofia</w:t>
      </w:r>
      <w:r>
        <w:t xml:space="preserve"> cuando la proteína se iguala; certeza baja.</w:t>
      </w:r>
    </w:p>
    <w:p>
      <w:pPr>
        <w:pStyle w:val="ListBullet"/>
      </w:pPr>
      <w:r>
        <w:t>Los hidratos sí pueden mejorar el volumen/rendimiento de sesiones largas o de alto volumen, sobre todo tras ayuno o cuando el entrenamiento dura &gt;45 min.</w:t>
      </w:r>
    </w:p>
    <w:p>
      <w:pPr>
        <w:pStyle w:val="ListBullet"/>
      </w:pPr>
      <w:r>
        <w:rPr>
          <w:b/>
        </w:rPr>
        <w:t>Regla Vitalitty:</w:t>
      </w:r>
      <w:r>
        <w:t xml:space="preserve"> no clasificar “hidrato rápido” como superior para hipertrofia. Usar alimentos poco procesados y ricos en fibra como base; reservar fuentes rápidas para pre/intra/postentreno cuando exista una necesidad deportiva real.</w:t>
      </w:r>
    </w:p>
    <w:p>
      <w:r>
        <w:rPr>
          <w:b/>
        </w:rPr>
        <w:t>Fuentes:</w:t>
      </w:r>
    </w:p>
    <w:p>
      <w:r>
        <w:t xml:space="preserve">PMID 41712097 — </w:t>
      </w:r>
      <w:hyperlink r:id="rId41">
        <w:r>
          <w:rPr>
            <w:color w:val="0563C1"/>
            <w:u w:val="single"/>
          </w:rPr>
          <w:t>https://pubmed.ncbi.nlm.nih.gov/41712097/</w:t>
        </w:r>
      </w:hyperlink>
    </w:p>
    <w:p>
      <w:r>
        <w:t xml:space="preserve">PMID 35809162 — </w:t>
      </w:r>
      <w:hyperlink r:id="rId42">
        <w:r>
          <w:rPr>
            <w:color w:val="0563C1"/>
            <w:u w:val="single"/>
          </w:rPr>
          <w:t>https://pubmed.ncbi.nlm.nih.gov/35809162/</w:t>
        </w:r>
      </w:hyperlink>
    </w:p>
    <w:p>
      <w:pPr>
        <w:pStyle w:val="Heading3"/>
      </w:pPr>
      <w:r>
        <w:t>Grasas</w:t>
      </w:r>
    </w:p>
    <w:p>
      <w:pPr>
        <w:pStyle w:val="ListBullet"/>
      </w:pPr>
      <w:r>
        <w:t>No existe evidencia sólida para aumentar grasa dietética con el objetivo específico de elevar testosterona/estrógenos/progesterona.</w:t>
      </w:r>
    </w:p>
    <w:p>
      <w:pPr>
        <w:pStyle w:val="ListBullet"/>
      </w:pPr>
      <w:r>
        <w:t>Metaanálisis 2025 de 11 RCT / 888 participantes: sin diferencias significativas entre dietas bajas y altas en grasa en testosterona, estradiol, progesterona, SHBG, DHEA, estrona o androstenediona; certeza limitada.</w:t>
      </w:r>
    </w:p>
    <w:p>
      <w:pPr>
        <w:pStyle w:val="ListBullet"/>
      </w:pPr>
      <w:r>
        <w:rPr>
          <w:b/>
        </w:rPr>
        <w:t>Regla práctica:</w:t>
      </w:r>
      <w:r>
        <w:t xml:space="preserve"> evitar dietas extremadamente bajas en grasa durante largos periodos; como marco general, aproximadamente 25–35% de energía puede ser un punto de partida razonable, individualizable. Este rango es práctico, no un “óptimo hormonal” demostrado.</w:t>
      </w:r>
    </w:p>
    <w:p>
      <w:r>
        <w:rPr>
          <w:b/>
        </w:rPr>
        <w:t>Fuente:</w:t>
      </w:r>
      <w:r>
        <w:t xml:space="preserve"> PMID 40387562 — </w:t>
      </w:r>
      <w:hyperlink r:id="rId43">
        <w:r>
          <w:rPr>
            <w:color w:val="0563C1"/>
            <w:u w:val="single"/>
          </w:rPr>
          <w:t>https://pubmed.ncbi.nlm.nih.gov/40387562/</w:t>
        </w:r>
      </w:hyperlink>
    </w:p>
    <w:p>
      <w:pPr>
        <w:pStyle w:val="Heading3"/>
      </w:pPr>
      <w:r>
        <w:t>Entrenamiento</w:t>
      </w:r>
    </w:p>
    <w:p>
      <w:pPr>
        <w:pStyle w:val="ListBullet"/>
      </w:pPr>
      <w:r>
        <w:t xml:space="preserve">La adición de resistencia durante dieta en sobrepeso/obesidad </w:t>
      </w:r>
      <w:r>
        <w:rPr>
          <w:b/>
        </w:rPr>
        <w:t>protege masa libre de grasa y aumenta la pérdida de grasa</w:t>
      </w:r>
      <w:r>
        <w:t xml:space="preserve"> frente a dieta sola.</w:t>
      </w:r>
    </w:p>
    <w:p>
      <w:pPr>
        <w:pStyle w:val="ListBullet"/>
      </w:pPr>
      <w:r>
        <w:t>Meta 2025: 25 RCT; preservación de FFM y mayor pérdida de FM.</w:t>
      </w:r>
    </w:p>
    <w:p>
      <w:pPr>
        <w:pStyle w:val="ListBullet"/>
      </w:pPr>
      <w:r>
        <w:t>Meta 2026: 34 RCT / 1455 participantes; ejercicio + restricción calórica preservó ~0,87 kg más FFM y previno aproximadamente 46% de la pérdida de FFM de media.</w:t>
      </w:r>
    </w:p>
    <w:p>
      <w:r>
        <w:rPr>
          <w:b/>
        </w:rPr>
        <w:t>Fuentes:</w:t>
      </w:r>
    </w:p>
    <w:p>
      <w:r>
        <w:t xml:space="preserve">PMID 40909191 — </w:t>
      </w:r>
      <w:hyperlink r:id="rId44">
        <w:r>
          <w:rPr>
            <w:color w:val="0563C1"/>
            <w:u w:val="single"/>
          </w:rPr>
          <w:t>https://pubmed.ncbi.nlm.nih.gov/40909191/</w:t>
        </w:r>
      </w:hyperlink>
    </w:p>
    <w:p>
      <w:r>
        <w:t xml:space="preserve">PMID 42144246 — </w:t>
      </w:r>
      <w:hyperlink r:id="rId45">
        <w:r>
          <w:rPr>
            <w:color w:val="0563C1"/>
            <w:u w:val="single"/>
          </w:rPr>
          <w:t>https://pubmed.ncbi.nlm.nih.gov/42144246/</w:t>
        </w:r>
      </w:hyperlink>
    </w:p>
    <w:p>
      <w:pPr>
        <w:pStyle w:val="Heading3"/>
      </w:pPr>
      <w:r>
        <w:t>Suplementos prioritarios</w:t>
      </w:r>
    </w:p>
    <w:p>
      <w:pPr>
        <w:pStyle w:val="ListBullet"/>
      </w:pPr>
      <w:r>
        <w:rPr>
          <w:b/>
        </w:rPr>
        <w:t>Creatina monohidrato:</w:t>
      </w:r>
      <w:r>
        <w:t xml:space="preserve"> 3–5 g/día como pauta práctica general; evidencia sólida de mejora de rendimiento/masa magra con fuerza. No es quemagrasas.</w:t>
      </w:r>
    </w:p>
    <w:p>
      <w:pPr>
        <w:pStyle w:val="ListBullet"/>
      </w:pPr>
      <w:r>
        <w:rPr>
          <w:b/>
        </w:rPr>
        <w:t>Proteína en polvo:</w:t>
      </w:r>
      <w:r>
        <w:t xml:space="preserve"> herramienta de adherencia para llegar a proteína total; no necesaria si la dieta cubre objetivos.</w:t>
      </w:r>
    </w:p>
    <w:p>
      <w:pPr>
        <w:pStyle w:val="ListBullet"/>
      </w:pPr>
      <w:r>
        <w:rPr>
          <w:b/>
        </w:rPr>
        <w:t>Cafeína:</w:t>
      </w:r>
      <w:r>
        <w:t xml:space="preserve"> útil para rendimiento en personas tolerantes; no es necesaria para recomposición y debe individualizarse por sueño, ansiedad, tensión arterial, etc.</w:t>
      </w:r>
    </w:p>
    <w:p>
      <w:pPr>
        <w:pStyle w:val="ListBullet"/>
      </w:pPr>
      <w:r>
        <w:t>Evitar vender BCAA, “test boosters” o diuréticos como ejes de recomposición.</w:t>
      </w:r>
    </w:p>
    <w:p>
      <w:pPr>
        <w:pStyle w:val="Heading1"/>
      </w:pPr>
      <w:r>
        <w:t>MÓDULO 2 — HIPERTROFIA / AUMENTO DE MASA CORPORAL</w:t>
      </w:r>
    </w:p>
    <w:p>
      <w:pPr>
        <w:pStyle w:val="Heading2"/>
      </w:pPr>
      <w:r>
        <w:t>Objetivo: maximizar ganancia muscular sin priorizar pérdida de grasa</w:t>
      </w:r>
    </w:p>
    <w:p>
      <w:pPr>
        <w:pStyle w:val="Heading3"/>
      </w:pPr>
      <w:r>
        <w:t>Energía</w:t>
      </w:r>
    </w:p>
    <w:p>
      <w:pPr>
        <w:pStyle w:val="ListBullet"/>
      </w:pPr>
      <w:r>
        <w:t xml:space="preserve">La cantidad exacta de superávit óptimo </w:t>
      </w:r>
      <w:r>
        <w:rPr>
          <w:b/>
        </w:rPr>
        <w:t>no ha sido validada científicamente</w:t>
      </w:r>
      <w:r>
        <w:t xml:space="preserve"> en población entrenada.</w:t>
      </w:r>
    </w:p>
    <w:p>
      <w:pPr>
        <w:pStyle w:val="ListBullet"/>
      </w:pPr>
      <w:r>
        <w:t>No convertir “+300 kcal” o “+500 kcal” en norma universal.</w:t>
      </w:r>
    </w:p>
    <w:p>
      <w:pPr>
        <w:pStyle w:val="ListBullet"/>
      </w:pPr>
      <w:r>
        <w:rPr>
          <w:b/>
        </w:rPr>
        <w:t>Regla práctica Vitalitty:</w:t>
      </w:r>
      <w:r>
        <w:t xml:space="preserve"> comenzar con un superávit pequeño (por ejemplo 5–10% sobre mantenimiento como heurística) y titular según tendencia de peso, perímetros, fuerza y grasa durante 2–4 semanas.</w:t>
      </w:r>
    </w:p>
    <w:p>
      <w:pPr>
        <w:pStyle w:val="ListBullet"/>
      </w:pPr>
      <w:r>
        <w:t>Si el sujeto aumenta grasa demasiado rápido sin progresión muscular/rendimiento, reducir superávit.</w:t>
      </w:r>
    </w:p>
    <w:p>
      <w:r>
        <w:rPr>
          <w:b/>
        </w:rPr>
        <w:t>Fuente de contexto:</w:t>
      </w:r>
      <w:r>
        <w:t xml:space="preserve"> Is an Energy Surplus Required to Maximize Skeletal Muscle Hypertrophy? PMID 31482093.</w:t>
      </w:r>
    </w:p>
    <w:p>
      <w:hyperlink r:id="rId46">
        <w:r>
          <w:rPr>
            <w:color w:val="0563C1"/>
            <w:u w:val="single"/>
          </w:rPr>
          <w:t>https://pubmed.ncbi.nlm.nih.gov/31482093/</w:t>
        </w:r>
      </w:hyperlink>
    </w:p>
    <w:p>
      <w:pPr>
        <w:pStyle w:val="Heading3"/>
      </w:pPr>
      <w:r>
        <w:t>Proteína</w:t>
      </w:r>
    </w:p>
    <w:p>
      <w:pPr>
        <w:pStyle w:val="ListBullet"/>
      </w:pPr>
      <w:r>
        <w:t xml:space="preserve">Meta clásica de 49 RCT / 1863 sujetos: la suplementación proteica aumenta FFM y tamaño muscular con entrenamiento; el beneficio medio se aplana alrededor de </w:t>
      </w:r>
      <w:r>
        <w:rPr>
          <w:b/>
        </w:rPr>
        <w:t>1,6 g/kg/día</w:t>
      </w:r>
      <w:r>
        <w:t>.</w:t>
      </w:r>
    </w:p>
    <w:p>
      <w:pPr>
        <w:pStyle w:val="ListBullet"/>
      </w:pPr>
      <w:r>
        <w:rPr>
          <w:b/>
        </w:rPr>
        <w:t>Regla práctica Vitalitty:</w:t>
      </w:r>
      <w:r>
        <w:t xml:space="preserve"> 1,6–2,2 g/kg/día cubre la mayoría de escenarios de hipertrofia; no obligar a ingestas muy superiores si no aportan ventaja clínica o reducen hidratos/grasas innecesariamente.</w:t>
      </w:r>
    </w:p>
    <w:p>
      <w:r>
        <w:rPr>
          <w:b/>
        </w:rPr>
        <w:t>Fuente:</w:t>
      </w:r>
      <w:r>
        <w:t xml:space="preserve"> PMID 28698222 — </w:t>
      </w:r>
      <w:hyperlink r:id="rId12">
        <w:r>
          <w:rPr>
            <w:color w:val="0563C1"/>
            <w:u w:val="single"/>
          </w:rPr>
          <w:t>https://pubmed.ncbi.nlm.nih.gov/28698222/</w:t>
        </w:r>
      </w:hyperlink>
    </w:p>
    <w:p>
      <w:pPr>
        <w:pStyle w:val="Heading3"/>
      </w:pPr>
      <w:r>
        <w:t>Hidratos</w:t>
      </w:r>
    </w:p>
    <w:p>
      <w:pPr>
        <w:pStyle w:val="ListBullet"/>
      </w:pPr>
      <w:r>
        <w:t>No existe evidencia de un “mínimo anabólico” universal de CHO.</w:t>
      </w:r>
    </w:p>
    <w:p>
      <w:pPr>
        <w:pStyle w:val="ListBullet"/>
      </w:pPr>
      <w:r>
        <w:t>Los hidratos cumplen principalmente función de combustible, volumen de entrenamiento, recuperación de glucógeno y facilidad para crear superávit.</w:t>
      </w:r>
    </w:p>
    <w:p>
      <w:pPr>
        <w:pStyle w:val="ListBullet"/>
      </w:pPr>
      <w:r>
        <w:t>Para sesiones largas/voluminosas, priorizar disponibilidad de CHO alrededor del entrenamiento.</w:t>
      </w:r>
    </w:p>
    <w:p>
      <w:pPr>
        <w:pStyle w:val="ListBullet"/>
      </w:pPr>
      <w:r>
        <w:t>Fuera del deporte, calidad &gt; velocidad de absorción.</w:t>
      </w:r>
    </w:p>
    <w:p>
      <w:r>
        <w:rPr>
          <w:b/>
        </w:rPr>
        <w:t>Fuentes:</w:t>
      </w:r>
    </w:p>
    <w:p>
      <w:r>
        <w:t xml:space="preserve">PMID 41712097 — </w:t>
      </w:r>
      <w:hyperlink r:id="rId41">
        <w:r>
          <w:rPr>
            <w:color w:val="0563C1"/>
            <w:u w:val="single"/>
          </w:rPr>
          <w:t>https://pubmed.ncbi.nlm.nih.gov/41712097/</w:t>
        </w:r>
      </w:hyperlink>
    </w:p>
    <w:p>
      <w:r>
        <w:t xml:space="preserve">PMID 35215506 — </w:t>
      </w:r>
      <w:hyperlink r:id="rId47">
        <w:r>
          <w:rPr>
            <w:color w:val="0563C1"/>
            <w:u w:val="single"/>
          </w:rPr>
          <w:t>https://pubmed.ncbi.nlm.nih.gov/35215506/</w:t>
        </w:r>
      </w:hyperlink>
    </w:p>
    <w:p>
      <w:pPr>
        <w:pStyle w:val="Heading3"/>
      </w:pPr>
      <w:r>
        <w:t>Grasas</w:t>
      </w:r>
    </w:p>
    <w:p>
      <w:pPr>
        <w:pStyle w:val="ListBullet"/>
      </w:pPr>
      <w:r>
        <w:t>Completar energía restante manteniendo cantidad suficiente y calidad (AOVE, frutos secos, semillas, pescado, aguacate, etc.).</w:t>
      </w:r>
    </w:p>
    <w:p>
      <w:pPr>
        <w:pStyle w:val="ListBullet"/>
      </w:pPr>
      <w:r>
        <w:t>No subir grasa de forma deliberada para “subir testosterona”.</w:t>
      </w:r>
    </w:p>
    <w:p>
      <w:pPr>
        <w:pStyle w:val="Heading3"/>
      </w:pPr>
      <w:r>
        <w:t>Fuerza</w:t>
      </w:r>
    </w:p>
    <w:p>
      <w:pPr>
        <w:pStyle w:val="ListBullet"/>
      </w:pPr>
      <w:r>
        <w:t>ACSM 2026, overview de revisiones: múltiples prescripciones producen hipertrofia; el uso de múltiples series es un factor robusto. Cargas altas son más específicas para fuerza, pero hipertrofia puede lograrse con diferentes cargas si el estímulo es suficiente.</w:t>
      </w:r>
    </w:p>
    <w:p>
      <w:pPr>
        <w:pStyle w:val="ListBullet"/>
      </w:pPr>
      <w:r>
        <w:t>No es necesario llegar al fallo en todas las series.</w:t>
      </w:r>
    </w:p>
    <w:p>
      <w:r>
        <w:rPr>
          <w:b/>
        </w:rPr>
        <w:t>Fuentes:</w:t>
      </w:r>
    </w:p>
    <w:p>
      <w:r>
        <w:t xml:space="preserve">PMID 41843416 — </w:t>
      </w:r>
      <w:hyperlink r:id="rId48">
        <w:r>
          <w:rPr>
            <w:color w:val="0563C1"/>
            <w:u w:val="single"/>
          </w:rPr>
          <w:t>https://pubmed.ncbi.nlm.nih.gov/41843416/</w:t>
        </w:r>
      </w:hyperlink>
    </w:p>
    <w:p>
      <w:r>
        <w:t xml:space="preserve">PMID 37414459 — </w:t>
      </w:r>
      <w:hyperlink r:id="rId49">
        <w:r>
          <w:rPr>
            <w:color w:val="0563C1"/>
            <w:u w:val="single"/>
          </w:rPr>
          <w:t>https://pubmed.ncbi.nlm.nih.gov/37414459/</w:t>
        </w:r>
      </w:hyperlink>
    </w:p>
    <w:p>
      <w:r>
        <w:t xml:space="preserve">PMID 36334240 — </w:t>
      </w:r>
      <w:hyperlink r:id="rId14">
        <w:r>
          <w:rPr>
            <w:color w:val="0563C1"/>
            <w:u w:val="single"/>
          </w:rPr>
          <w:t>https://pubmed.ncbi.nlm.nih.gov/36334240/</w:t>
        </w:r>
      </w:hyperlink>
    </w:p>
    <w:p>
      <w:pPr>
        <w:pStyle w:val="Heading1"/>
      </w:pPr>
      <w:r>
        <w:t>MÓDULO 3 — PÉRDIDA DE GRASA / SOBREPESO / OBESIDAD</w:t>
      </w:r>
    </w:p>
    <w:p>
      <w:pPr>
        <w:pStyle w:val="Heading2"/>
      </w:pPr>
      <w:r>
        <w:t>Objetivo: perder peso y grasa preservando músculo y salud metabólica</w:t>
      </w:r>
    </w:p>
    <w:p>
      <w:pPr>
        <w:pStyle w:val="Heading3"/>
      </w:pPr>
      <w:r>
        <w:t>Principio principal</w:t>
      </w:r>
    </w:p>
    <w:p>
      <w:pPr>
        <w:pStyle w:val="ListBullet"/>
      </w:pPr>
      <w:r>
        <w:t>La dieta que produzca un déficit mantenible y tenga buena adherencia es prioritaria.</w:t>
      </w:r>
    </w:p>
    <w:p>
      <w:pPr>
        <w:pStyle w:val="ListBullet"/>
      </w:pPr>
      <w:r>
        <w:t>Evitar que el editor prescriba low-carb, ayuno o low-fat como “metabólicamente obligatorios”.</w:t>
      </w:r>
    </w:p>
    <w:p>
      <w:pPr>
        <w:pStyle w:val="Heading3"/>
      </w:pPr>
      <w:r>
        <w:t>Proteína</w:t>
      </w:r>
    </w:p>
    <w:p>
      <w:pPr>
        <w:pStyle w:val="ListBullet"/>
      </w:pPr>
      <w:r>
        <w:t xml:space="preserve">Objetivo mínimo clínicamente útil durante pérdida de peso: tender a </w:t>
      </w:r>
      <w:r>
        <w:rPr>
          <w:b/>
        </w:rPr>
        <w:t>≥1,3 g/kg/día</w:t>
      </w:r>
      <w:r>
        <w:t xml:space="preserve"> en adultos con exceso de peso cuando preservar músculo sea una prioridad, adaptando cálculo al peso/FFM en obesidad severa.</w:t>
      </w:r>
    </w:p>
    <w:p>
      <w:pPr>
        <w:pStyle w:val="ListBullet"/>
      </w:pPr>
      <w:r>
        <w:t>Con entrenamiento de fuerza, valores cercanos a 1,6 g/kg/día o superiores pueden ser apropiados en muchos perfiles activos.</w:t>
      </w:r>
    </w:p>
    <w:p>
      <w:pPr>
        <w:pStyle w:val="Heading3"/>
      </w:pPr>
      <w:r>
        <w:t>Low-carb vs low-fat</w:t>
      </w:r>
    </w:p>
    <w:p>
      <w:pPr>
        <w:pStyle w:val="ListBullet"/>
      </w:pPr>
      <w:r>
        <w:t>Metaanálisis de 33 estudios / 3939 participantes: low-carb produjo aproximadamente 1,33 kg más pérdida a 6–23 meses, mejores TG y HDL, pero la diferencia es modesta y el perfil lipídico debe valorarse.</w:t>
      </w:r>
    </w:p>
    <w:p>
      <w:pPr>
        <w:pStyle w:val="ListBullet"/>
      </w:pPr>
      <w:r>
        <w:t>Metaanálisis de 110 RCT muestra relación dosis-respuesta entre restricción de CHO y peso en 6–12 meses, pero a &gt;12 meses la relación es menos lineal.</w:t>
      </w:r>
    </w:p>
    <w:p>
      <w:pPr>
        <w:pStyle w:val="ListBullet"/>
      </w:pPr>
      <w:r>
        <w:rPr>
          <w:b/>
        </w:rPr>
        <w:t>Regla Vitalitty:</w:t>
      </w:r>
      <w:r>
        <w:t xml:space="preserve"> low-carb es una herramienta válida, no una obligación; priorizar preferencia, control del hambre, diabetes/insulinorresistencia, actividad física y adherencia.</w:t>
      </w:r>
    </w:p>
    <w:p>
      <w:r>
        <w:rPr>
          <w:b/>
        </w:rPr>
        <w:t>Fuentes:</w:t>
      </w:r>
    </w:p>
    <w:p>
      <w:r>
        <w:t xml:space="preserve">PMID 36017224 — </w:t>
      </w:r>
      <w:hyperlink r:id="rId50">
        <w:r>
          <w:rPr>
            <w:color w:val="0563C1"/>
            <w:u w:val="single"/>
          </w:rPr>
          <w:t>https://pubmed.ncbi.nlm.nih.gov/36017224/</w:t>
        </w:r>
      </w:hyperlink>
    </w:p>
    <w:p>
      <w:r>
        <w:t xml:space="preserve">PMID 38125726 — </w:t>
      </w:r>
      <w:hyperlink r:id="rId51">
        <w:r>
          <w:rPr>
            <w:color w:val="0563C1"/>
            <w:u w:val="single"/>
          </w:rPr>
          <w:t>https://pubmed.ncbi.nlm.nih.gov/38125726/</w:t>
        </w:r>
      </w:hyperlink>
    </w:p>
    <w:p>
      <w:pPr>
        <w:pStyle w:val="Heading3"/>
      </w:pPr>
      <w:r>
        <w:t>Índice glucémico / hidratos rápidos</w:t>
      </w:r>
    </w:p>
    <w:p>
      <w:pPr>
        <w:pStyle w:val="ListBullet"/>
      </w:pPr>
      <w:r>
        <w:t>Dietas low-GI/GL no son claramente superiores para pérdida de peso global; en obesidad pueden producir pequeñas mejoras de peso, glucosa e insulina.</w:t>
      </w:r>
    </w:p>
    <w:p>
      <w:pPr>
        <w:pStyle w:val="ListBullet"/>
      </w:pPr>
      <w:r>
        <w:rPr>
          <w:b/>
        </w:rPr>
        <w:t>Regla Vitalitty:</w:t>
      </w:r>
      <w:r>
        <w:t xml:space="preserve"> no demonizar azúcar/hidrato rápido por sí mismo, pero en obesidad/sedentarismo usar como base CHO ricos en fibra, poco procesados y de alta saciedad. El CHO rápido se justifica más por deporte que por salud metabólica.</w:t>
      </w:r>
    </w:p>
    <w:p>
      <w:r>
        <w:rPr>
          <w:b/>
        </w:rPr>
        <w:t>Fuentes:</w:t>
      </w:r>
    </w:p>
    <w:p>
      <w:r>
        <w:t xml:space="preserve">PMID 35546475 — </w:t>
      </w:r>
      <w:hyperlink r:id="rId52">
        <w:r>
          <w:rPr>
            <w:color w:val="0563C1"/>
            <w:u w:val="single"/>
          </w:rPr>
          <w:t>https://pubmed.ncbi.nlm.nih.gov/35546475/</w:t>
        </w:r>
      </w:hyperlink>
    </w:p>
    <w:p>
      <w:r>
        <w:t xml:space="preserve">PMID 37345841 — </w:t>
      </w:r>
      <w:hyperlink r:id="rId53">
        <w:r>
          <w:rPr>
            <w:color w:val="0563C1"/>
            <w:u w:val="single"/>
          </w:rPr>
          <w:t>https://pubmed.ncbi.nlm.nih.gov/37345841/</w:t>
        </w:r>
      </w:hyperlink>
    </w:p>
    <w:p>
      <w:pPr>
        <w:pStyle w:val="Heading3"/>
      </w:pPr>
      <w:r>
        <w:t>Ayuno / TRE</w:t>
      </w:r>
    </w:p>
    <w:p>
      <w:pPr>
        <w:pStyle w:val="ListBullet"/>
      </w:pPr>
      <w:r>
        <w:t>Network meta-analysis 2024, 47 RCT / 3363 participantes: ADF, TRE, ayunos cortos y restricción continua reducen peso; ninguno debe entenderse como fisiológicamente imprescindible.</w:t>
      </w:r>
    </w:p>
    <w:p>
      <w:pPr>
        <w:pStyle w:val="ListBullet"/>
      </w:pPr>
      <w:r>
        <w:t>El ayuno corto presentó pérdida de masa magra en el análisis.</w:t>
      </w:r>
    </w:p>
    <w:p>
      <w:pPr>
        <w:pStyle w:val="ListBullet"/>
      </w:pPr>
      <w:r>
        <w:rPr>
          <w:b/>
        </w:rPr>
        <w:t>Regla Vitalitty:</w:t>
      </w:r>
      <w:r>
        <w:t xml:space="preserve"> usar TRE/ADF solo si mejora adherencia y no compromete proteína, entrenamiento, sueño, medicación ni conducta alimentaria.</w:t>
      </w:r>
    </w:p>
    <w:p>
      <w:r>
        <w:rPr>
          <w:b/>
        </w:rPr>
        <w:t>Fuente:</w:t>
      </w:r>
      <w:r>
        <w:t xml:space="preserve"> PMID 39327619 — </w:t>
      </w:r>
      <w:hyperlink r:id="rId54">
        <w:r>
          <w:rPr>
            <w:color w:val="0563C1"/>
            <w:u w:val="single"/>
          </w:rPr>
          <w:t>https://pubmed.ncbi.nlm.nih.gov/39327619/</w:t>
        </w:r>
      </w:hyperlink>
    </w:p>
    <w:p>
      <w:pPr>
        <w:pStyle w:val="Heading3"/>
      </w:pPr>
      <w:r>
        <w:t>Entrenamiento</w:t>
      </w:r>
    </w:p>
    <w:p>
      <w:pPr>
        <w:pStyle w:val="ListBullet"/>
      </w:pPr>
      <w:r>
        <w:t>Fuerza debe ser la opción por defecto en el paciente capaz de realizarla para preservar músculo durante dieta.</w:t>
      </w:r>
    </w:p>
    <w:p>
      <w:pPr>
        <w:pStyle w:val="ListBullet"/>
      </w:pPr>
      <w:r>
        <w:t>Aeróbico/actividad diaria se añade para salud, gasto y capacidad cardiorrespiratoria.</w:t>
      </w:r>
    </w:p>
    <w:p>
      <w:pPr>
        <w:pStyle w:val="Heading1"/>
      </w:pPr>
      <w:r>
        <w:t>MÓDULO 4 — SALUD HORMONAL, ESTRÉS, CORTISOL Y ESTADO DE ÁNIMO</w:t>
      </w:r>
    </w:p>
    <w:p>
      <w:pPr>
        <w:pStyle w:val="Heading2"/>
      </w:pPr>
      <w:r>
        <w:t>A. HOMBRE CON OBESIDAD + TESTOSTERONA BAJA</w:t>
      </w:r>
    </w:p>
    <w:p>
      <w:pPr>
        <w:pStyle w:val="Heading3"/>
      </w:pPr>
      <w:r>
        <w:t>Qué tiene más evidencia</w:t>
      </w:r>
    </w:p>
    <w:p>
      <w:pPr>
        <w:pStyle w:val="ListNumber"/>
      </w:pPr>
      <w:r>
        <w:t>Confirmar que la testosterona baja es real y persistente si existe clínica; derivación médica/endocrina cuando corresponda.</w:t>
      </w:r>
    </w:p>
    <w:p>
      <w:pPr>
        <w:pStyle w:val="ListNumber"/>
      </w:pPr>
      <w:r>
        <w:t>Reducir exceso de grasa corporal de forma sostenible.</w:t>
      </w:r>
    </w:p>
    <w:p>
      <w:pPr>
        <w:pStyle w:val="ListNumber"/>
      </w:pPr>
      <w:r>
        <w:t>Entrenar fuerza y aumentar actividad.</w:t>
      </w:r>
    </w:p>
    <w:p>
      <w:pPr>
        <w:pStyle w:val="ListNumber"/>
      </w:pPr>
      <w:r>
        <w:t>Dormir adecuadamente y descartar problemas clínicos relevantes (p. ej. apnea del sueño cuando haya sospecha).</w:t>
      </w:r>
    </w:p>
    <w:p>
      <w:pPr>
        <w:pStyle w:val="ListNumber"/>
      </w:pPr>
      <w:r>
        <w:t>Evitar disponibilidad energética demasiado baja de forma crónica.</w:t>
      </w:r>
    </w:p>
    <w:p>
      <w:pPr>
        <w:pStyle w:val="Heading3"/>
      </w:pPr>
      <w:r>
        <w:t>Pérdida de peso y testosterona</w:t>
      </w:r>
    </w:p>
    <w:p>
      <w:pPr>
        <w:pStyle w:val="ListBullet"/>
      </w:pPr>
      <w:r>
        <w:t xml:space="preserve">Meta 2024: </w:t>
      </w:r>
      <w:r>
        <w:rPr>
          <w:b/>
        </w:rPr>
        <w:t>44 estudios / 1774 hombres</w:t>
      </w:r>
      <w:r>
        <w:t>. Pérdida de peso por dieta baja en calorías aumentó testosterona total ~2,5 nmol/L de media; cirugía bariátrica produjo incrementos mayores. La T libre también aumentó.</w:t>
      </w:r>
    </w:p>
    <w:p>
      <w:pPr>
        <w:pStyle w:val="ListBullet"/>
      </w:pPr>
      <w:r>
        <w:t>Umbrella review 2025: intervenciones de pérdida de peso mejoran testosterona y SHBG en hombres con obesidad.</w:t>
      </w:r>
    </w:p>
    <w:p>
      <w:pPr>
        <w:pStyle w:val="ListBullet"/>
      </w:pPr>
      <w:r>
        <w:rPr>
          <w:b/>
        </w:rPr>
        <w:t>Regla Vitalitty:</w:t>
      </w:r>
      <w:r>
        <w:t xml:space="preserve"> en hombre con obesidad + T baja, el plan debe priorizar reducción de adiposidad y preservación muscular antes que “suplementos pro-testosterona”.</w:t>
      </w:r>
    </w:p>
    <w:p>
      <w:r>
        <w:rPr>
          <w:b/>
        </w:rPr>
        <w:t>Fuentes:</w:t>
      </w:r>
    </w:p>
    <w:p>
      <w:r>
        <w:t xml:space="preserve">PMID 37345263 — </w:t>
      </w:r>
      <w:hyperlink r:id="rId55">
        <w:r>
          <w:rPr>
            <w:color w:val="0563C1"/>
            <w:u w:val="single"/>
          </w:rPr>
          <w:t>https://pubmed.ncbi.nlm.nih.gov/37345263/</w:t>
        </w:r>
      </w:hyperlink>
    </w:p>
    <w:p>
      <w:r>
        <w:t xml:space="preserve">PMID 41167564 — </w:t>
      </w:r>
      <w:hyperlink r:id="rId56">
        <w:r>
          <w:rPr>
            <w:color w:val="0563C1"/>
            <w:u w:val="single"/>
          </w:rPr>
          <w:t>https://pubmed.ncbi.nlm.nih.gov/41167564/</w:t>
        </w:r>
      </w:hyperlink>
    </w:p>
    <w:p>
      <w:pPr>
        <w:pStyle w:val="Heading3"/>
      </w:pPr>
      <w:r>
        <w:t>Vitamina D</w:t>
      </w:r>
    </w:p>
    <w:p>
      <w:pPr>
        <w:pStyle w:val="ListBullet"/>
      </w:pPr>
      <w:r>
        <w:t xml:space="preserve">Metaanálisis RCT 2026: </w:t>
      </w:r>
      <w:r>
        <w:rPr>
          <w:b/>
        </w:rPr>
        <w:t>no demuestra aumento reproducible de testosterona total, SHBG, FAI o testosterona libre calculada</w:t>
      </w:r>
      <w:r>
        <w:t xml:space="preserve"> con suplementación de vitamina D.</w:t>
      </w:r>
    </w:p>
    <w:p>
      <w:pPr>
        <w:pStyle w:val="ListBullet"/>
      </w:pPr>
      <w:r>
        <w:t>Corregir déficit de vitamina D por indicación clínica/ósea, no venderla como “booster de testosterona”.</w:t>
      </w:r>
    </w:p>
    <w:p>
      <w:r>
        <w:rPr>
          <w:b/>
        </w:rPr>
        <w:t>Fuente:</w:t>
      </w:r>
      <w:r>
        <w:t xml:space="preserve"> PMID 42451097 — </w:t>
      </w:r>
      <w:hyperlink r:id="rId57">
        <w:r>
          <w:rPr>
            <w:color w:val="0563C1"/>
            <w:u w:val="single"/>
          </w:rPr>
          <w:t>https://pubmed.ncbi.nlm.nih.gov/42451097/</w:t>
        </w:r>
      </w:hyperlink>
    </w:p>
    <w:p>
      <w:pPr>
        <w:pStyle w:val="Heading3"/>
      </w:pPr>
      <w:r>
        <w:t>Grasas dietéticas</w:t>
      </w:r>
    </w:p>
    <w:p>
      <w:pPr>
        <w:pStyle w:val="ListBullet"/>
      </w:pPr>
      <w:r>
        <w:t>El metaanálisis RCT más reciente no demuestra que una dieta alta en grasa eleve hormonas sexuales frente a una baja en grasa.</w:t>
      </w:r>
    </w:p>
    <w:p>
      <w:pPr>
        <w:pStyle w:val="ListBullet"/>
      </w:pPr>
      <w:r>
        <w:t>Existe un metaanálisis anterior solo en hombres que sugirió descensos pequeños de T con dietas bajas en grasa; sin embargo, la evidencia más reciente y amplia es menos concluyente.</w:t>
      </w:r>
    </w:p>
    <w:p>
      <w:pPr>
        <w:pStyle w:val="ListBullet"/>
      </w:pPr>
      <w:r>
        <w:rPr>
          <w:b/>
        </w:rPr>
        <w:t>Regla Vitalitty:</w:t>
      </w:r>
      <w:r>
        <w:t xml:space="preserve"> evitar extremos; no usar grasa alta como tratamiento hormonal.</w:t>
      </w:r>
    </w:p>
    <w:p>
      <w:r>
        <w:rPr>
          <w:b/>
        </w:rPr>
        <w:t>Fuentes:</w:t>
      </w:r>
    </w:p>
    <w:p>
      <w:r>
        <w:t xml:space="preserve">PMID 40387562 — </w:t>
      </w:r>
      <w:hyperlink r:id="rId43">
        <w:r>
          <w:rPr>
            <w:color w:val="0563C1"/>
            <w:u w:val="single"/>
          </w:rPr>
          <w:t>https://pubmed.ncbi.nlm.nih.gov/40387562/</w:t>
        </w:r>
      </w:hyperlink>
    </w:p>
    <w:p>
      <w:r>
        <w:t xml:space="preserve">PMID 33741447 — </w:t>
      </w:r>
      <w:hyperlink r:id="rId58">
        <w:r>
          <w:rPr>
            <w:color w:val="0563C1"/>
            <w:u w:val="single"/>
          </w:rPr>
          <w:t>https://pubmed.ncbi.nlm.nih.gov/33741447/</w:t>
        </w:r>
      </w:hyperlink>
    </w:p>
    <w:p>
      <w:pPr>
        <w:pStyle w:val="Heading3"/>
      </w:pPr>
      <w:r>
        <w:t>Low-carb extremo / proteína extremadamente alta</w:t>
      </w:r>
    </w:p>
    <w:p>
      <w:pPr>
        <w:pStyle w:val="ListBullet"/>
      </w:pPr>
      <w:r>
        <w:t>Meta de 27 estudios / 309 hombres: low-carb a corto plazo puede elevar cortisol; dietas low-carb con proteína ≥35% de energía mostraron reducciones de testosterona.</w:t>
      </w:r>
    </w:p>
    <w:p>
      <w:pPr>
        <w:pStyle w:val="ListBullet"/>
      </w:pPr>
      <w:r>
        <w:rPr>
          <w:b/>
        </w:rPr>
        <w:t>Regla:</w:t>
      </w:r>
      <w:r>
        <w:t xml:space="preserve"> no trasladar esto a que “los hidratos suben testosterona”; sí sirve como alerta para no combinar de forma rutinaria déficit agresivo + CHO muy bajos + proteína extrema + alto entrenamiento.</w:t>
      </w:r>
    </w:p>
    <w:p>
      <w:r>
        <w:rPr>
          <w:b/>
        </w:rPr>
        <w:t>Fuente:</w:t>
      </w:r>
      <w:r>
        <w:t xml:space="preserve"> PMID 35254136 — </w:t>
      </w:r>
      <w:hyperlink r:id="rId59">
        <w:r>
          <w:rPr>
            <w:color w:val="0563C1"/>
            <w:u w:val="single"/>
          </w:rPr>
          <w:t>https://pubmed.ncbi.nlm.nih.gov/35254136/</w:t>
        </w:r>
      </w:hyperlink>
    </w:p>
    <w:p>
      <w:pPr>
        <w:pStyle w:val="Heading2"/>
      </w:pPr>
      <w:r>
        <w:t>B. PERIMENOPAUSIA / POSTMENOPAUSIA</w:t>
      </w:r>
    </w:p>
    <w:p>
      <w:pPr>
        <w:pStyle w:val="Heading3"/>
      </w:pPr>
      <w:r>
        <w:t>Principio clave</w:t>
      </w:r>
    </w:p>
    <w:p>
      <w:pPr>
        <w:pStyle w:val="ListBullet"/>
      </w:pPr>
      <w:r>
        <w:t xml:space="preserve">El descenso de estrógeno/progesterona forma parte de la transición menopáusica. Nutrición y suplementos </w:t>
      </w:r>
      <w:r>
        <w:rPr>
          <w:b/>
        </w:rPr>
        <w:t>no sustituyen</w:t>
      </w:r>
      <w:r>
        <w:t xml:space="preserve"> esa función ovárica.</w:t>
      </w:r>
    </w:p>
    <w:p>
      <w:pPr>
        <w:pStyle w:val="ListBullet"/>
      </w:pPr>
      <w:r>
        <w:t>El objetivo del Editor Vitalitty debe ser prevenir/mitigar consecuencias: aumento de grasa central, pérdida de músculo, disminución de densidad ósea, peor sensibilidad a insulina, riesgo CV, sueño y síntomas.</w:t>
      </w:r>
    </w:p>
    <w:p>
      <w:pPr>
        <w:pStyle w:val="Heading3"/>
      </w:pPr>
      <w:r>
        <w:t>Proteína</w:t>
      </w:r>
    </w:p>
    <w:p>
      <w:pPr>
        <w:pStyle w:val="ListBullet"/>
      </w:pPr>
      <w:r>
        <w:t xml:space="preserve">En mayores de 65 años, metaanálisis encuentra mayor beneficio sobre masa magra con </w:t>
      </w:r>
      <w:r>
        <w:rPr>
          <w:b/>
        </w:rPr>
        <w:t>1,2–1,59 g/kg/día</w:t>
      </w:r>
      <w:r>
        <w:t xml:space="preserve"> cuando se combina con ejercicio de fuerza.</w:t>
      </w:r>
    </w:p>
    <w:p>
      <w:pPr>
        <w:pStyle w:val="ListBullet"/>
      </w:pPr>
      <w:r>
        <w:t xml:space="preserve">En mujeres peri/postmenopáusicas activas, con déficit o riesgo de sarcopenia, un rango práctico de </w:t>
      </w:r>
      <w:r>
        <w:rPr>
          <w:b/>
        </w:rPr>
        <w:t>1,2–1,6 g/kg/día</w:t>
      </w:r>
      <w:r>
        <w:t xml:space="preserve"> es una base razonable; aumentar individualmente si el déficit, entrenamiento o sarcopenia lo justifican.</w:t>
      </w:r>
    </w:p>
    <w:p>
      <w:pPr>
        <w:pStyle w:val="ListBullet"/>
      </w:pPr>
      <w:r>
        <w:t>Distribuir proteína entre comidas es una estrategia práctica, aunque la evidencia sobre un patrón horario “perfecto” sigue siendo limitada.</w:t>
      </w:r>
    </w:p>
    <w:p>
      <w:r>
        <w:rPr>
          <w:b/>
        </w:rPr>
        <w:t>Fuentes:</w:t>
      </w:r>
    </w:p>
    <w:p>
      <w:r>
        <w:t xml:space="preserve">PMID 35187864 — </w:t>
      </w:r>
      <w:hyperlink r:id="rId60">
        <w:r>
          <w:rPr>
            <w:color w:val="0563C1"/>
            <w:u w:val="single"/>
          </w:rPr>
          <w:t>https://pubmed.ncbi.nlm.nih.gov/35187864/</w:t>
        </w:r>
      </w:hyperlink>
    </w:p>
    <w:p>
      <w:r>
        <w:t xml:space="preserve">PMID 38830547 — </w:t>
      </w:r>
      <w:hyperlink r:id="rId61">
        <w:r>
          <w:rPr>
            <w:color w:val="0563C1"/>
            <w:u w:val="single"/>
          </w:rPr>
          <w:t>https://pubmed.ncbi.nlm.nih.gov/38830547/</w:t>
        </w:r>
      </w:hyperlink>
    </w:p>
    <w:p>
      <w:pPr>
        <w:pStyle w:val="Heading3"/>
      </w:pPr>
      <w:r>
        <w:t>Fuerza</w:t>
      </w:r>
    </w:p>
    <w:p>
      <w:pPr>
        <w:pStyle w:val="ListBullet"/>
      </w:pPr>
      <w:r>
        <w:t>Meta 2026: 126 estudios / 4019 mujeres. Fuerza mejora de manera robusta tanto en pre como postmenopausia; masa funcional aumenta y grasa disminuye.</w:t>
      </w:r>
    </w:p>
    <w:p>
      <w:pPr>
        <w:pStyle w:val="ListBullet"/>
      </w:pPr>
      <w:r>
        <w:t>Meta 2023: 101 estudios / 5697 postmenopáusicas; aeróbico/combinado más favorable para grasa y resistencia/combinado para músculo.</w:t>
      </w:r>
    </w:p>
    <w:p>
      <w:r>
        <w:rPr>
          <w:b/>
        </w:rPr>
        <w:t>Fuentes:</w:t>
      </w:r>
    </w:p>
    <w:p>
      <w:r>
        <w:t xml:space="preserve">PMID 41963141 — </w:t>
      </w:r>
      <w:hyperlink r:id="rId62">
        <w:r>
          <w:rPr>
            <w:color w:val="0563C1"/>
            <w:u w:val="single"/>
          </w:rPr>
          <w:t>https://pubmed.ncbi.nlm.nih.gov/41963141/</w:t>
        </w:r>
      </w:hyperlink>
    </w:p>
    <w:p>
      <w:r>
        <w:t xml:space="preserve">PMID 37388207 — </w:t>
      </w:r>
      <w:hyperlink r:id="rId63">
        <w:r>
          <w:rPr>
            <w:color w:val="0563C1"/>
            <w:u w:val="single"/>
          </w:rPr>
          <w:t>https://pubmed.ncbi.nlm.nih.gov/37388207/</w:t>
        </w:r>
      </w:hyperlink>
    </w:p>
    <w:p>
      <w:pPr>
        <w:pStyle w:val="Heading3"/>
      </w:pPr>
      <w:r>
        <w:t>Creatina</w:t>
      </w:r>
    </w:p>
    <w:p>
      <w:pPr>
        <w:pStyle w:val="ListBullet"/>
      </w:pPr>
      <w:r>
        <w:t xml:space="preserve">Meta 2026, 7 RCT / 608 postmenopáusicas: creatina aumentó masa magra ~0,37 kg y mejoró leg press; beneficios más claros con </w:t>
      </w:r>
      <w:r>
        <w:rPr>
          <w:b/>
        </w:rPr>
        <w:t>≥5 g/día + entrenamiento de fuerza</w:t>
      </w:r>
      <w:r>
        <w:t>. Sin efecto claro sobre densidad mineral ósea.</w:t>
      </w:r>
    </w:p>
    <w:p>
      <w:pPr>
        <w:pStyle w:val="ListBullet"/>
      </w:pPr>
      <w:r>
        <w:rPr>
          <w:b/>
        </w:rPr>
        <w:t>Regla Vitalitty:</w:t>
      </w:r>
      <w:r>
        <w:t xml:space="preserve"> creatina 3–5 g/día es una opción prioritaria; para el perfil postmenopáusico, la evidencia más reciente favorece especialmente ≥5 g/día junto a fuerza.</w:t>
      </w:r>
    </w:p>
    <w:p>
      <w:r>
        <w:rPr>
          <w:b/>
        </w:rPr>
        <w:t>Fuente:</w:t>
      </w:r>
      <w:r>
        <w:t xml:space="preserve"> PMID 42141930 — </w:t>
      </w:r>
      <w:hyperlink r:id="rId64">
        <w:r>
          <w:rPr>
            <w:color w:val="0563C1"/>
            <w:u w:val="single"/>
          </w:rPr>
          <w:t>https://pubmed.ncbi.nlm.nih.gov/42141930/</w:t>
        </w:r>
      </w:hyperlink>
    </w:p>
    <w:p>
      <w:pPr>
        <w:pStyle w:val="Heading3"/>
      </w:pPr>
      <w:r>
        <w:t>Soja / isoflavonas</w:t>
      </w:r>
    </w:p>
    <w:p>
      <w:pPr>
        <w:pStyle w:val="ListBullet"/>
      </w:pPr>
      <w:r>
        <w:t xml:space="preserve">Meta 2025 de </w:t>
      </w:r>
      <w:r>
        <w:rPr>
          <w:b/>
        </w:rPr>
        <w:t>40 ensayos / 3285 postmenopáusicas</w:t>
      </w:r>
      <w:r>
        <w:t>: isoflavonas de soja no aumentaron estradiol, FSH ni grosor endometrial de forma significativa. Es incorrecto etiquetar la soja como equivalente a terapia estrogénica.</w:t>
      </w:r>
    </w:p>
    <w:p>
      <w:pPr>
        <w:pStyle w:val="ListBullet"/>
      </w:pPr>
      <w:r>
        <w:t>Metaanálisis de síntomas menopáusicos son mixtos: algunos encuentran pequeñas mejoras y otros no.</w:t>
      </w:r>
    </w:p>
    <w:p>
      <w:pPr>
        <w:pStyle w:val="ListBullet"/>
      </w:pPr>
      <w:r>
        <w:rPr>
          <w:b/>
        </w:rPr>
        <w:t>Regla:</w:t>
      </w:r>
      <w:r>
        <w:t xml:space="preserve"> soja puede utilizarse como alimento proteico de calidad; no prescribirla como “reposición de estrógenos”.</w:t>
      </w:r>
    </w:p>
    <w:p>
      <w:r>
        <w:rPr>
          <w:b/>
        </w:rPr>
        <w:t>Fuentes:</w:t>
      </w:r>
    </w:p>
    <w:p>
      <w:r>
        <w:t xml:space="preserve">PMID 39433088 — </w:t>
      </w:r>
      <w:hyperlink r:id="rId65">
        <w:r>
          <w:rPr>
            <w:color w:val="0563C1"/>
            <w:u w:val="single"/>
          </w:rPr>
          <w:t>https://pubmed.ncbi.nlm.nih.gov/39433088/</w:t>
        </w:r>
      </w:hyperlink>
    </w:p>
    <w:p>
      <w:r>
        <w:t xml:space="preserve">PMID 40718787 — </w:t>
      </w:r>
      <w:hyperlink r:id="rId66">
        <w:r>
          <w:rPr>
            <w:color w:val="0563C1"/>
            <w:u w:val="single"/>
          </w:rPr>
          <w:t>https://pubmed.ncbi.nlm.nih.gov/40718787/</w:t>
        </w:r>
      </w:hyperlink>
    </w:p>
    <w:p>
      <w:r>
        <w:t xml:space="preserve">PMID 38825560 — </w:t>
      </w:r>
      <w:hyperlink r:id="rId67">
        <w:r>
          <w:rPr>
            <w:color w:val="0563C1"/>
            <w:u w:val="single"/>
          </w:rPr>
          <w:t>https://pubmed.ncbi.nlm.nih.gov/38825560/</w:t>
        </w:r>
      </w:hyperlink>
    </w:p>
    <w:p>
      <w:pPr>
        <w:pStyle w:val="Heading3"/>
      </w:pPr>
      <w:r>
        <w:t>Hidratos y grasas en menopausia</w:t>
      </w:r>
    </w:p>
    <w:p>
      <w:pPr>
        <w:pStyle w:val="ListBullet"/>
      </w:pPr>
      <w:r>
        <w:t>No existe un reparto de macros “menopáusico” demostrado.</w:t>
      </w:r>
    </w:p>
    <w:p>
      <w:pPr>
        <w:pStyle w:val="ListBullet"/>
      </w:pPr>
      <w:r>
        <w:t>Low-carb puede ser útil si mejora hambre, glucemia o adherencia, pero no porque restaure estrógeno/progesterona.</w:t>
      </w:r>
    </w:p>
    <w:p>
      <w:pPr>
        <w:pStyle w:val="ListBullet"/>
      </w:pPr>
      <w:r>
        <w:t>Mantener fibra, legumbres, fruta, verdura, cereales integrales según tolerancia y suficiente proteína.</w:t>
      </w:r>
    </w:p>
    <w:p>
      <w:pPr>
        <w:pStyle w:val="ListBullet"/>
      </w:pPr>
      <w:r>
        <w:t>Ajustar carbohidrato a actividad; evitar CHO excesivamente bajos si deterioran entrenamiento, sueño o adherencia.</w:t>
      </w:r>
    </w:p>
    <w:p>
      <w:pPr>
        <w:pStyle w:val="Heading2"/>
      </w:pPr>
      <w:r>
        <w:t>C. ESTRÉS / CORTISOL / ESTANCAMIENTO DE PESO</w:t>
      </w:r>
    </w:p>
    <w:p>
      <w:pPr>
        <w:pStyle w:val="Heading3"/>
      </w:pPr>
      <w:r>
        <w:t>Lo que NO debe hacer el editor</w:t>
      </w:r>
    </w:p>
    <w:p>
      <w:pPr>
        <w:pStyle w:val="ListBullet"/>
      </w:pPr>
      <w:r>
        <w:t>No diagnosticar “cortisol alto” por síntomas inespecíficos.</w:t>
      </w:r>
    </w:p>
    <w:p>
      <w:pPr>
        <w:pStyle w:val="ListBullet"/>
      </w:pPr>
      <w:r>
        <w:t>No afirmar que el cortisol impide perder grasa.</w:t>
      </w:r>
    </w:p>
    <w:p>
      <w:pPr>
        <w:pStyle w:val="ListBullet"/>
      </w:pPr>
      <w:r>
        <w:t>No recetar suplementos “anticortisol” como causa primaria de un estancamiento.</w:t>
      </w:r>
    </w:p>
    <w:p>
      <w:pPr>
        <w:pStyle w:val="Heading3"/>
      </w:pPr>
      <w:r>
        <w:t>Evidencia</w:t>
      </w:r>
    </w:p>
    <w:p>
      <w:pPr>
        <w:pStyle w:val="ListBullet"/>
      </w:pPr>
      <w:r>
        <w:t>Metaanálisis de cortisol en cabello muestra asociación positiva, aunque pequeña, entre exposición crónica a glucocorticoides y adiposidad; asociación ≠ causalidad ni bloqueo de pérdida de peso.</w:t>
      </w:r>
    </w:p>
    <w:p>
      <w:pPr>
        <w:pStyle w:val="ListBullet"/>
      </w:pPr>
      <w:r>
        <w:t>Meta de intervenciones de manejo del estrés (58 estudios / 3508 personas) mostró cambios favorables de cortisol, especialmente mindfulness/meditación y relajación.</w:t>
      </w:r>
    </w:p>
    <w:p>
      <w:pPr>
        <w:pStyle w:val="ListBullet"/>
      </w:pPr>
      <w:r>
        <w:t>Estos datos apoyan tratar estrés como factor de salud/adherencia, no como sustituto del déficit energético.</w:t>
      </w:r>
    </w:p>
    <w:p>
      <w:r>
        <w:rPr>
          <w:b/>
        </w:rPr>
        <w:t>Fuentes:</w:t>
      </w:r>
    </w:p>
    <w:p>
      <w:r>
        <w:t xml:space="preserve">PMID 34811866 — </w:t>
      </w:r>
      <w:hyperlink r:id="rId68">
        <w:r>
          <w:rPr>
            <w:color w:val="0563C1"/>
            <w:u w:val="single"/>
          </w:rPr>
          <w:t>https://pubmed.ncbi.nlm.nih.gov/34811866/</w:t>
        </w:r>
      </w:hyperlink>
    </w:p>
    <w:p>
      <w:r>
        <w:t xml:space="preserve">PMID 37879237 — </w:t>
      </w:r>
      <w:hyperlink r:id="rId69">
        <w:r>
          <w:rPr>
            <w:color w:val="0563C1"/>
            <w:u w:val="single"/>
          </w:rPr>
          <w:t>https://pubmed.ncbi.nlm.nih.gov/37879237/</w:t>
        </w:r>
      </w:hyperlink>
    </w:p>
    <w:p>
      <w:pPr>
        <w:pStyle w:val="Heading3"/>
      </w:pPr>
      <w:r>
        <w:t>Sueño</w:t>
      </w:r>
    </w:p>
    <w:p>
      <w:pPr>
        <w:pStyle w:val="ListBullet"/>
      </w:pPr>
      <w:r>
        <w:t>Revisión sistemática 2026, 30 estudios / 10.944 participantes: la restricción de sueño puede reducir pérdida de grasa durante intervención de peso.</w:t>
      </w:r>
    </w:p>
    <w:p>
      <w:pPr>
        <w:pStyle w:val="ListBullet"/>
      </w:pPr>
      <w:r>
        <w:t>Meta 2026 de intervenciones del sueño: mejorar sueño puede reducir ingesta energética y ayudar al control de peso en algunos perfiles.</w:t>
      </w:r>
    </w:p>
    <w:p>
      <w:pPr>
        <w:pStyle w:val="ListBullet"/>
      </w:pPr>
      <w:r>
        <w:t>Ensayos de restricción de sueño muestran incremento de peso y cintura incluso con reducciones moderadas de tiempo de sueño.</w:t>
      </w:r>
    </w:p>
    <w:p>
      <w:pPr>
        <w:pStyle w:val="ListBullet"/>
      </w:pPr>
      <w:r>
        <w:rPr>
          <w:b/>
        </w:rPr>
        <w:t>Regla Vitalitty:</w:t>
      </w:r>
      <w:r>
        <w:t xml:space="preserve"> preguntar horas/calidad de sueño en estancamientos, hambre elevada y fatiga; considerar sueño parte del tratamiento, no un “extra”.</w:t>
      </w:r>
    </w:p>
    <w:p>
      <w:r>
        <w:rPr>
          <w:b/>
        </w:rPr>
        <w:t>Fuentes:</w:t>
      </w:r>
    </w:p>
    <w:p>
      <w:r>
        <w:t xml:space="preserve">PMID 42478101 — </w:t>
      </w:r>
      <w:hyperlink r:id="rId70">
        <w:r>
          <w:rPr>
            <w:color w:val="0563C1"/>
            <w:u w:val="single"/>
          </w:rPr>
          <w:t>https://pubmed.ncbi.nlm.nih.gov/42478101/</w:t>
        </w:r>
      </w:hyperlink>
    </w:p>
    <w:p>
      <w:r>
        <w:t xml:space="preserve">PMID 42044907 — </w:t>
      </w:r>
      <w:hyperlink r:id="rId71">
        <w:r>
          <w:rPr>
            <w:color w:val="0563C1"/>
            <w:u w:val="single"/>
          </w:rPr>
          <w:t>https://pubmed.ncbi.nlm.nih.gov/42044907/</w:t>
        </w:r>
      </w:hyperlink>
    </w:p>
    <w:p>
      <w:r>
        <w:t xml:space="preserve">PMID 42407080 — </w:t>
      </w:r>
      <w:hyperlink r:id="rId72">
        <w:r>
          <w:rPr>
            <w:color w:val="0563C1"/>
            <w:u w:val="single"/>
          </w:rPr>
          <w:t>https://pubmed.ncbi.nlm.nih.gov/42407080/</w:t>
        </w:r>
      </w:hyperlink>
    </w:p>
    <w:p>
      <w:pPr>
        <w:pStyle w:val="Heading3"/>
      </w:pPr>
      <w:r>
        <w:t>Disponibilidad energética baja / RED-S</w:t>
      </w:r>
    </w:p>
    <w:p>
      <w:pPr>
        <w:pStyle w:val="ListBullet"/>
      </w:pPr>
      <w:r>
        <w:t>Meta 2024 muestra que baja disponibilidad energética se asocia a peor rendimiento y alteraciones fisiológicas en atletas.</w:t>
      </w:r>
    </w:p>
    <w:p>
      <w:pPr>
        <w:pStyle w:val="ListBullet"/>
      </w:pPr>
      <w:r>
        <w:t>Revisión experimental 2026: LEA reduce leptina de forma consistente y testosterona en parte de las intervenciones; puede alterar hueso y otros ejes.</w:t>
      </w:r>
    </w:p>
    <w:p>
      <w:pPr>
        <w:pStyle w:val="ListBullet"/>
      </w:pPr>
      <w:r>
        <w:rPr>
          <w:b/>
        </w:rPr>
        <w:t>Regla:</w:t>
      </w:r>
      <w:r>
        <w:t xml:space="preserve"> en deportistas con fatiga, bajo rendimiento, amenorrea/alteraciones menstruales, baja libido, lesiones repetidas o pérdida de peso rápida, revisar energía disponible antes de seguir recortando calorías.</w:t>
      </w:r>
    </w:p>
    <w:p>
      <w:r>
        <w:rPr>
          <w:b/>
        </w:rPr>
        <w:t>Fuentes:</w:t>
      </w:r>
    </w:p>
    <w:p>
      <w:r>
        <w:t xml:space="preserve">PMID 39485653 — </w:t>
      </w:r>
      <w:hyperlink r:id="rId73">
        <w:r>
          <w:rPr>
            <w:color w:val="0563C1"/>
            <w:u w:val="single"/>
          </w:rPr>
          <w:t>https://pubmed.ncbi.nlm.nih.gov/39485653/</w:t>
        </w:r>
      </w:hyperlink>
    </w:p>
    <w:p>
      <w:r>
        <w:t xml:space="preserve">PMID 41794545 — </w:t>
      </w:r>
      <w:hyperlink r:id="rId74">
        <w:r>
          <w:rPr>
            <w:color w:val="0563C1"/>
            <w:u w:val="single"/>
          </w:rPr>
          <w:t>https://pubmed.ncbi.nlm.nih.gov/41794545/</w:t>
        </w:r>
      </w:hyperlink>
    </w:p>
    <w:p>
      <w:pPr>
        <w:pStyle w:val="Heading2"/>
      </w:pPr>
      <w:r>
        <w:t>D. ESTADO DE ÁNIMO / DEPRESIÓN / ANSIEDAD — PAPEL NUTRICIONAL</w:t>
      </w:r>
    </w:p>
    <w:p>
      <w:pPr>
        <w:pStyle w:val="Heading3"/>
      </w:pPr>
      <w:r>
        <w:t>Patrón mediterráneo</w:t>
      </w:r>
    </w:p>
    <w:p>
      <w:pPr>
        <w:pStyle w:val="ListBullet"/>
      </w:pPr>
      <w:r>
        <w:t>Meta de RCT 2024: dieta mediterránea redujo síntomas depresivos en adultos con depresión/síntomas, pero con heterogeneidad alta y certeza baja.</w:t>
      </w:r>
    </w:p>
    <w:p>
      <w:pPr>
        <w:pStyle w:val="ListBullet"/>
      </w:pPr>
      <w:r>
        <w:rPr>
          <w:b/>
        </w:rPr>
        <w:t>Regla:</w:t>
      </w:r>
      <w:r>
        <w:t xml:space="preserve"> puede formar parte del tratamiento dietético, nunca sustituir atención psicológica/psiquiátrica cuando esté indicada.</w:t>
      </w:r>
    </w:p>
    <w:p>
      <w:r>
        <w:rPr>
          <w:b/>
        </w:rPr>
        <w:t>Fuente:</w:t>
      </w:r>
      <w:r>
        <w:t xml:space="preserve"> PMID 38219230 — </w:t>
      </w:r>
      <w:hyperlink r:id="rId75">
        <w:r>
          <w:rPr>
            <w:color w:val="0563C1"/>
            <w:u w:val="single"/>
          </w:rPr>
          <w:t>https://pubmed.ncbi.nlm.nih.gov/38219230/</w:t>
        </w:r>
      </w:hyperlink>
    </w:p>
    <w:p>
      <w:pPr>
        <w:pStyle w:val="Heading3"/>
      </w:pPr>
      <w:r>
        <w:t>Omega-3</w:t>
      </w:r>
    </w:p>
    <w:p>
      <w:pPr>
        <w:pStyle w:val="ListBullet"/>
      </w:pPr>
      <w:r>
        <w:t>Meta de 67 RCT: omega-3 puede mejorar síntomas en personas con depresión existente; no demuestra prevención de depresión en población general.</w:t>
      </w:r>
    </w:p>
    <w:p>
      <w:pPr>
        <w:pStyle w:val="ListBullet"/>
      </w:pPr>
      <w:r>
        <w:rPr>
          <w:b/>
        </w:rPr>
        <w:t>Regla:</w:t>
      </w:r>
      <w:r>
        <w:t xml:space="preserve"> considerar como coadyuvante en perfiles seleccionados; no prometer efecto universal ni usarlo como tratamiento único.</w:t>
      </w:r>
    </w:p>
    <w:p>
      <w:r>
        <w:rPr>
          <w:b/>
        </w:rPr>
        <w:t>Fuente:</w:t>
      </w:r>
      <w:r>
        <w:t xml:space="preserve"> PMID 37726108 — </w:t>
      </w:r>
      <w:hyperlink r:id="rId76">
        <w:r>
          <w:rPr>
            <w:color w:val="0563C1"/>
            <w:u w:val="single"/>
          </w:rPr>
          <w:t>https://pubmed.ncbi.nlm.nih.gov/37726108/</w:t>
        </w:r>
      </w:hyperlink>
    </w:p>
    <w:p>
      <w:pPr>
        <w:pStyle w:val="Heading3"/>
      </w:pPr>
      <w:r>
        <w:t>Azafrán</w:t>
      </w:r>
    </w:p>
    <w:p>
      <w:pPr>
        <w:pStyle w:val="ListBullet"/>
      </w:pPr>
      <w:r>
        <w:t>Meta 2026 de 34 RCT / 1769 adultos: reducciones en escalas autoinformadas de depresión/ansiedad, pero heterogeneidad muy alta y resultados no consistentes en escalas clínicas.</w:t>
      </w:r>
    </w:p>
    <w:p>
      <w:pPr>
        <w:pStyle w:val="ListBullet"/>
      </w:pPr>
      <w:r>
        <w:rPr>
          <w:b/>
        </w:rPr>
        <w:t>Clasificación Vitalitty:</w:t>
      </w:r>
      <w:r>
        <w:t xml:space="preserve"> evidencia prometedora/moderada, NO suplemento de primera línea para control de peso/hormonas.</w:t>
      </w:r>
    </w:p>
    <w:p>
      <w:r>
        <w:rPr>
          <w:b/>
        </w:rPr>
        <w:t>Fuente:</w:t>
      </w:r>
      <w:r>
        <w:t xml:space="preserve"> PMID 41693488 — </w:t>
      </w:r>
      <w:hyperlink r:id="rId77">
        <w:r>
          <w:rPr>
            <w:color w:val="0563C1"/>
            <w:u w:val="single"/>
          </w:rPr>
          <w:t>https://pubmed.ncbi.nlm.nih.gov/41693488/</w:t>
        </w:r>
      </w:hyperlink>
    </w:p>
    <w:p>
      <w:pPr>
        <w:pStyle w:val="Heading1"/>
      </w:pPr>
      <w:r>
        <w:t>MATRIZ PRÁCTICA PARA EL EDITOR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 w:val="true"/>
        </w:trPr>
        <w:tc>
          <w:tcPr>
            <w:tcW w:type="dxa" w:w="1457"/>
            <w:vAlign w:val="center"/>
            <w:shd w:fill="EAF5FB"/>
          </w:tcPr>
          <w:p>
            <w:r>
              <w:rPr>
                <w:b/>
              </w:rPr>
            </w:r>
            <w:r>
              <w:rPr>
                <w:b/>
              </w:rPr>
              <w:t>Perfil</w:t>
            </w:r>
          </w:p>
        </w:tc>
        <w:tc>
          <w:tcPr>
            <w:tcW w:type="dxa" w:w="1457"/>
            <w:vAlign w:val="center"/>
            <w:shd w:fill="EAF5FB"/>
          </w:tcPr>
          <w:p>
            <w:r>
              <w:rPr>
                <w:b/>
              </w:rPr>
            </w:r>
            <w:r>
              <w:rPr>
                <w:b/>
              </w:rPr>
              <w:t>Energía</w:t>
            </w:r>
          </w:p>
        </w:tc>
        <w:tc>
          <w:tcPr>
            <w:tcW w:type="dxa" w:w="1457"/>
            <w:vAlign w:val="center"/>
            <w:shd w:fill="EAF5FB"/>
          </w:tcPr>
          <w:p>
            <w:r>
              <w:rPr>
                <w:b/>
              </w:rPr>
            </w:r>
            <w:r>
              <w:rPr>
                <w:b/>
              </w:rPr>
              <w:t>Proteína</w:t>
            </w:r>
          </w:p>
        </w:tc>
        <w:tc>
          <w:tcPr>
            <w:tcW w:type="dxa" w:w="1457"/>
            <w:vAlign w:val="center"/>
            <w:shd w:fill="EAF5FB"/>
          </w:tcPr>
          <w:p>
            <w:r>
              <w:rPr>
                <w:b/>
              </w:rPr>
            </w:r>
            <w:r>
              <w:rPr>
                <w:b/>
              </w:rPr>
              <w:t>CHO</w:t>
            </w:r>
          </w:p>
        </w:tc>
        <w:tc>
          <w:tcPr>
            <w:tcW w:type="dxa" w:w="1457"/>
            <w:vAlign w:val="center"/>
            <w:shd w:fill="EAF5FB"/>
          </w:tcPr>
          <w:p>
            <w:r>
              <w:rPr>
                <w:b/>
              </w:rPr>
            </w:r>
            <w:r>
              <w:rPr>
                <w:b/>
              </w:rPr>
              <w:t>Grasas</w:t>
            </w:r>
          </w:p>
        </w:tc>
        <w:tc>
          <w:tcPr>
            <w:tcW w:type="dxa" w:w="1457"/>
            <w:vAlign w:val="center"/>
            <w:shd w:fill="EAF5FB"/>
          </w:tcPr>
          <w:p>
            <w:r>
              <w:rPr>
                <w:b/>
              </w:rPr>
            </w:r>
            <w:r>
              <w:rPr>
                <w:b/>
              </w:rPr>
              <w:t>Suplementos con mejor encaje</w:t>
            </w:r>
          </w:p>
        </w:tc>
        <w:tc>
          <w:tcPr>
            <w:tcW w:type="dxa" w:w="1457"/>
            <w:vAlign w:val="center"/>
            <w:shd w:fill="EAF5FB"/>
          </w:tcPr>
          <w:p>
            <w:r>
              <w:rPr>
                <w:b/>
              </w:rPr>
            </w:r>
            <w:r>
              <w:rPr>
                <w:b/>
              </w:rPr>
              <w:t>Prioridad clínica</w:t>
            </w:r>
          </w:p>
        </w:tc>
      </w:tr>
      <w:tr>
        <w:tc>
          <w:tcPr>
            <w:tcW w:type="dxa" w:w="1457"/>
            <w:vAlign w:val="center"/>
          </w:tcPr>
          <w:p>
            <w:r/>
            <w:r>
              <w:t>Recomp. con fuerza</w:t>
            </w:r>
          </w:p>
        </w:tc>
        <w:tc>
          <w:tcPr>
            <w:tcW w:type="dxa" w:w="1457"/>
            <w:vAlign w:val="center"/>
          </w:tcPr>
          <w:p>
            <w:r/>
            <w:r>
              <w:t>déficit pequeño/moderado o mantenimiento</w:t>
            </w:r>
          </w:p>
        </w:tc>
        <w:tc>
          <w:tcPr>
            <w:tcW w:type="dxa" w:w="1457"/>
            <w:vAlign w:val="center"/>
          </w:tcPr>
          <w:p>
            <w:r/>
            <w:r>
              <w:t>~1.6–2.2 g/kg; mayor si muy magro/déficit</w:t>
            </w:r>
          </w:p>
        </w:tc>
        <w:tc>
          <w:tcPr>
            <w:tcW w:type="dxa" w:w="1457"/>
            <w:vAlign w:val="center"/>
          </w:tcPr>
          <w:p>
            <w:r/>
            <w:r>
              <w:t>suficientes para rendir; rápidos solo si útiles alrededor entreno</w:t>
            </w:r>
          </w:p>
        </w:tc>
        <w:tc>
          <w:tcPr>
            <w:tcW w:type="dxa" w:w="1457"/>
            <w:vAlign w:val="center"/>
          </w:tcPr>
          <w:p>
            <w:r/>
            <w:r>
              <w:t>moderadas, no extremas</w:t>
            </w:r>
          </w:p>
        </w:tc>
        <w:tc>
          <w:tcPr>
            <w:tcW w:type="dxa" w:w="1457"/>
            <w:vAlign w:val="center"/>
          </w:tcPr>
          <w:p>
            <w:r/>
            <w:r>
              <w:t>creatina; proteína si necesaria</w:t>
            </w:r>
          </w:p>
        </w:tc>
        <w:tc>
          <w:tcPr>
            <w:tcW w:type="dxa" w:w="1457"/>
            <w:vAlign w:val="center"/>
          </w:tcPr>
          <w:p>
            <w:r/>
            <w:r>
              <w:t>fuerza + adherencia + sueño</w:t>
            </w:r>
          </w:p>
        </w:tc>
      </w:tr>
      <w:tr>
        <w:tc>
          <w:tcPr>
            <w:tcW w:type="dxa" w:w="1457"/>
            <w:vAlign w:val="center"/>
          </w:tcPr>
          <w:p>
            <w:r/>
            <w:r>
              <w:t>Ganancia muscular</w:t>
            </w:r>
          </w:p>
        </w:tc>
        <w:tc>
          <w:tcPr>
            <w:tcW w:type="dxa" w:w="1457"/>
            <w:vAlign w:val="center"/>
          </w:tcPr>
          <w:p>
            <w:r/>
            <w:r>
              <w:t>pequeño superávit individualizado</w:t>
            </w:r>
          </w:p>
        </w:tc>
        <w:tc>
          <w:tcPr>
            <w:tcW w:type="dxa" w:w="1457"/>
            <w:vAlign w:val="center"/>
          </w:tcPr>
          <w:p>
            <w:r/>
            <w:r>
              <w:t>~1.6–2.2 g/kg</w:t>
            </w:r>
          </w:p>
        </w:tc>
        <w:tc>
          <w:tcPr>
            <w:tcW w:type="dxa" w:w="1457"/>
            <w:vAlign w:val="center"/>
          </w:tcPr>
          <w:p>
            <w:r/>
            <w:r>
              <w:t>normalmente más altos por rendimiento/superávit</w:t>
            </w:r>
          </w:p>
        </w:tc>
        <w:tc>
          <w:tcPr>
            <w:tcW w:type="dxa" w:w="1457"/>
            <w:vAlign w:val="center"/>
          </w:tcPr>
          <w:p>
            <w:r/>
            <w:r>
              <w:t>resto de energía</w:t>
            </w:r>
          </w:p>
        </w:tc>
        <w:tc>
          <w:tcPr>
            <w:tcW w:type="dxa" w:w="1457"/>
            <w:vAlign w:val="center"/>
          </w:tcPr>
          <w:p>
            <w:r/>
            <w:r>
              <w:t>creatina; proteína si necesaria</w:t>
            </w:r>
          </w:p>
        </w:tc>
        <w:tc>
          <w:tcPr>
            <w:tcW w:type="dxa" w:w="1457"/>
            <w:vAlign w:val="center"/>
          </w:tcPr>
          <w:p>
            <w:r/>
            <w:r>
              <w:t>progresión entrenamiento</w:t>
            </w:r>
          </w:p>
        </w:tc>
      </w:tr>
      <w:tr>
        <w:tc>
          <w:tcPr>
            <w:tcW w:type="dxa" w:w="1457"/>
            <w:vAlign w:val="center"/>
          </w:tcPr>
          <w:p>
            <w:r/>
            <w:r>
              <w:t>Obesidad/sobrepeso</w:t>
            </w:r>
          </w:p>
        </w:tc>
        <w:tc>
          <w:tcPr>
            <w:tcW w:type="dxa" w:w="1457"/>
            <w:vAlign w:val="center"/>
          </w:tcPr>
          <w:p>
            <w:r/>
            <w:r>
              <w:t>déficit sostenible</w:t>
            </w:r>
          </w:p>
        </w:tc>
        <w:tc>
          <w:tcPr>
            <w:tcW w:type="dxa" w:w="1457"/>
            <w:vAlign w:val="center"/>
          </w:tcPr>
          <w:p>
            <w:r/>
            <w:r>
              <w:t>≥1.3 g/kg como referencia; individualizar en obesidad severa</w:t>
            </w:r>
          </w:p>
        </w:tc>
        <w:tc>
          <w:tcPr>
            <w:tcW w:type="dxa" w:w="1457"/>
            <w:vAlign w:val="center"/>
          </w:tcPr>
          <w:p>
            <w:r/>
            <w:r>
              <w:t>low/moderate/high según adherencia/metabolismo</w:t>
            </w:r>
          </w:p>
        </w:tc>
        <w:tc>
          <w:tcPr>
            <w:tcW w:type="dxa" w:w="1457"/>
            <w:vAlign w:val="center"/>
          </w:tcPr>
          <w:p>
            <w:r/>
            <w:r>
              <w:t>individualizar calidad</w:t>
            </w:r>
          </w:p>
        </w:tc>
        <w:tc>
          <w:tcPr>
            <w:tcW w:type="dxa" w:w="1457"/>
            <w:vAlign w:val="center"/>
          </w:tcPr>
          <w:p>
            <w:r/>
            <w:r>
              <w:t>pocos; no quemagrasas como base</w:t>
            </w:r>
          </w:p>
        </w:tc>
        <w:tc>
          <w:tcPr>
            <w:tcW w:type="dxa" w:w="1457"/>
            <w:vAlign w:val="center"/>
          </w:tcPr>
          <w:p>
            <w:r/>
            <w:r>
              <w:t>fuerza + pasos + adherencia</w:t>
            </w:r>
          </w:p>
        </w:tc>
      </w:tr>
      <w:tr>
        <w:tc>
          <w:tcPr>
            <w:tcW w:type="dxa" w:w="1457"/>
            <w:vAlign w:val="center"/>
          </w:tcPr>
          <w:p>
            <w:r/>
            <w:r>
              <w:t>Hombre obeso con T baja</w:t>
            </w:r>
          </w:p>
        </w:tc>
        <w:tc>
          <w:tcPr>
            <w:tcW w:type="dxa" w:w="1457"/>
            <w:vAlign w:val="center"/>
          </w:tcPr>
          <w:p>
            <w:r/>
            <w:r>
              <w:t>déficit sostenible, no crash diet</w:t>
            </w:r>
          </w:p>
        </w:tc>
        <w:tc>
          <w:tcPr>
            <w:tcW w:type="dxa" w:w="1457"/>
            <w:vAlign w:val="center"/>
          </w:tcPr>
          <w:p>
            <w:r/>
            <w:r>
              <w:t>suficiente para preservar músculo</w:t>
            </w:r>
          </w:p>
        </w:tc>
        <w:tc>
          <w:tcPr>
            <w:tcW w:type="dxa" w:w="1457"/>
            <w:vAlign w:val="center"/>
          </w:tcPr>
          <w:p>
            <w:r/>
            <w:r>
              <w:t>individualizar; evitar extremos que empeoren rendimiento</w:t>
            </w:r>
          </w:p>
        </w:tc>
        <w:tc>
          <w:tcPr>
            <w:tcW w:type="dxa" w:w="1457"/>
            <w:vAlign w:val="center"/>
          </w:tcPr>
          <w:p>
            <w:r/>
            <w:r>
              <w:t>no usar alta grasa para “subir T”</w:t>
            </w:r>
          </w:p>
        </w:tc>
        <w:tc>
          <w:tcPr>
            <w:tcW w:type="dxa" w:w="1457"/>
            <w:vAlign w:val="center"/>
          </w:tcPr>
          <w:p>
            <w:r/>
            <w:r>
              <w:t>corregir déficits; creatina si entrena; NO test boosters</w:t>
            </w:r>
          </w:p>
        </w:tc>
        <w:tc>
          <w:tcPr>
            <w:tcW w:type="dxa" w:w="1457"/>
            <w:vAlign w:val="center"/>
          </w:tcPr>
          <w:p>
            <w:r/>
            <w:r>
              <w:t>pérdida grasa + evaluación médica si persiste</w:t>
            </w:r>
          </w:p>
        </w:tc>
      </w:tr>
      <w:tr>
        <w:tc>
          <w:tcPr>
            <w:tcW w:type="dxa" w:w="1457"/>
            <w:vAlign w:val="center"/>
          </w:tcPr>
          <w:p>
            <w:r/>
            <w:r>
              <w:t>Peri/postmenopausia</w:t>
            </w:r>
          </w:p>
        </w:tc>
        <w:tc>
          <w:tcPr>
            <w:tcW w:type="dxa" w:w="1457"/>
            <w:vAlign w:val="center"/>
          </w:tcPr>
          <w:p>
            <w:r/>
            <w:r>
              <w:t>mantenimiento o déficit según objetivo</w:t>
            </w:r>
          </w:p>
        </w:tc>
        <w:tc>
          <w:tcPr>
            <w:tcW w:type="dxa" w:w="1457"/>
            <w:vAlign w:val="center"/>
          </w:tcPr>
          <w:p>
            <w:r/>
            <w:r>
              <w:t>~1.2–1.6 g/kg; más si déficit/RT/sarcopenia</w:t>
            </w:r>
          </w:p>
        </w:tc>
        <w:tc>
          <w:tcPr>
            <w:tcW w:type="dxa" w:w="1457"/>
            <w:vAlign w:val="center"/>
          </w:tcPr>
          <w:p>
            <w:r/>
            <w:r>
              <w:t>según actividad y glucemia</w:t>
            </w:r>
          </w:p>
        </w:tc>
        <w:tc>
          <w:tcPr>
            <w:tcW w:type="dxa" w:w="1457"/>
            <w:vAlign w:val="center"/>
          </w:tcPr>
          <w:p>
            <w:r/>
            <w:r>
              <w:t>calidad cardiometabólica</w:t>
            </w:r>
          </w:p>
        </w:tc>
        <w:tc>
          <w:tcPr>
            <w:tcW w:type="dxa" w:w="1457"/>
            <w:vAlign w:val="center"/>
          </w:tcPr>
          <w:p>
            <w:r/>
            <w:r>
              <w:t>creatina; soja como alimento; Ca/Vit D según necesidad</w:t>
            </w:r>
          </w:p>
        </w:tc>
        <w:tc>
          <w:tcPr>
            <w:tcW w:type="dxa" w:w="1457"/>
            <w:vAlign w:val="center"/>
          </w:tcPr>
          <w:p>
            <w:r/>
            <w:r>
              <w:t>fuerza + hueso + cardiometabolismo</w:t>
            </w:r>
          </w:p>
        </w:tc>
      </w:tr>
      <w:tr>
        <w:tc>
          <w:tcPr>
            <w:tcW w:type="dxa" w:w="1457"/>
            <w:vAlign w:val="center"/>
          </w:tcPr>
          <w:p>
            <w:r/>
            <w:r>
              <w:t>Estrés/sueño pobre</w:t>
            </w:r>
          </w:p>
        </w:tc>
        <w:tc>
          <w:tcPr>
            <w:tcW w:type="dxa" w:w="1457"/>
            <w:vAlign w:val="center"/>
          </w:tcPr>
          <w:p>
            <w:r/>
            <w:r>
              <w:t>evitar restricción excesiva</w:t>
            </w:r>
          </w:p>
        </w:tc>
        <w:tc>
          <w:tcPr>
            <w:tcW w:type="dxa" w:w="1457"/>
            <w:vAlign w:val="center"/>
          </w:tcPr>
          <w:p>
            <w:r/>
            <w:r>
              <w:t>adecuada</w:t>
            </w:r>
          </w:p>
        </w:tc>
        <w:tc>
          <w:tcPr>
            <w:tcW w:type="dxa" w:w="1457"/>
            <w:vAlign w:val="center"/>
          </w:tcPr>
          <w:p>
            <w:r/>
            <w:r>
              <w:t>no recortar por dogma</w:t>
            </w:r>
          </w:p>
        </w:tc>
        <w:tc>
          <w:tcPr>
            <w:tcW w:type="dxa" w:w="1457"/>
            <w:vAlign w:val="center"/>
          </w:tcPr>
          <w:p>
            <w:r/>
            <w:r>
              <w:t>adecuada</w:t>
            </w:r>
          </w:p>
        </w:tc>
        <w:tc>
          <w:tcPr>
            <w:tcW w:type="dxa" w:w="1457"/>
            <w:vAlign w:val="center"/>
          </w:tcPr>
          <w:p>
            <w:r/>
            <w:r>
              <w:t>no “anticortisol” rutinario</w:t>
            </w:r>
          </w:p>
        </w:tc>
        <w:tc>
          <w:tcPr>
            <w:tcW w:type="dxa" w:w="1457"/>
            <w:vAlign w:val="center"/>
          </w:tcPr>
          <w:p>
            <w:r/>
            <w:r>
              <w:t>sueño/estrés/adherencia</w:t>
            </w:r>
          </w:p>
        </w:tc>
      </w:tr>
    </w:tbl>
    <w:p/>
    <w:p>
      <w:r>
        <w:rPr>
          <w:b/>
        </w:rPr>
        <w:t>Nota:</w:t>
      </w:r>
      <w:r>
        <w:t xml:space="preserve"> Los rangos prácticos son marcos de decisión del Editor Vitalitty, no prescripciones universales. Ajustar por edad, sexo, composición corporal, patología, función renal/hepática, medicación, entrenamiento, tolerancia digestiva y objetivo.</w:t>
      </w:r>
    </w:p>
    <w:p>
      <w:pPr>
        <w:pStyle w:val="Heading1"/>
      </w:pPr>
      <w:r>
        <w:t>ALERTAS / DERIVACIÓN MÉDICA</w:t>
      </w:r>
    </w:p>
    <w:p>
      <w:r>
        <w:t>El editor debe sugerir valoración médica cuando aparezca alguno de estos escenarios:</w:t>
      </w:r>
    </w:p>
    <w:p>
      <w:pPr>
        <w:pStyle w:val="ListBullet"/>
      </w:pPr>
      <w:r>
        <w:t>testosterona baja documentada repetidamente + síntomas;</w:t>
      </w:r>
    </w:p>
    <w:p>
      <w:pPr>
        <w:pStyle w:val="ListBullet"/>
      </w:pPr>
      <w:r>
        <w:t>amenorrea o alteraciones menstruales persistentes no explicadas;</w:t>
      </w:r>
    </w:p>
    <w:p>
      <w:pPr>
        <w:pStyle w:val="ListBullet"/>
      </w:pPr>
      <w:r>
        <w:t>síntomas intensos de peri/postmenopausia que requieran valoración ginecológica;</w:t>
      </w:r>
    </w:p>
    <w:p>
      <w:pPr>
        <w:pStyle w:val="ListBullet"/>
      </w:pPr>
      <w:r>
        <w:t>pérdida de peso inexplicada, fatiga marcada o sospecha tiroidea;</w:t>
      </w:r>
    </w:p>
    <w:p>
      <w:pPr>
        <w:pStyle w:val="ListBullet"/>
      </w:pPr>
      <w:r>
        <w:t>signos de hipercortisolismo real (no simple estrés cotidiano);</w:t>
      </w:r>
    </w:p>
    <w:p>
      <w:pPr>
        <w:pStyle w:val="ListBullet"/>
      </w:pPr>
      <w:r>
        <w:t>depresión moderada-grave, ideación autolesiva, ansiedad incapacitante;</w:t>
      </w:r>
    </w:p>
    <w:p>
      <w:pPr>
        <w:pStyle w:val="ListBullet"/>
      </w:pPr>
      <w:r>
        <w:t>sospecha de apnea obstructiva del sueño;</w:t>
      </w:r>
    </w:p>
    <w:p>
      <w:pPr>
        <w:pStyle w:val="ListBullet"/>
      </w:pPr>
      <w:r>
        <w:t>pérdida rápida de peso con signos de RED-S/LEA.</w:t>
      </w:r>
    </w:p>
    <w:p>
      <w:pPr>
        <w:pStyle w:val="Heading1"/>
      </w:pPr>
      <w:r>
        <w:t>MITOS QUE EL EDITOR NO DEBE REPRODUCIR</w:t>
      </w:r>
    </w:p>
    <w:p>
      <w:r>
        <w:t>❌ “No adelgaza por el cortisol aunque esté en déficit.”</w:t>
      </w:r>
    </w:p>
    <w:p>
      <w:r>
        <w:t>❌ “La menopausia impide perder grasa.”</w:t>
      </w:r>
    </w:p>
    <w:p>
      <w:r>
        <w:t>❌ “Hay que quitar hidratos en menopausia.”</w:t>
      </w:r>
    </w:p>
    <w:p>
      <w:r>
        <w:t>❌ “La soja sube los estrógenos como una terapia hormonal.”</w:t>
      </w:r>
    </w:p>
    <w:p>
      <w:r>
        <w:t>❌ “La vitamina D sube la testosterona.”</w:t>
      </w:r>
    </w:p>
    <w:p>
      <w:r>
        <w:t>❌ “Comer mucha grasa sube la testosterona.”</w:t>
      </w:r>
    </w:p>
    <w:p>
      <w:r>
        <w:t>❌ “El ayuno quema más grasa corporal independientemente de las calorías.”</w:t>
      </w:r>
    </w:p>
    <w:p>
      <w:r>
        <w:t>❌ “Los hidratos rápidos son malos siempre.”</w:t>
      </w:r>
    </w:p>
    <w:p>
      <w:r>
        <w:t>❌ “Más proteína siempre = más músculo.”</w:t>
      </w:r>
    </w:p>
    <w:p>
      <w:r>
        <w:t>❌ “Creatina es solo para hombres jóvenes.”</w:t>
      </w:r>
    </w:p>
    <w:p>
      <w:pPr>
        <w:pStyle w:val="Heading1"/>
      </w:pPr>
      <w:r>
        <w:t>REFERENCIAS NÚCLEO — BASE 02</w:t>
      </w:r>
    </w:p>
    <w:p>
      <w:pPr>
        <w:pStyle w:val="ListNumber"/>
      </w:pPr>
      <w:r>
        <w:t xml:space="preserve">Pelland et al. Resistance training dose response (2026). PMID 41343037. </w:t>
      </w:r>
      <w:hyperlink r:id="rId10">
        <w:r>
          <w:rPr>
            <w:color w:val="0563C1"/>
            <w:u w:val="single"/>
          </w:rPr>
          <w:t>https://pubmed.ncbi.nlm.nih.gov/41343037/</w:t>
        </w:r>
      </w:hyperlink>
    </w:p>
    <w:p>
      <w:pPr>
        <w:pStyle w:val="ListNumber"/>
      </w:pPr>
      <w:r>
        <w:t xml:space="preserve">ACSM Position Stand — Resistance Training Prescription (2026). PMID 41843416. </w:t>
      </w:r>
      <w:hyperlink r:id="rId48">
        <w:r>
          <w:rPr>
            <w:color w:val="0563C1"/>
            <w:u w:val="single"/>
          </w:rPr>
          <w:t>https://pubmed.ncbi.nlm.nih.gov/41843416/</w:t>
        </w:r>
      </w:hyperlink>
    </w:p>
    <w:p>
      <w:pPr>
        <w:pStyle w:val="ListNumber"/>
      </w:pPr>
      <w:r>
        <w:t xml:space="preserve">Morton et al. Protein + RT meta-analysis. PMID 28698222. </w:t>
      </w:r>
      <w:hyperlink r:id="rId12">
        <w:r>
          <w:rPr>
            <w:color w:val="0563C1"/>
            <w:u w:val="single"/>
          </w:rPr>
          <w:t>https://pubmed.ncbi.nlm.nih.gov/28698222/</w:t>
        </w:r>
      </w:hyperlink>
    </w:p>
    <w:p>
      <w:pPr>
        <w:pStyle w:val="ListNumber"/>
      </w:pPr>
      <w:r>
        <w:t xml:space="preserve">Energy deficiency and lean mass. PMID 34623696. </w:t>
      </w:r>
      <w:hyperlink r:id="rId18">
        <w:r>
          <w:rPr>
            <w:color w:val="0563C1"/>
            <w:u w:val="single"/>
          </w:rPr>
          <w:t>https://pubmed.ncbi.nlm.nih.gov/34623696/</w:t>
        </w:r>
      </w:hyperlink>
    </w:p>
    <w:p>
      <w:pPr>
        <w:pStyle w:val="ListNumber"/>
      </w:pPr>
      <w:r>
        <w:t xml:space="preserve">Enhanced protein during weight loss in overweight/obesity. PMID 39002131. </w:t>
      </w:r>
      <w:hyperlink r:id="rId38">
        <w:r>
          <w:rPr>
            <w:color w:val="0563C1"/>
            <w:u w:val="single"/>
          </w:rPr>
          <w:t>https://pubmed.ncbi.nlm.nih.gov/39002131/</w:t>
        </w:r>
      </w:hyperlink>
    </w:p>
    <w:p>
      <w:pPr>
        <w:pStyle w:val="ListNumber"/>
      </w:pPr>
      <w:r>
        <w:t xml:space="preserve">Resistance exercise during dietary weight loss. PMID 40909191. </w:t>
      </w:r>
      <w:hyperlink r:id="rId44">
        <w:r>
          <w:rPr>
            <w:color w:val="0563C1"/>
            <w:u w:val="single"/>
          </w:rPr>
          <w:t>https://pubmed.ncbi.nlm.nih.gov/40909191/</w:t>
        </w:r>
      </w:hyperlink>
    </w:p>
    <w:p>
      <w:pPr>
        <w:pStyle w:val="ListNumber"/>
      </w:pPr>
      <w:r>
        <w:t xml:space="preserve">Calorie restriction + exercise on FFM/SMM (2026). PMID 42144246. </w:t>
      </w:r>
      <w:hyperlink r:id="rId45">
        <w:r>
          <w:rPr>
            <w:color w:val="0563C1"/>
            <w:u w:val="single"/>
          </w:rPr>
          <w:t>https://pubmed.ncbi.nlm.nih.gov/42144246/</w:t>
        </w:r>
      </w:hyperlink>
    </w:p>
    <w:p>
      <w:pPr>
        <w:pStyle w:val="ListNumber"/>
      </w:pPr>
      <w:r>
        <w:t xml:space="preserve">Carbohydrate and hypertrophy (2026). PMID 41712097. </w:t>
      </w:r>
      <w:hyperlink r:id="rId41">
        <w:r>
          <w:rPr>
            <w:color w:val="0563C1"/>
            <w:u w:val="single"/>
          </w:rPr>
          <w:t>https://pubmed.ncbi.nlm.nih.gov/41712097/</w:t>
        </w:r>
      </w:hyperlink>
    </w:p>
    <w:p>
      <w:pPr>
        <w:pStyle w:val="ListNumber"/>
      </w:pPr>
      <w:r>
        <w:t xml:space="preserve">CHO and resistance performance. PMID 35809162. </w:t>
      </w:r>
      <w:hyperlink r:id="rId42">
        <w:r>
          <w:rPr>
            <w:color w:val="0563C1"/>
            <w:u w:val="single"/>
          </w:rPr>
          <w:t>https://pubmed.ncbi.nlm.nih.gov/35809162/</w:t>
        </w:r>
      </w:hyperlink>
    </w:p>
    <w:p>
      <w:pPr>
        <w:pStyle w:val="ListNumber"/>
      </w:pPr>
      <w:r>
        <w:t xml:space="preserve">Low-fat vs high-fat and sex hormones (2025). PMID 40387562. </w:t>
      </w:r>
      <w:hyperlink r:id="rId43">
        <w:r>
          <w:rPr>
            <w:color w:val="0563C1"/>
            <w:u w:val="single"/>
          </w:rPr>
          <w:t>https://pubmed.ncbi.nlm.nih.gov/40387562/</w:t>
        </w:r>
      </w:hyperlink>
    </w:p>
    <w:p>
      <w:pPr>
        <w:pStyle w:val="ListNumber"/>
      </w:pPr>
      <w:r>
        <w:t xml:space="preserve">Weight loss and testosterone in obese men. PMID 37345263. </w:t>
      </w:r>
      <w:hyperlink r:id="rId55">
        <w:r>
          <w:rPr>
            <w:color w:val="0563C1"/>
            <w:u w:val="single"/>
          </w:rPr>
          <w:t>https://pubmed.ncbi.nlm.nih.gov/37345263/</w:t>
        </w:r>
      </w:hyperlink>
    </w:p>
    <w:p>
      <w:pPr>
        <w:pStyle w:val="ListNumber"/>
      </w:pPr>
      <w:r>
        <w:t xml:space="preserve">Weight loss and sex hormones umbrella review. PMID 41167564. </w:t>
      </w:r>
      <w:hyperlink r:id="rId56">
        <w:r>
          <w:rPr>
            <w:color w:val="0563C1"/>
            <w:u w:val="single"/>
          </w:rPr>
          <w:t>https://pubmed.ncbi.nlm.nih.gov/41167564/</w:t>
        </w:r>
      </w:hyperlink>
    </w:p>
    <w:p>
      <w:pPr>
        <w:pStyle w:val="ListNumber"/>
      </w:pPr>
      <w:r>
        <w:t xml:space="preserve">Vitamin D and testosterone RCT meta-analysis (2026). PMID 42451097. </w:t>
      </w:r>
      <w:hyperlink r:id="rId57">
        <w:r>
          <w:rPr>
            <w:color w:val="0563C1"/>
            <w:u w:val="single"/>
          </w:rPr>
          <w:t>https://pubmed.ncbi.nlm.nih.gov/42451097/</w:t>
        </w:r>
      </w:hyperlink>
    </w:p>
    <w:p>
      <w:pPr>
        <w:pStyle w:val="ListNumber"/>
      </w:pPr>
      <w:r>
        <w:t xml:space="preserve">Low-carb, cortisol and testosterone. PMID 35254136. </w:t>
      </w:r>
      <w:hyperlink r:id="rId59">
        <w:r>
          <w:rPr>
            <w:color w:val="0563C1"/>
            <w:u w:val="single"/>
          </w:rPr>
          <w:t>https://pubmed.ncbi.nlm.nih.gov/35254136/</w:t>
        </w:r>
      </w:hyperlink>
    </w:p>
    <w:p>
      <w:pPr>
        <w:pStyle w:val="ListNumber"/>
      </w:pPr>
      <w:r>
        <w:t xml:space="preserve">RT across female lifespan (2026). PMID 41963141. </w:t>
      </w:r>
      <w:hyperlink r:id="rId62">
        <w:r>
          <w:rPr>
            <w:color w:val="0563C1"/>
            <w:u w:val="single"/>
          </w:rPr>
          <w:t>https://pubmed.ncbi.nlm.nih.gov/41963141/</w:t>
        </w:r>
      </w:hyperlink>
    </w:p>
    <w:p>
      <w:pPr>
        <w:pStyle w:val="ListNumber"/>
      </w:pPr>
      <w:r>
        <w:t xml:space="preserve">Exercise and body composition postmenopause. PMID 37388207. </w:t>
      </w:r>
      <w:hyperlink r:id="rId63">
        <w:r>
          <w:rPr>
            <w:color w:val="0563C1"/>
            <w:u w:val="single"/>
          </w:rPr>
          <w:t>https://pubmed.ncbi.nlm.nih.gov/37388207/</w:t>
        </w:r>
      </w:hyperlink>
    </w:p>
    <w:p>
      <w:pPr>
        <w:pStyle w:val="ListNumber"/>
      </w:pPr>
      <w:r>
        <w:t xml:space="preserve">Creatine postmenopause (2026). PMID 42141930. </w:t>
      </w:r>
      <w:hyperlink r:id="rId64">
        <w:r>
          <w:rPr>
            <w:color w:val="0563C1"/>
            <w:u w:val="single"/>
          </w:rPr>
          <w:t>https://pubmed.ncbi.nlm.nih.gov/42141930/</w:t>
        </w:r>
      </w:hyperlink>
    </w:p>
    <w:p>
      <w:pPr>
        <w:pStyle w:val="ListNumber"/>
      </w:pPr>
      <w:r>
        <w:t xml:space="preserve">Soy isoflavones and estrogenicity (2025). PMID 39433088. </w:t>
      </w:r>
      <w:hyperlink r:id="rId65">
        <w:r>
          <w:rPr>
            <w:color w:val="0563C1"/>
            <w:u w:val="single"/>
          </w:rPr>
          <w:t>https://pubmed.ncbi.nlm.nih.gov/39433088/</w:t>
        </w:r>
      </w:hyperlink>
    </w:p>
    <w:p>
      <w:pPr>
        <w:pStyle w:val="ListNumber"/>
      </w:pPr>
      <w:r>
        <w:t xml:space="preserve">Low energy availability / RED-S meta-analysis. PMID 39485653. </w:t>
      </w:r>
      <w:hyperlink r:id="rId73">
        <w:r>
          <w:rPr>
            <w:color w:val="0563C1"/>
            <w:u w:val="single"/>
          </w:rPr>
          <w:t>https://pubmed.ncbi.nlm.nih.gov/39485653/</w:t>
        </w:r>
      </w:hyperlink>
    </w:p>
    <w:p>
      <w:pPr>
        <w:pStyle w:val="ListNumber"/>
      </w:pPr>
      <w:r>
        <w:t xml:space="preserve">Experimental LEA biomarkers (2026). PMID 41794545. </w:t>
      </w:r>
      <w:hyperlink r:id="rId74">
        <w:r>
          <w:rPr>
            <w:color w:val="0563C1"/>
            <w:u w:val="single"/>
          </w:rPr>
          <w:t>https://pubmed.ncbi.nlm.nih.gov/41794545/</w:t>
        </w:r>
      </w:hyperlink>
    </w:p>
    <w:p>
      <w:pPr>
        <w:pStyle w:val="ListNumber"/>
      </w:pPr>
      <w:r>
        <w:t xml:space="preserve">Stress management and cortisol meta-analysis. PMID 37879237. </w:t>
      </w:r>
      <w:hyperlink r:id="rId69">
        <w:r>
          <w:rPr>
            <w:color w:val="0563C1"/>
            <w:u w:val="single"/>
          </w:rPr>
          <w:t>https://pubmed.ncbi.nlm.nih.gov/37879237/</w:t>
        </w:r>
      </w:hyperlink>
    </w:p>
    <w:p>
      <w:pPr>
        <w:pStyle w:val="ListNumber"/>
      </w:pPr>
      <w:r>
        <w:t xml:space="preserve">Sleep and weight loss systematic review (2026). PMID 42478101. </w:t>
      </w:r>
      <w:hyperlink r:id="rId70">
        <w:r>
          <w:rPr>
            <w:color w:val="0563C1"/>
            <w:u w:val="single"/>
          </w:rPr>
          <w:t>https://pubmed.ncbi.nlm.nih.gov/42478101/</w:t>
        </w:r>
      </w:hyperlink>
    </w:p>
    <w:p>
      <w:pPr>
        <w:pStyle w:val="ListNumber"/>
      </w:pPr>
      <w:r>
        <w:t xml:space="preserve">Sleep interventions and obesity meta-analysis (2026). PMID 42044907. </w:t>
      </w:r>
      <w:hyperlink r:id="rId71">
        <w:r>
          <w:rPr>
            <w:color w:val="0563C1"/>
            <w:u w:val="single"/>
          </w:rPr>
          <w:t>https://pubmed.ncbi.nlm.nih.gov/42044907/</w:t>
        </w:r>
      </w:hyperlink>
    </w:p>
    <w:p>
      <w:pPr>
        <w:pStyle w:val="ListNumber"/>
      </w:pPr>
      <w:r>
        <w:t xml:space="preserve">Mediterranean diet and depressive symptoms. PMID 38219230. </w:t>
      </w:r>
      <w:hyperlink r:id="rId75">
        <w:r>
          <w:rPr>
            <w:color w:val="0563C1"/>
            <w:u w:val="single"/>
          </w:rPr>
          <w:t>https://pubmed.ncbi.nlm.nih.gov/38219230/</w:t>
        </w:r>
      </w:hyperlink>
    </w:p>
    <w:p>
      <w:pPr>
        <w:pStyle w:val="ListNumber"/>
      </w:pPr>
      <w:r>
        <w:t xml:space="preserve">Omega-3 and depression dose-response meta-analysis. PMID 37726108. </w:t>
      </w:r>
      <w:hyperlink r:id="rId76">
        <w:r>
          <w:rPr>
            <w:color w:val="0563C1"/>
            <w:u w:val="single"/>
          </w:rPr>
          <w:t>https://pubmed.ncbi.nlm.nih.gov/37726108/</w:t>
        </w:r>
      </w:hyperlink>
    </w:p>
    <w:p>
      <w:pPr>
        <w:pStyle w:val="ListNumber"/>
      </w:pPr>
      <w:r>
        <w:t xml:space="preserve">Caloric restriction regimens network meta-analysis. PMID 39327619. </w:t>
      </w:r>
      <w:hyperlink r:id="rId54">
        <w:r>
          <w:rPr>
            <w:color w:val="0563C1"/>
            <w:u w:val="single"/>
          </w:rPr>
          <w:t>https://pubmed.ncbi.nlm.nih.gov/39327619/</w:t>
        </w:r>
      </w:hyperlink>
    </w:p>
    <w:p>
      <w:pPr>
        <w:pStyle w:val="ListNumber"/>
      </w:pPr>
      <w:r>
        <w:t xml:space="preserve">Low-GI/GL and obesity. PMID 35546475. </w:t>
      </w:r>
      <w:hyperlink r:id="rId52">
        <w:r>
          <w:rPr>
            <w:color w:val="0563C1"/>
            <w:u w:val="single"/>
          </w:rPr>
          <w:t>https://pubmed.ncbi.nlm.nih.gov/35546475/</w:t>
        </w:r>
      </w:hyperlink>
    </w:p>
    <w:p>
      <w:pPr>
        <w:pStyle w:val="ListNumber"/>
      </w:pPr>
      <w:r>
        <w:t xml:space="preserve">Carbohydrate restriction dose-response and weight. PMID 38125726. </w:t>
      </w:r>
      <w:hyperlink r:id="rId51">
        <w:r>
          <w:rPr>
            <w:color w:val="0563C1"/>
            <w:u w:val="single"/>
          </w:rPr>
          <w:t>https://pubmed.ncbi.nlm.nih.gov/38125726/</w:t>
        </w:r>
      </w:hyperlink>
    </w:p>
    <w:p>
      <w:pPr>
        <w:pStyle w:val="Heading1"/>
      </w:pPr>
      <w:r>
        <w:t>REGLA DE ACTUALIZACIÓN</w:t>
      </w:r>
    </w:p>
    <w:p>
      <w:r>
        <w:t>Cuando aparezca nueva evidencia:</w:t>
      </w:r>
    </w:p>
    <w:p>
      <w:pPr>
        <w:pStyle w:val="ListBullet"/>
      </w:pPr>
      <w:r>
        <w:t>priorizar 2025–2026+ si la calidad es igual o superior;</w:t>
      </w:r>
    </w:p>
    <w:p>
      <w:pPr>
        <w:pStyle w:val="ListBullet"/>
      </w:pPr>
      <w:r>
        <w:t>reemplazar conclusiones antiguas si un metaanálisis más amplio y metodológicamente mejor las contradice;</w:t>
      </w:r>
    </w:p>
    <w:p>
      <w:pPr>
        <w:pStyle w:val="ListBullet"/>
      </w:pPr>
      <w:r>
        <w:t>marcar evidencia baja/heterogénea como tal;</w:t>
      </w:r>
    </w:p>
    <w:p>
      <w:pPr>
        <w:pStyle w:val="ListBullet"/>
      </w:pPr>
      <w:r>
        <w:t>guardar también resultados negativos (“no funciona”) para evitar recomendaciones innecesarias;</w:t>
      </w:r>
    </w:p>
    <w:p>
      <w:pPr>
        <w:pStyle w:val="ListBullet"/>
      </w:pPr>
      <w:r>
        <w:t>excluir estudios retractados;</w:t>
      </w:r>
    </w:p>
    <w:p>
      <w:pPr>
        <w:pStyle w:val="ListBullet"/>
      </w:pPr>
      <w:r>
        <w:t>separar asociación observacional de causalidad de RCT;</w:t>
      </w:r>
    </w:p>
    <w:p>
      <w:pPr>
        <w:pStyle w:val="ListBullet"/>
      </w:pPr>
      <w:r>
        <w:t>no convertir un biomarcador en beneficio clínico sin evidencia de desenlace relevante.</w:t>
      </w:r>
    </w:p>
    <w:p>
      <w:pPr>
        <w:sectPr>
          <w:pgSz w:w="12240" w:h="15840"/>
          <w:pgMar w:top="964" w:right="1020" w:bottom="907" w:left="1020" w:header="397" w:footer="397" w:gutter="0"/>
          <w:cols w:space="720"/>
          <w:docGrid w:linePitch="360"/>
        </w:sectPr>
      </w:pPr>
    </w:p>
    <w:p>
      <w:pPr>
        <w:pStyle w:val="Title"/>
      </w:pPr>
      <w:r>
        <w:t>ANEXO — ÍNDICE CONSOLIDADO PUBMED</w:t>
      </w:r>
    </w:p>
    <w:p>
      <w:r>
        <w:t>Se recogen 68 PMIDs únicos presentes en las dos bases científicas internas, eliminando duplicados.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EAF5FB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3400"/>
            <w:shd w:fill="EAF5FB"/>
          </w:tcPr>
          <w:p>
            <w:r>
              <w:rPr>
                <w:b/>
              </w:rPr>
            </w:r>
            <w:r>
              <w:rPr>
                <w:b/>
              </w:rPr>
              <w:t>PMID</w:t>
            </w:r>
          </w:p>
        </w:tc>
        <w:tc>
          <w:tcPr>
            <w:tcW w:type="dxa" w:w="3400"/>
            <w:shd w:fill="EAF5FB"/>
          </w:tcPr>
          <w:p>
            <w:r>
              <w:rPr>
                <w:b/>
              </w:rPr>
            </w:r>
            <w:r>
              <w:rPr>
                <w:b/>
              </w:rPr>
              <w:t>Enlace directo</w:t>
            </w:r>
          </w:p>
        </w:tc>
      </w:tr>
      <w:tr>
        <w:tc>
          <w:tcPr>
            <w:tcW w:type="dxa" w:w="3400"/>
            <w:vAlign w:val="center"/>
          </w:tcPr>
          <w:p>
            <w:r>
              <w:t>1</w:t>
            </w:r>
          </w:p>
        </w:tc>
        <w:tc>
          <w:tcPr>
            <w:tcW w:type="dxa" w:w="3400"/>
            <w:vAlign w:val="center"/>
          </w:tcPr>
          <w:p>
            <w:r>
              <w:t>41343037</w:t>
            </w:r>
          </w:p>
        </w:tc>
        <w:tc>
          <w:tcPr>
            <w:tcW w:type="dxa" w:w="3400"/>
            <w:vAlign w:val="center"/>
          </w:tcPr>
          <w:p>
            <w:hyperlink r:id="rId10">
              <w:r>
                <w:rPr>
                  <w:color w:val="0563C1"/>
                  <w:u w:val="single"/>
                </w:rPr>
                <w:t>PubMed 41343037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2</w:t>
            </w:r>
          </w:p>
        </w:tc>
        <w:tc>
          <w:tcPr>
            <w:tcW w:type="dxa" w:w="3400"/>
            <w:vAlign w:val="center"/>
          </w:tcPr>
          <w:p>
            <w:r>
              <w:t>35873210</w:t>
            </w:r>
          </w:p>
        </w:tc>
        <w:tc>
          <w:tcPr>
            <w:tcW w:type="dxa" w:w="3400"/>
            <w:vAlign w:val="center"/>
          </w:tcPr>
          <w:p>
            <w:hyperlink r:id="rId11">
              <w:r>
                <w:rPr>
                  <w:color w:val="0563C1"/>
                  <w:u w:val="single"/>
                </w:rPr>
                <w:t>PubMed 35873210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3</w:t>
            </w:r>
          </w:p>
        </w:tc>
        <w:tc>
          <w:tcPr>
            <w:tcW w:type="dxa" w:w="3400"/>
            <w:vAlign w:val="center"/>
          </w:tcPr>
          <w:p>
            <w:r>
              <w:t>28698222</w:t>
            </w:r>
          </w:p>
        </w:tc>
        <w:tc>
          <w:tcPr>
            <w:tcW w:type="dxa" w:w="3400"/>
            <w:vAlign w:val="center"/>
          </w:tcPr>
          <w:p>
            <w:hyperlink r:id="rId12">
              <w:r>
                <w:rPr>
                  <w:color w:val="0563C1"/>
                  <w:u w:val="single"/>
                </w:rPr>
                <w:t>PubMed 28698222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4</w:t>
            </w:r>
          </w:p>
        </w:tc>
        <w:tc>
          <w:tcPr>
            <w:tcW w:type="dxa" w:w="3400"/>
            <w:vAlign w:val="center"/>
          </w:tcPr>
          <w:p>
            <w:r>
              <w:t>38970765</w:t>
            </w:r>
          </w:p>
        </w:tc>
        <w:tc>
          <w:tcPr>
            <w:tcW w:type="dxa" w:w="3400"/>
            <w:vAlign w:val="center"/>
          </w:tcPr>
          <w:p>
            <w:hyperlink r:id="rId13">
              <w:r>
                <w:rPr>
                  <w:color w:val="0563C1"/>
                  <w:u w:val="single"/>
                </w:rPr>
                <w:t>PubMed 38970765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5</w:t>
            </w:r>
          </w:p>
        </w:tc>
        <w:tc>
          <w:tcPr>
            <w:tcW w:type="dxa" w:w="3400"/>
            <w:vAlign w:val="center"/>
          </w:tcPr>
          <w:p>
            <w:r>
              <w:t>36334240</w:t>
            </w:r>
          </w:p>
        </w:tc>
        <w:tc>
          <w:tcPr>
            <w:tcW w:type="dxa" w:w="3400"/>
            <w:vAlign w:val="center"/>
          </w:tcPr>
          <w:p>
            <w:hyperlink r:id="rId14">
              <w:r>
                <w:rPr>
                  <w:color w:val="0563C1"/>
                  <w:u w:val="single"/>
                </w:rPr>
                <w:t>PubMed 36334240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6</w:t>
            </w:r>
          </w:p>
        </w:tc>
        <w:tc>
          <w:tcPr>
            <w:tcW w:type="dxa" w:w="3400"/>
            <w:vAlign w:val="center"/>
          </w:tcPr>
          <w:p>
            <w:r>
              <w:t>33433148</w:t>
            </w:r>
          </w:p>
        </w:tc>
        <w:tc>
          <w:tcPr>
            <w:tcW w:type="dxa" w:w="3400"/>
            <w:vAlign w:val="center"/>
          </w:tcPr>
          <w:p>
            <w:hyperlink r:id="rId15">
              <w:r>
                <w:rPr>
                  <w:color w:val="0563C1"/>
                  <w:u w:val="single"/>
                </w:rPr>
                <w:t>PubMed 33433148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7</w:t>
            </w:r>
          </w:p>
        </w:tc>
        <w:tc>
          <w:tcPr>
            <w:tcW w:type="dxa" w:w="3400"/>
            <w:vAlign w:val="center"/>
          </w:tcPr>
          <w:p>
            <w:r>
              <w:t>33874848</w:t>
            </w:r>
          </w:p>
        </w:tc>
        <w:tc>
          <w:tcPr>
            <w:tcW w:type="dxa" w:w="3400"/>
            <w:vAlign w:val="center"/>
          </w:tcPr>
          <w:p>
            <w:hyperlink r:id="rId16">
              <w:r>
                <w:rPr>
                  <w:color w:val="0563C1"/>
                  <w:u w:val="single"/>
                </w:rPr>
                <w:t>PubMed 33874848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8</w:t>
            </w:r>
          </w:p>
        </w:tc>
        <w:tc>
          <w:tcPr>
            <w:tcW w:type="dxa" w:w="3400"/>
            <w:vAlign w:val="center"/>
          </w:tcPr>
          <w:p>
            <w:r>
              <w:t>39074168</w:t>
            </w:r>
          </w:p>
        </w:tc>
        <w:tc>
          <w:tcPr>
            <w:tcW w:type="dxa" w:w="3400"/>
            <w:vAlign w:val="center"/>
          </w:tcPr>
          <w:p>
            <w:hyperlink r:id="rId17">
              <w:r>
                <w:rPr>
                  <w:color w:val="0563C1"/>
                  <w:u w:val="single"/>
                </w:rPr>
                <w:t>PubMed 39074168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9</w:t>
            </w:r>
          </w:p>
        </w:tc>
        <w:tc>
          <w:tcPr>
            <w:tcW w:type="dxa" w:w="3400"/>
            <w:vAlign w:val="center"/>
          </w:tcPr>
          <w:p>
            <w:r>
              <w:t>34623696</w:t>
            </w:r>
          </w:p>
        </w:tc>
        <w:tc>
          <w:tcPr>
            <w:tcW w:type="dxa" w:w="3400"/>
            <w:vAlign w:val="center"/>
          </w:tcPr>
          <w:p>
            <w:hyperlink r:id="rId18">
              <w:r>
                <w:rPr>
                  <w:color w:val="0563C1"/>
                  <w:u w:val="single"/>
                </w:rPr>
                <w:t>PubMed 34623696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10</w:t>
            </w:r>
          </w:p>
        </w:tc>
        <w:tc>
          <w:tcPr>
            <w:tcW w:type="dxa" w:w="3400"/>
            <w:vAlign w:val="center"/>
          </w:tcPr>
          <w:p>
            <w:r>
              <w:t>40647175</w:t>
            </w:r>
          </w:p>
        </w:tc>
        <w:tc>
          <w:tcPr>
            <w:tcW w:type="dxa" w:w="3400"/>
            <w:vAlign w:val="center"/>
          </w:tcPr>
          <w:p>
            <w:hyperlink r:id="rId19">
              <w:r>
                <w:rPr>
                  <w:color w:val="0563C1"/>
                  <w:u w:val="single"/>
                </w:rPr>
                <w:t>PubMed 40647175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11</w:t>
            </w:r>
          </w:p>
        </w:tc>
        <w:tc>
          <w:tcPr>
            <w:tcW w:type="dxa" w:w="3400"/>
            <w:vAlign w:val="center"/>
          </w:tcPr>
          <w:p>
            <w:r>
              <w:t>29757343</w:t>
            </w:r>
          </w:p>
        </w:tc>
        <w:tc>
          <w:tcPr>
            <w:tcW w:type="dxa" w:w="3400"/>
            <w:vAlign w:val="center"/>
          </w:tcPr>
          <w:p>
            <w:hyperlink r:id="rId20">
              <w:r>
                <w:rPr>
                  <w:color w:val="0563C1"/>
                  <w:u w:val="single"/>
                </w:rPr>
                <w:t>PubMed 29757343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12</w:t>
            </w:r>
          </w:p>
        </w:tc>
        <w:tc>
          <w:tcPr>
            <w:tcW w:type="dxa" w:w="3400"/>
            <w:vAlign w:val="center"/>
          </w:tcPr>
          <w:p>
            <w:r>
              <w:t>41501909</w:t>
            </w:r>
          </w:p>
        </w:tc>
        <w:tc>
          <w:tcPr>
            <w:tcW w:type="dxa" w:w="3400"/>
            <w:vAlign w:val="center"/>
          </w:tcPr>
          <w:p>
            <w:hyperlink r:id="rId21">
              <w:r>
                <w:rPr>
                  <w:color w:val="0563C1"/>
                  <w:u w:val="single"/>
                </w:rPr>
                <w:t>PubMed 41501909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13</w:t>
            </w:r>
          </w:p>
        </w:tc>
        <w:tc>
          <w:tcPr>
            <w:tcW w:type="dxa" w:w="3400"/>
            <w:vAlign w:val="center"/>
          </w:tcPr>
          <w:p>
            <w:r>
              <w:t>41495831</w:t>
            </w:r>
          </w:p>
        </w:tc>
        <w:tc>
          <w:tcPr>
            <w:tcW w:type="dxa" w:w="3400"/>
            <w:vAlign w:val="center"/>
          </w:tcPr>
          <w:p>
            <w:hyperlink r:id="rId22">
              <w:r>
                <w:rPr>
                  <w:color w:val="0563C1"/>
                  <w:u w:val="single"/>
                </w:rPr>
                <w:t>PubMed 41495831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14</w:t>
            </w:r>
          </w:p>
        </w:tc>
        <w:tc>
          <w:tcPr>
            <w:tcW w:type="dxa" w:w="3400"/>
            <w:vAlign w:val="center"/>
          </w:tcPr>
          <w:p>
            <w:r>
              <w:t>42280405</w:t>
            </w:r>
          </w:p>
        </w:tc>
        <w:tc>
          <w:tcPr>
            <w:tcW w:type="dxa" w:w="3400"/>
            <w:vAlign w:val="center"/>
          </w:tcPr>
          <w:p>
            <w:hyperlink r:id="rId23">
              <w:r>
                <w:rPr>
                  <w:color w:val="0563C1"/>
                  <w:u w:val="single"/>
                </w:rPr>
                <w:t>PubMed 42280405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15</w:t>
            </w:r>
          </w:p>
        </w:tc>
        <w:tc>
          <w:tcPr>
            <w:tcW w:type="dxa" w:w="3400"/>
            <w:vAlign w:val="center"/>
          </w:tcPr>
          <w:p>
            <w:r>
              <w:t>35361035</w:t>
            </w:r>
          </w:p>
        </w:tc>
        <w:tc>
          <w:tcPr>
            <w:tcW w:type="dxa" w:w="3400"/>
            <w:vAlign w:val="center"/>
          </w:tcPr>
          <w:p>
            <w:hyperlink r:id="rId24">
              <w:r>
                <w:rPr>
                  <w:color w:val="0563C1"/>
                  <w:u w:val="single"/>
                </w:rPr>
                <w:t>PubMed 35361035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16</w:t>
            </w:r>
          </w:p>
        </w:tc>
        <w:tc>
          <w:tcPr>
            <w:tcW w:type="dxa" w:w="3400"/>
            <w:vAlign w:val="center"/>
          </w:tcPr>
          <w:p>
            <w:r>
              <w:t>41381307</w:t>
            </w:r>
          </w:p>
        </w:tc>
        <w:tc>
          <w:tcPr>
            <w:tcW w:type="dxa" w:w="3400"/>
            <w:vAlign w:val="center"/>
          </w:tcPr>
          <w:p>
            <w:hyperlink r:id="rId25">
              <w:r>
                <w:rPr>
                  <w:color w:val="0563C1"/>
                  <w:u w:val="single"/>
                </w:rPr>
                <w:t>PubMed 41381307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17</w:t>
            </w:r>
          </w:p>
        </w:tc>
        <w:tc>
          <w:tcPr>
            <w:tcW w:type="dxa" w:w="3400"/>
            <w:vAlign w:val="center"/>
          </w:tcPr>
          <w:p>
            <w:r>
              <w:t>41141260</w:t>
            </w:r>
          </w:p>
        </w:tc>
        <w:tc>
          <w:tcPr>
            <w:tcW w:type="dxa" w:w="3400"/>
            <w:vAlign w:val="center"/>
          </w:tcPr>
          <w:p>
            <w:hyperlink r:id="rId26">
              <w:r>
                <w:rPr>
                  <w:color w:val="0563C1"/>
                  <w:u w:val="single"/>
                </w:rPr>
                <w:t>PubMed 41141260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18</w:t>
            </w:r>
          </w:p>
        </w:tc>
        <w:tc>
          <w:tcPr>
            <w:tcW w:type="dxa" w:w="3400"/>
            <w:vAlign w:val="center"/>
          </w:tcPr>
          <w:p>
            <w:r>
              <w:t>41211687</w:t>
            </w:r>
          </w:p>
        </w:tc>
        <w:tc>
          <w:tcPr>
            <w:tcW w:type="dxa" w:w="3400"/>
            <w:vAlign w:val="center"/>
          </w:tcPr>
          <w:p>
            <w:hyperlink r:id="rId27">
              <w:r>
                <w:rPr>
                  <w:color w:val="0563C1"/>
                  <w:u w:val="single"/>
                </w:rPr>
                <w:t>PubMed 41211687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19</w:t>
            </w:r>
          </w:p>
        </w:tc>
        <w:tc>
          <w:tcPr>
            <w:tcW w:type="dxa" w:w="3400"/>
            <w:vAlign w:val="center"/>
          </w:tcPr>
          <w:p>
            <w:r>
              <w:t>35266254</w:t>
            </w:r>
          </w:p>
        </w:tc>
        <w:tc>
          <w:tcPr>
            <w:tcW w:type="dxa" w:w="3400"/>
            <w:vAlign w:val="center"/>
          </w:tcPr>
          <w:p>
            <w:hyperlink r:id="rId28">
              <w:r>
                <w:rPr>
                  <w:color w:val="0563C1"/>
                  <w:u w:val="single"/>
                </w:rPr>
                <w:t>PubMed 35266254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20</w:t>
            </w:r>
          </w:p>
        </w:tc>
        <w:tc>
          <w:tcPr>
            <w:tcW w:type="dxa" w:w="3400"/>
            <w:vAlign w:val="center"/>
          </w:tcPr>
          <w:p>
            <w:r>
              <w:t>37545015</w:t>
            </w:r>
          </w:p>
        </w:tc>
        <w:tc>
          <w:tcPr>
            <w:tcW w:type="dxa" w:w="3400"/>
            <w:vAlign w:val="center"/>
          </w:tcPr>
          <w:p>
            <w:hyperlink r:id="rId29">
              <w:r>
                <w:rPr>
                  <w:color w:val="0563C1"/>
                  <w:u w:val="single"/>
                </w:rPr>
                <w:t>PubMed 37545015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21</w:t>
            </w:r>
          </w:p>
        </w:tc>
        <w:tc>
          <w:tcPr>
            <w:tcW w:type="dxa" w:w="3400"/>
            <w:vAlign w:val="center"/>
          </w:tcPr>
          <w:p>
            <w:r>
              <w:t>33312465</w:t>
            </w:r>
          </w:p>
        </w:tc>
        <w:tc>
          <w:tcPr>
            <w:tcW w:type="dxa" w:w="3400"/>
            <w:vAlign w:val="center"/>
          </w:tcPr>
          <w:p>
            <w:hyperlink r:id="rId30">
              <w:r>
                <w:rPr>
                  <w:color w:val="0563C1"/>
                  <w:u w:val="single"/>
                </w:rPr>
                <w:t>PubMed 33312465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22</w:t>
            </w:r>
          </w:p>
        </w:tc>
        <w:tc>
          <w:tcPr>
            <w:tcW w:type="dxa" w:w="3400"/>
            <w:vAlign w:val="center"/>
          </w:tcPr>
          <w:p>
            <w:r>
              <w:t>2656936</w:t>
            </w:r>
          </w:p>
        </w:tc>
        <w:tc>
          <w:tcPr>
            <w:tcW w:type="dxa" w:w="3400"/>
            <w:vAlign w:val="center"/>
          </w:tcPr>
          <w:p>
            <w:hyperlink r:id="rId31">
              <w:r>
                <w:rPr>
                  <w:color w:val="0563C1"/>
                  <w:u w:val="single"/>
                </w:rPr>
                <w:t>PubMed 2656936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23</w:t>
            </w:r>
          </w:p>
        </w:tc>
        <w:tc>
          <w:tcPr>
            <w:tcW w:type="dxa" w:w="3400"/>
            <w:vAlign w:val="center"/>
          </w:tcPr>
          <w:p>
            <w:r>
              <w:t>9731851</w:t>
            </w:r>
          </w:p>
        </w:tc>
        <w:tc>
          <w:tcPr>
            <w:tcW w:type="dxa" w:w="3400"/>
            <w:vAlign w:val="center"/>
          </w:tcPr>
          <w:p>
            <w:hyperlink r:id="rId32">
              <w:r>
                <w:rPr>
                  <w:color w:val="0563C1"/>
                  <w:u w:val="single"/>
                </w:rPr>
                <w:t>PubMed 9731851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24</w:t>
            </w:r>
          </w:p>
        </w:tc>
        <w:tc>
          <w:tcPr>
            <w:tcW w:type="dxa" w:w="3400"/>
            <w:vAlign w:val="center"/>
          </w:tcPr>
          <w:p>
            <w:r>
              <w:t>40737185</w:t>
            </w:r>
          </w:p>
        </w:tc>
        <w:tc>
          <w:tcPr>
            <w:tcW w:type="dxa" w:w="3400"/>
            <w:vAlign w:val="center"/>
          </w:tcPr>
          <w:p>
            <w:hyperlink r:id="rId33">
              <w:r>
                <w:rPr>
                  <w:color w:val="0563C1"/>
                  <w:u w:val="single"/>
                </w:rPr>
                <w:t>PubMed 40737185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25</w:t>
            </w:r>
          </w:p>
        </w:tc>
        <w:tc>
          <w:tcPr>
            <w:tcW w:type="dxa" w:w="3400"/>
            <w:vAlign w:val="center"/>
          </w:tcPr>
          <w:p>
            <w:r>
              <w:t>40435711</w:t>
            </w:r>
          </w:p>
        </w:tc>
        <w:tc>
          <w:tcPr>
            <w:tcW w:type="dxa" w:w="3400"/>
            <w:vAlign w:val="center"/>
          </w:tcPr>
          <w:p>
            <w:hyperlink r:id="rId34">
              <w:r>
                <w:rPr>
                  <w:color w:val="0563C1"/>
                  <w:u w:val="single"/>
                </w:rPr>
                <w:t>PubMed 40435711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26</w:t>
            </w:r>
          </w:p>
        </w:tc>
        <w:tc>
          <w:tcPr>
            <w:tcW w:type="dxa" w:w="3400"/>
            <w:vAlign w:val="center"/>
          </w:tcPr>
          <w:p>
            <w:r>
              <w:t>42355996</w:t>
            </w:r>
          </w:p>
        </w:tc>
        <w:tc>
          <w:tcPr>
            <w:tcW w:type="dxa" w:w="3400"/>
            <w:vAlign w:val="center"/>
          </w:tcPr>
          <w:p>
            <w:hyperlink r:id="rId35">
              <w:r>
                <w:rPr>
                  <w:color w:val="0563C1"/>
                  <w:u w:val="single"/>
                </w:rPr>
                <w:t>PubMed 42355996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27</w:t>
            </w:r>
          </w:p>
        </w:tc>
        <w:tc>
          <w:tcPr>
            <w:tcW w:type="dxa" w:w="3400"/>
            <w:vAlign w:val="center"/>
          </w:tcPr>
          <w:p>
            <w:r>
              <w:t>30880352</w:t>
            </w:r>
          </w:p>
        </w:tc>
        <w:tc>
          <w:tcPr>
            <w:tcW w:type="dxa" w:w="3400"/>
            <w:vAlign w:val="center"/>
          </w:tcPr>
          <w:p>
            <w:hyperlink r:id="rId36">
              <w:r>
                <w:rPr>
                  <w:color w:val="0563C1"/>
                  <w:u w:val="single"/>
                </w:rPr>
                <w:t>PubMed 30880352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28</w:t>
            </w:r>
          </w:p>
        </w:tc>
        <w:tc>
          <w:tcPr>
            <w:tcW w:type="dxa" w:w="3400"/>
            <w:vAlign w:val="center"/>
          </w:tcPr>
          <w:p>
            <w:r>
              <w:t>38266637</w:t>
            </w:r>
          </w:p>
        </w:tc>
        <w:tc>
          <w:tcPr>
            <w:tcW w:type="dxa" w:w="3400"/>
            <w:vAlign w:val="center"/>
          </w:tcPr>
          <w:p>
            <w:hyperlink r:id="rId37">
              <w:r>
                <w:rPr>
                  <w:color w:val="0563C1"/>
                  <w:u w:val="single"/>
                </w:rPr>
                <w:t>PubMed 38266637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29</w:t>
            </w:r>
          </w:p>
        </w:tc>
        <w:tc>
          <w:tcPr>
            <w:tcW w:type="dxa" w:w="3400"/>
            <w:vAlign w:val="center"/>
          </w:tcPr>
          <w:p>
            <w:r>
              <w:t>39002131</w:t>
            </w:r>
          </w:p>
        </w:tc>
        <w:tc>
          <w:tcPr>
            <w:tcW w:type="dxa" w:w="3400"/>
            <w:vAlign w:val="center"/>
          </w:tcPr>
          <w:p>
            <w:hyperlink r:id="rId38">
              <w:r>
                <w:rPr>
                  <w:color w:val="0563C1"/>
                  <w:u w:val="single"/>
                </w:rPr>
                <w:t>PubMed 39002131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30</w:t>
            </w:r>
          </w:p>
        </w:tc>
        <w:tc>
          <w:tcPr>
            <w:tcW w:type="dxa" w:w="3400"/>
            <w:vAlign w:val="center"/>
          </w:tcPr>
          <w:p>
            <w:r>
              <w:t>31794597</w:t>
            </w:r>
          </w:p>
        </w:tc>
        <w:tc>
          <w:tcPr>
            <w:tcW w:type="dxa" w:w="3400"/>
            <w:vAlign w:val="center"/>
          </w:tcPr>
          <w:p>
            <w:hyperlink r:id="rId39">
              <w:r>
                <w:rPr>
                  <w:color w:val="0563C1"/>
                  <w:u w:val="single"/>
                </w:rPr>
                <w:t>PubMed 31794597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31</w:t>
            </w:r>
          </w:p>
        </w:tc>
        <w:tc>
          <w:tcPr>
            <w:tcW w:type="dxa" w:w="3400"/>
            <w:vAlign w:val="center"/>
          </w:tcPr>
          <w:p>
            <w:r>
              <w:t>29182451</w:t>
            </w:r>
          </w:p>
        </w:tc>
        <w:tc>
          <w:tcPr>
            <w:tcW w:type="dxa" w:w="3400"/>
            <w:vAlign w:val="center"/>
          </w:tcPr>
          <w:p>
            <w:hyperlink r:id="rId40">
              <w:r>
                <w:rPr>
                  <w:color w:val="0563C1"/>
                  <w:u w:val="single"/>
                </w:rPr>
                <w:t>PubMed 29182451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32</w:t>
            </w:r>
          </w:p>
        </w:tc>
        <w:tc>
          <w:tcPr>
            <w:tcW w:type="dxa" w:w="3400"/>
            <w:vAlign w:val="center"/>
          </w:tcPr>
          <w:p>
            <w:r>
              <w:t>41712097</w:t>
            </w:r>
          </w:p>
        </w:tc>
        <w:tc>
          <w:tcPr>
            <w:tcW w:type="dxa" w:w="3400"/>
            <w:vAlign w:val="center"/>
          </w:tcPr>
          <w:p>
            <w:hyperlink r:id="rId41">
              <w:r>
                <w:rPr>
                  <w:color w:val="0563C1"/>
                  <w:u w:val="single"/>
                </w:rPr>
                <w:t>PubMed 41712097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33</w:t>
            </w:r>
          </w:p>
        </w:tc>
        <w:tc>
          <w:tcPr>
            <w:tcW w:type="dxa" w:w="3400"/>
            <w:vAlign w:val="center"/>
          </w:tcPr>
          <w:p>
            <w:r>
              <w:t>35809162</w:t>
            </w:r>
          </w:p>
        </w:tc>
        <w:tc>
          <w:tcPr>
            <w:tcW w:type="dxa" w:w="3400"/>
            <w:vAlign w:val="center"/>
          </w:tcPr>
          <w:p>
            <w:hyperlink r:id="rId42">
              <w:r>
                <w:rPr>
                  <w:color w:val="0563C1"/>
                  <w:u w:val="single"/>
                </w:rPr>
                <w:t>PubMed 35809162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34</w:t>
            </w:r>
          </w:p>
        </w:tc>
        <w:tc>
          <w:tcPr>
            <w:tcW w:type="dxa" w:w="3400"/>
            <w:vAlign w:val="center"/>
          </w:tcPr>
          <w:p>
            <w:r>
              <w:t>40387562</w:t>
            </w:r>
          </w:p>
        </w:tc>
        <w:tc>
          <w:tcPr>
            <w:tcW w:type="dxa" w:w="3400"/>
            <w:vAlign w:val="center"/>
          </w:tcPr>
          <w:p>
            <w:hyperlink r:id="rId43">
              <w:r>
                <w:rPr>
                  <w:color w:val="0563C1"/>
                  <w:u w:val="single"/>
                </w:rPr>
                <w:t>PubMed 40387562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35</w:t>
            </w:r>
          </w:p>
        </w:tc>
        <w:tc>
          <w:tcPr>
            <w:tcW w:type="dxa" w:w="3400"/>
            <w:vAlign w:val="center"/>
          </w:tcPr>
          <w:p>
            <w:r>
              <w:t>40909191</w:t>
            </w:r>
          </w:p>
        </w:tc>
        <w:tc>
          <w:tcPr>
            <w:tcW w:type="dxa" w:w="3400"/>
            <w:vAlign w:val="center"/>
          </w:tcPr>
          <w:p>
            <w:hyperlink r:id="rId44">
              <w:r>
                <w:rPr>
                  <w:color w:val="0563C1"/>
                  <w:u w:val="single"/>
                </w:rPr>
                <w:t>PubMed 40909191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36</w:t>
            </w:r>
          </w:p>
        </w:tc>
        <w:tc>
          <w:tcPr>
            <w:tcW w:type="dxa" w:w="3400"/>
            <w:vAlign w:val="center"/>
          </w:tcPr>
          <w:p>
            <w:r>
              <w:t>42144246</w:t>
            </w:r>
          </w:p>
        </w:tc>
        <w:tc>
          <w:tcPr>
            <w:tcW w:type="dxa" w:w="3400"/>
            <w:vAlign w:val="center"/>
          </w:tcPr>
          <w:p>
            <w:hyperlink r:id="rId45">
              <w:r>
                <w:rPr>
                  <w:color w:val="0563C1"/>
                  <w:u w:val="single"/>
                </w:rPr>
                <w:t>PubMed 42144246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37</w:t>
            </w:r>
          </w:p>
        </w:tc>
        <w:tc>
          <w:tcPr>
            <w:tcW w:type="dxa" w:w="3400"/>
            <w:vAlign w:val="center"/>
          </w:tcPr>
          <w:p>
            <w:r>
              <w:t>31482093</w:t>
            </w:r>
          </w:p>
        </w:tc>
        <w:tc>
          <w:tcPr>
            <w:tcW w:type="dxa" w:w="3400"/>
            <w:vAlign w:val="center"/>
          </w:tcPr>
          <w:p>
            <w:hyperlink r:id="rId46">
              <w:r>
                <w:rPr>
                  <w:color w:val="0563C1"/>
                  <w:u w:val="single"/>
                </w:rPr>
                <w:t>PubMed 31482093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38</w:t>
            </w:r>
          </w:p>
        </w:tc>
        <w:tc>
          <w:tcPr>
            <w:tcW w:type="dxa" w:w="3400"/>
            <w:vAlign w:val="center"/>
          </w:tcPr>
          <w:p>
            <w:r>
              <w:t>35215506</w:t>
            </w:r>
          </w:p>
        </w:tc>
        <w:tc>
          <w:tcPr>
            <w:tcW w:type="dxa" w:w="3400"/>
            <w:vAlign w:val="center"/>
          </w:tcPr>
          <w:p>
            <w:hyperlink r:id="rId47">
              <w:r>
                <w:rPr>
                  <w:color w:val="0563C1"/>
                  <w:u w:val="single"/>
                </w:rPr>
                <w:t>PubMed 35215506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39</w:t>
            </w:r>
          </w:p>
        </w:tc>
        <w:tc>
          <w:tcPr>
            <w:tcW w:type="dxa" w:w="3400"/>
            <w:vAlign w:val="center"/>
          </w:tcPr>
          <w:p>
            <w:r>
              <w:t>41843416</w:t>
            </w:r>
          </w:p>
        </w:tc>
        <w:tc>
          <w:tcPr>
            <w:tcW w:type="dxa" w:w="3400"/>
            <w:vAlign w:val="center"/>
          </w:tcPr>
          <w:p>
            <w:hyperlink r:id="rId48">
              <w:r>
                <w:rPr>
                  <w:color w:val="0563C1"/>
                  <w:u w:val="single"/>
                </w:rPr>
                <w:t>PubMed 41843416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40</w:t>
            </w:r>
          </w:p>
        </w:tc>
        <w:tc>
          <w:tcPr>
            <w:tcW w:type="dxa" w:w="3400"/>
            <w:vAlign w:val="center"/>
          </w:tcPr>
          <w:p>
            <w:r>
              <w:t>37414459</w:t>
            </w:r>
          </w:p>
        </w:tc>
        <w:tc>
          <w:tcPr>
            <w:tcW w:type="dxa" w:w="3400"/>
            <w:vAlign w:val="center"/>
          </w:tcPr>
          <w:p>
            <w:hyperlink r:id="rId49">
              <w:r>
                <w:rPr>
                  <w:color w:val="0563C1"/>
                  <w:u w:val="single"/>
                </w:rPr>
                <w:t>PubMed 37414459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41</w:t>
            </w:r>
          </w:p>
        </w:tc>
        <w:tc>
          <w:tcPr>
            <w:tcW w:type="dxa" w:w="3400"/>
            <w:vAlign w:val="center"/>
          </w:tcPr>
          <w:p>
            <w:r>
              <w:t>36017224</w:t>
            </w:r>
          </w:p>
        </w:tc>
        <w:tc>
          <w:tcPr>
            <w:tcW w:type="dxa" w:w="3400"/>
            <w:vAlign w:val="center"/>
          </w:tcPr>
          <w:p>
            <w:hyperlink r:id="rId50">
              <w:r>
                <w:rPr>
                  <w:color w:val="0563C1"/>
                  <w:u w:val="single"/>
                </w:rPr>
                <w:t>PubMed 36017224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42</w:t>
            </w:r>
          </w:p>
        </w:tc>
        <w:tc>
          <w:tcPr>
            <w:tcW w:type="dxa" w:w="3400"/>
            <w:vAlign w:val="center"/>
          </w:tcPr>
          <w:p>
            <w:r>
              <w:t>38125726</w:t>
            </w:r>
          </w:p>
        </w:tc>
        <w:tc>
          <w:tcPr>
            <w:tcW w:type="dxa" w:w="3400"/>
            <w:vAlign w:val="center"/>
          </w:tcPr>
          <w:p>
            <w:hyperlink r:id="rId51">
              <w:r>
                <w:rPr>
                  <w:color w:val="0563C1"/>
                  <w:u w:val="single"/>
                </w:rPr>
                <w:t>PubMed 38125726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43</w:t>
            </w:r>
          </w:p>
        </w:tc>
        <w:tc>
          <w:tcPr>
            <w:tcW w:type="dxa" w:w="3400"/>
            <w:vAlign w:val="center"/>
          </w:tcPr>
          <w:p>
            <w:r>
              <w:t>35546475</w:t>
            </w:r>
          </w:p>
        </w:tc>
        <w:tc>
          <w:tcPr>
            <w:tcW w:type="dxa" w:w="3400"/>
            <w:vAlign w:val="center"/>
          </w:tcPr>
          <w:p>
            <w:hyperlink r:id="rId52">
              <w:r>
                <w:rPr>
                  <w:color w:val="0563C1"/>
                  <w:u w:val="single"/>
                </w:rPr>
                <w:t>PubMed 35546475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44</w:t>
            </w:r>
          </w:p>
        </w:tc>
        <w:tc>
          <w:tcPr>
            <w:tcW w:type="dxa" w:w="3400"/>
            <w:vAlign w:val="center"/>
          </w:tcPr>
          <w:p>
            <w:r>
              <w:t>37345841</w:t>
            </w:r>
          </w:p>
        </w:tc>
        <w:tc>
          <w:tcPr>
            <w:tcW w:type="dxa" w:w="3400"/>
            <w:vAlign w:val="center"/>
          </w:tcPr>
          <w:p>
            <w:hyperlink r:id="rId53">
              <w:r>
                <w:rPr>
                  <w:color w:val="0563C1"/>
                  <w:u w:val="single"/>
                </w:rPr>
                <w:t>PubMed 37345841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45</w:t>
            </w:r>
          </w:p>
        </w:tc>
        <w:tc>
          <w:tcPr>
            <w:tcW w:type="dxa" w:w="3400"/>
            <w:vAlign w:val="center"/>
          </w:tcPr>
          <w:p>
            <w:r>
              <w:t>39327619</w:t>
            </w:r>
          </w:p>
        </w:tc>
        <w:tc>
          <w:tcPr>
            <w:tcW w:type="dxa" w:w="3400"/>
            <w:vAlign w:val="center"/>
          </w:tcPr>
          <w:p>
            <w:hyperlink r:id="rId54">
              <w:r>
                <w:rPr>
                  <w:color w:val="0563C1"/>
                  <w:u w:val="single"/>
                </w:rPr>
                <w:t>PubMed 39327619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46</w:t>
            </w:r>
          </w:p>
        </w:tc>
        <w:tc>
          <w:tcPr>
            <w:tcW w:type="dxa" w:w="3400"/>
            <w:vAlign w:val="center"/>
          </w:tcPr>
          <w:p>
            <w:r>
              <w:t>37345263</w:t>
            </w:r>
          </w:p>
        </w:tc>
        <w:tc>
          <w:tcPr>
            <w:tcW w:type="dxa" w:w="3400"/>
            <w:vAlign w:val="center"/>
          </w:tcPr>
          <w:p>
            <w:hyperlink r:id="rId55">
              <w:r>
                <w:rPr>
                  <w:color w:val="0563C1"/>
                  <w:u w:val="single"/>
                </w:rPr>
                <w:t>PubMed 37345263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47</w:t>
            </w:r>
          </w:p>
        </w:tc>
        <w:tc>
          <w:tcPr>
            <w:tcW w:type="dxa" w:w="3400"/>
            <w:vAlign w:val="center"/>
          </w:tcPr>
          <w:p>
            <w:r>
              <w:t>41167564</w:t>
            </w:r>
          </w:p>
        </w:tc>
        <w:tc>
          <w:tcPr>
            <w:tcW w:type="dxa" w:w="3400"/>
            <w:vAlign w:val="center"/>
          </w:tcPr>
          <w:p>
            <w:hyperlink r:id="rId56">
              <w:r>
                <w:rPr>
                  <w:color w:val="0563C1"/>
                  <w:u w:val="single"/>
                </w:rPr>
                <w:t>PubMed 41167564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48</w:t>
            </w:r>
          </w:p>
        </w:tc>
        <w:tc>
          <w:tcPr>
            <w:tcW w:type="dxa" w:w="3400"/>
            <w:vAlign w:val="center"/>
          </w:tcPr>
          <w:p>
            <w:r>
              <w:t>42451097</w:t>
            </w:r>
          </w:p>
        </w:tc>
        <w:tc>
          <w:tcPr>
            <w:tcW w:type="dxa" w:w="3400"/>
            <w:vAlign w:val="center"/>
          </w:tcPr>
          <w:p>
            <w:hyperlink r:id="rId57">
              <w:r>
                <w:rPr>
                  <w:color w:val="0563C1"/>
                  <w:u w:val="single"/>
                </w:rPr>
                <w:t>PubMed 42451097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49</w:t>
            </w:r>
          </w:p>
        </w:tc>
        <w:tc>
          <w:tcPr>
            <w:tcW w:type="dxa" w:w="3400"/>
            <w:vAlign w:val="center"/>
          </w:tcPr>
          <w:p>
            <w:r>
              <w:t>33741447</w:t>
            </w:r>
          </w:p>
        </w:tc>
        <w:tc>
          <w:tcPr>
            <w:tcW w:type="dxa" w:w="3400"/>
            <w:vAlign w:val="center"/>
          </w:tcPr>
          <w:p>
            <w:hyperlink r:id="rId58">
              <w:r>
                <w:rPr>
                  <w:color w:val="0563C1"/>
                  <w:u w:val="single"/>
                </w:rPr>
                <w:t>PubMed 33741447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50</w:t>
            </w:r>
          </w:p>
        </w:tc>
        <w:tc>
          <w:tcPr>
            <w:tcW w:type="dxa" w:w="3400"/>
            <w:vAlign w:val="center"/>
          </w:tcPr>
          <w:p>
            <w:r>
              <w:t>35254136</w:t>
            </w:r>
          </w:p>
        </w:tc>
        <w:tc>
          <w:tcPr>
            <w:tcW w:type="dxa" w:w="3400"/>
            <w:vAlign w:val="center"/>
          </w:tcPr>
          <w:p>
            <w:hyperlink r:id="rId59">
              <w:r>
                <w:rPr>
                  <w:color w:val="0563C1"/>
                  <w:u w:val="single"/>
                </w:rPr>
                <w:t>PubMed 35254136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51</w:t>
            </w:r>
          </w:p>
        </w:tc>
        <w:tc>
          <w:tcPr>
            <w:tcW w:type="dxa" w:w="3400"/>
            <w:vAlign w:val="center"/>
          </w:tcPr>
          <w:p>
            <w:r>
              <w:t>35187864</w:t>
            </w:r>
          </w:p>
        </w:tc>
        <w:tc>
          <w:tcPr>
            <w:tcW w:type="dxa" w:w="3400"/>
            <w:vAlign w:val="center"/>
          </w:tcPr>
          <w:p>
            <w:hyperlink r:id="rId60">
              <w:r>
                <w:rPr>
                  <w:color w:val="0563C1"/>
                  <w:u w:val="single"/>
                </w:rPr>
                <w:t>PubMed 35187864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52</w:t>
            </w:r>
          </w:p>
        </w:tc>
        <w:tc>
          <w:tcPr>
            <w:tcW w:type="dxa" w:w="3400"/>
            <w:vAlign w:val="center"/>
          </w:tcPr>
          <w:p>
            <w:r>
              <w:t>38830547</w:t>
            </w:r>
          </w:p>
        </w:tc>
        <w:tc>
          <w:tcPr>
            <w:tcW w:type="dxa" w:w="3400"/>
            <w:vAlign w:val="center"/>
          </w:tcPr>
          <w:p>
            <w:hyperlink r:id="rId61">
              <w:r>
                <w:rPr>
                  <w:color w:val="0563C1"/>
                  <w:u w:val="single"/>
                </w:rPr>
                <w:t>PubMed 38830547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53</w:t>
            </w:r>
          </w:p>
        </w:tc>
        <w:tc>
          <w:tcPr>
            <w:tcW w:type="dxa" w:w="3400"/>
            <w:vAlign w:val="center"/>
          </w:tcPr>
          <w:p>
            <w:r>
              <w:t>41963141</w:t>
            </w:r>
          </w:p>
        </w:tc>
        <w:tc>
          <w:tcPr>
            <w:tcW w:type="dxa" w:w="3400"/>
            <w:vAlign w:val="center"/>
          </w:tcPr>
          <w:p>
            <w:hyperlink r:id="rId62">
              <w:r>
                <w:rPr>
                  <w:color w:val="0563C1"/>
                  <w:u w:val="single"/>
                </w:rPr>
                <w:t>PubMed 41963141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54</w:t>
            </w:r>
          </w:p>
        </w:tc>
        <w:tc>
          <w:tcPr>
            <w:tcW w:type="dxa" w:w="3400"/>
            <w:vAlign w:val="center"/>
          </w:tcPr>
          <w:p>
            <w:r>
              <w:t>37388207</w:t>
            </w:r>
          </w:p>
        </w:tc>
        <w:tc>
          <w:tcPr>
            <w:tcW w:type="dxa" w:w="3400"/>
            <w:vAlign w:val="center"/>
          </w:tcPr>
          <w:p>
            <w:hyperlink r:id="rId63">
              <w:r>
                <w:rPr>
                  <w:color w:val="0563C1"/>
                  <w:u w:val="single"/>
                </w:rPr>
                <w:t>PubMed 37388207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55</w:t>
            </w:r>
          </w:p>
        </w:tc>
        <w:tc>
          <w:tcPr>
            <w:tcW w:type="dxa" w:w="3400"/>
            <w:vAlign w:val="center"/>
          </w:tcPr>
          <w:p>
            <w:r>
              <w:t>42141930</w:t>
            </w:r>
          </w:p>
        </w:tc>
        <w:tc>
          <w:tcPr>
            <w:tcW w:type="dxa" w:w="3400"/>
            <w:vAlign w:val="center"/>
          </w:tcPr>
          <w:p>
            <w:hyperlink r:id="rId64">
              <w:r>
                <w:rPr>
                  <w:color w:val="0563C1"/>
                  <w:u w:val="single"/>
                </w:rPr>
                <w:t>PubMed 42141930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56</w:t>
            </w:r>
          </w:p>
        </w:tc>
        <w:tc>
          <w:tcPr>
            <w:tcW w:type="dxa" w:w="3400"/>
            <w:vAlign w:val="center"/>
          </w:tcPr>
          <w:p>
            <w:r>
              <w:t>39433088</w:t>
            </w:r>
          </w:p>
        </w:tc>
        <w:tc>
          <w:tcPr>
            <w:tcW w:type="dxa" w:w="3400"/>
            <w:vAlign w:val="center"/>
          </w:tcPr>
          <w:p>
            <w:hyperlink r:id="rId65">
              <w:r>
                <w:rPr>
                  <w:color w:val="0563C1"/>
                  <w:u w:val="single"/>
                </w:rPr>
                <w:t>PubMed 39433088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57</w:t>
            </w:r>
          </w:p>
        </w:tc>
        <w:tc>
          <w:tcPr>
            <w:tcW w:type="dxa" w:w="3400"/>
            <w:vAlign w:val="center"/>
          </w:tcPr>
          <w:p>
            <w:r>
              <w:t>40718787</w:t>
            </w:r>
          </w:p>
        </w:tc>
        <w:tc>
          <w:tcPr>
            <w:tcW w:type="dxa" w:w="3400"/>
            <w:vAlign w:val="center"/>
          </w:tcPr>
          <w:p>
            <w:hyperlink r:id="rId66">
              <w:r>
                <w:rPr>
                  <w:color w:val="0563C1"/>
                  <w:u w:val="single"/>
                </w:rPr>
                <w:t>PubMed 40718787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58</w:t>
            </w:r>
          </w:p>
        </w:tc>
        <w:tc>
          <w:tcPr>
            <w:tcW w:type="dxa" w:w="3400"/>
            <w:vAlign w:val="center"/>
          </w:tcPr>
          <w:p>
            <w:r>
              <w:t>38825560</w:t>
            </w:r>
          </w:p>
        </w:tc>
        <w:tc>
          <w:tcPr>
            <w:tcW w:type="dxa" w:w="3400"/>
            <w:vAlign w:val="center"/>
          </w:tcPr>
          <w:p>
            <w:hyperlink r:id="rId67">
              <w:r>
                <w:rPr>
                  <w:color w:val="0563C1"/>
                  <w:u w:val="single"/>
                </w:rPr>
                <w:t>PubMed 38825560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59</w:t>
            </w:r>
          </w:p>
        </w:tc>
        <w:tc>
          <w:tcPr>
            <w:tcW w:type="dxa" w:w="3400"/>
            <w:vAlign w:val="center"/>
          </w:tcPr>
          <w:p>
            <w:r>
              <w:t>34811866</w:t>
            </w:r>
          </w:p>
        </w:tc>
        <w:tc>
          <w:tcPr>
            <w:tcW w:type="dxa" w:w="3400"/>
            <w:vAlign w:val="center"/>
          </w:tcPr>
          <w:p>
            <w:hyperlink r:id="rId68">
              <w:r>
                <w:rPr>
                  <w:color w:val="0563C1"/>
                  <w:u w:val="single"/>
                </w:rPr>
                <w:t>PubMed 34811866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60</w:t>
            </w:r>
          </w:p>
        </w:tc>
        <w:tc>
          <w:tcPr>
            <w:tcW w:type="dxa" w:w="3400"/>
            <w:vAlign w:val="center"/>
          </w:tcPr>
          <w:p>
            <w:r>
              <w:t>37879237</w:t>
            </w:r>
          </w:p>
        </w:tc>
        <w:tc>
          <w:tcPr>
            <w:tcW w:type="dxa" w:w="3400"/>
            <w:vAlign w:val="center"/>
          </w:tcPr>
          <w:p>
            <w:hyperlink r:id="rId69">
              <w:r>
                <w:rPr>
                  <w:color w:val="0563C1"/>
                  <w:u w:val="single"/>
                </w:rPr>
                <w:t>PubMed 37879237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61</w:t>
            </w:r>
          </w:p>
        </w:tc>
        <w:tc>
          <w:tcPr>
            <w:tcW w:type="dxa" w:w="3400"/>
            <w:vAlign w:val="center"/>
          </w:tcPr>
          <w:p>
            <w:r>
              <w:t>42478101</w:t>
            </w:r>
          </w:p>
        </w:tc>
        <w:tc>
          <w:tcPr>
            <w:tcW w:type="dxa" w:w="3400"/>
            <w:vAlign w:val="center"/>
          </w:tcPr>
          <w:p>
            <w:hyperlink r:id="rId70">
              <w:r>
                <w:rPr>
                  <w:color w:val="0563C1"/>
                  <w:u w:val="single"/>
                </w:rPr>
                <w:t>PubMed 42478101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62</w:t>
            </w:r>
          </w:p>
        </w:tc>
        <w:tc>
          <w:tcPr>
            <w:tcW w:type="dxa" w:w="3400"/>
            <w:vAlign w:val="center"/>
          </w:tcPr>
          <w:p>
            <w:r>
              <w:t>42044907</w:t>
            </w:r>
          </w:p>
        </w:tc>
        <w:tc>
          <w:tcPr>
            <w:tcW w:type="dxa" w:w="3400"/>
            <w:vAlign w:val="center"/>
          </w:tcPr>
          <w:p>
            <w:hyperlink r:id="rId71">
              <w:r>
                <w:rPr>
                  <w:color w:val="0563C1"/>
                  <w:u w:val="single"/>
                </w:rPr>
                <w:t>PubMed 42044907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63</w:t>
            </w:r>
          </w:p>
        </w:tc>
        <w:tc>
          <w:tcPr>
            <w:tcW w:type="dxa" w:w="3400"/>
            <w:vAlign w:val="center"/>
          </w:tcPr>
          <w:p>
            <w:r>
              <w:t>42407080</w:t>
            </w:r>
          </w:p>
        </w:tc>
        <w:tc>
          <w:tcPr>
            <w:tcW w:type="dxa" w:w="3400"/>
            <w:vAlign w:val="center"/>
          </w:tcPr>
          <w:p>
            <w:hyperlink r:id="rId72">
              <w:r>
                <w:rPr>
                  <w:color w:val="0563C1"/>
                  <w:u w:val="single"/>
                </w:rPr>
                <w:t>PubMed 42407080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64</w:t>
            </w:r>
          </w:p>
        </w:tc>
        <w:tc>
          <w:tcPr>
            <w:tcW w:type="dxa" w:w="3400"/>
            <w:vAlign w:val="center"/>
          </w:tcPr>
          <w:p>
            <w:r>
              <w:t>39485653</w:t>
            </w:r>
          </w:p>
        </w:tc>
        <w:tc>
          <w:tcPr>
            <w:tcW w:type="dxa" w:w="3400"/>
            <w:vAlign w:val="center"/>
          </w:tcPr>
          <w:p>
            <w:hyperlink r:id="rId73">
              <w:r>
                <w:rPr>
                  <w:color w:val="0563C1"/>
                  <w:u w:val="single"/>
                </w:rPr>
                <w:t>PubMed 39485653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65</w:t>
            </w:r>
          </w:p>
        </w:tc>
        <w:tc>
          <w:tcPr>
            <w:tcW w:type="dxa" w:w="3400"/>
            <w:vAlign w:val="center"/>
          </w:tcPr>
          <w:p>
            <w:r>
              <w:t>41794545</w:t>
            </w:r>
          </w:p>
        </w:tc>
        <w:tc>
          <w:tcPr>
            <w:tcW w:type="dxa" w:w="3400"/>
            <w:vAlign w:val="center"/>
          </w:tcPr>
          <w:p>
            <w:hyperlink r:id="rId74">
              <w:r>
                <w:rPr>
                  <w:color w:val="0563C1"/>
                  <w:u w:val="single"/>
                </w:rPr>
                <w:t>PubMed 41794545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66</w:t>
            </w:r>
          </w:p>
        </w:tc>
        <w:tc>
          <w:tcPr>
            <w:tcW w:type="dxa" w:w="3400"/>
            <w:vAlign w:val="center"/>
          </w:tcPr>
          <w:p>
            <w:r>
              <w:t>38219230</w:t>
            </w:r>
          </w:p>
        </w:tc>
        <w:tc>
          <w:tcPr>
            <w:tcW w:type="dxa" w:w="3400"/>
            <w:vAlign w:val="center"/>
          </w:tcPr>
          <w:p>
            <w:hyperlink r:id="rId75">
              <w:r>
                <w:rPr>
                  <w:color w:val="0563C1"/>
                  <w:u w:val="single"/>
                </w:rPr>
                <w:t>PubMed 38219230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67</w:t>
            </w:r>
          </w:p>
        </w:tc>
        <w:tc>
          <w:tcPr>
            <w:tcW w:type="dxa" w:w="3400"/>
            <w:vAlign w:val="center"/>
          </w:tcPr>
          <w:p>
            <w:r>
              <w:t>37726108</w:t>
            </w:r>
          </w:p>
        </w:tc>
        <w:tc>
          <w:tcPr>
            <w:tcW w:type="dxa" w:w="3400"/>
            <w:vAlign w:val="center"/>
          </w:tcPr>
          <w:p>
            <w:hyperlink r:id="rId76">
              <w:r>
                <w:rPr>
                  <w:color w:val="0563C1"/>
                  <w:u w:val="single"/>
                </w:rPr>
                <w:t>PubMed 37726108</w:t>
              </w:r>
            </w:hyperlink>
          </w:p>
        </w:tc>
      </w:tr>
      <w:tr>
        <w:tc>
          <w:tcPr>
            <w:tcW w:type="dxa" w:w="3400"/>
            <w:vAlign w:val="center"/>
          </w:tcPr>
          <w:p>
            <w:r>
              <w:t>68</w:t>
            </w:r>
          </w:p>
        </w:tc>
        <w:tc>
          <w:tcPr>
            <w:tcW w:type="dxa" w:w="3400"/>
            <w:vAlign w:val="center"/>
          </w:tcPr>
          <w:p>
            <w:r>
              <w:t>41693488</w:t>
            </w:r>
          </w:p>
        </w:tc>
        <w:tc>
          <w:tcPr>
            <w:tcW w:type="dxa" w:w="3400"/>
            <w:vAlign w:val="center"/>
          </w:tcPr>
          <w:p>
            <w:hyperlink r:id="rId77">
              <w:r>
                <w:rPr>
                  <w:color w:val="0563C1"/>
                  <w:u w:val="single"/>
                </w:rPr>
                <w:t>PubMed 41693488</w:t>
              </w:r>
            </w:hyperlink>
          </w:p>
        </w:tc>
      </w:tr>
    </w:tbl>
    <w:p>
      <w:pPr>
        <w:spacing w:before="200"/>
      </w:pPr>
      <w:r>
        <w:rPr>
          <w:b/>
          <w:color w:val="1F4E79"/>
        </w:rPr>
        <w:t xml:space="preserve">Nota editorial: </w:t>
      </w:r>
      <w:r>
        <w:t>las recomendaciones clínicas deben interpretarse según población, intervención, contexto y calidad de evidencia. El documento conserva también resultados negativos, evidencia incierta y estudios excluidos/retractados para evitar recomendaciones automáticas erróneas.</w:t>
      </w:r>
    </w:p>
    <w:sectPr w:rsidR="00FC693F" w:rsidRPr="0006063C" w:rsidSect="00034616">
      <w:pgSz w:w="12240" w:h="15840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VITALITTY · Base científica PubMed   |   </w:t>
    </w:r>
    <w:fldSimple w:instr="PAGE"/>
    <w:r>
      <w:rPr>
        <w:color w:val="666666"/>
        <w:sz w:val="16"/>
      </w:rPr>
      <w:t xml:space="preserve">VITALITTY · Base científica PubMed   |   </w:t>
    </w:r>
    <w:fldSimple w:instr="PAGE"/>
    <w:r>
      <w:rPr>
        <w:color w:val="666666"/>
        <w:sz w:val="16"/>
      </w:rPr>
      <w:t xml:space="preserve">VITALITTY · Base científica PubMed   |   </w:t>
    </w:r>
    <w:fldSimple w:instr="PAGE"/>
    <w:r>
      <w:rPr>
        <w:color w:val="666666"/>
        <w:sz w:val="16"/>
      </w:rPr>
      <w:t xml:space="preserve">VITALITTY · Base científica PubMed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A88C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ubmed.ncbi.nlm.nih.gov/41343037/" TargetMode="External"/><Relationship Id="rId11" Type="http://schemas.openxmlformats.org/officeDocument/2006/relationships/hyperlink" Target="https://pubmed.ncbi.nlm.nih.gov/35873210/" TargetMode="External"/><Relationship Id="rId12" Type="http://schemas.openxmlformats.org/officeDocument/2006/relationships/hyperlink" Target="https://pubmed.ncbi.nlm.nih.gov/28698222/" TargetMode="External"/><Relationship Id="rId13" Type="http://schemas.openxmlformats.org/officeDocument/2006/relationships/hyperlink" Target="https://pubmed.ncbi.nlm.nih.gov/38970765/" TargetMode="External"/><Relationship Id="rId14" Type="http://schemas.openxmlformats.org/officeDocument/2006/relationships/hyperlink" Target="https://pubmed.ncbi.nlm.nih.gov/36334240/" TargetMode="External"/><Relationship Id="rId15" Type="http://schemas.openxmlformats.org/officeDocument/2006/relationships/hyperlink" Target="https://pubmed.ncbi.nlm.nih.gov/33433148/" TargetMode="External"/><Relationship Id="rId16" Type="http://schemas.openxmlformats.org/officeDocument/2006/relationships/hyperlink" Target="https://pubmed.ncbi.nlm.nih.gov/33874848/" TargetMode="External"/><Relationship Id="rId17" Type="http://schemas.openxmlformats.org/officeDocument/2006/relationships/hyperlink" Target="https://pubmed.ncbi.nlm.nih.gov/39074168/" TargetMode="External"/><Relationship Id="rId18" Type="http://schemas.openxmlformats.org/officeDocument/2006/relationships/hyperlink" Target="https://pubmed.ncbi.nlm.nih.gov/34623696/" TargetMode="External"/><Relationship Id="rId19" Type="http://schemas.openxmlformats.org/officeDocument/2006/relationships/hyperlink" Target="https://pubmed.ncbi.nlm.nih.gov/40647175/" TargetMode="External"/><Relationship Id="rId20" Type="http://schemas.openxmlformats.org/officeDocument/2006/relationships/hyperlink" Target="https://pubmed.ncbi.nlm.nih.gov/29757343/" TargetMode="External"/><Relationship Id="rId21" Type="http://schemas.openxmlformats.org/officeDocument/2006/relationships/hyperlink" Target="https://pubmed.ncbi.nlm.nih.gov/41501909/" TargetMode="External"/><Relationship Id="rId22" Type="http://schemas.openxmlformats.org/officeDocument/2006/relationships/hyperlink" Target="https://pubmed.ncbi.nlm.nih.gov/41495831/" TargetMode="External"/><Relationship Id="rId23" Type="http://schemas.openxmlformats.org/officeDocument/2006/relationships/hyperlink" Target="https://pubmed.ncbi.nlm.nih.gov/42280405/" TargetMode="External"/><Relationship Id="rId24" Type="http://schemas.openxmlformats.org/officeDocument/2006/relationships/hyperlink" Target="https://pubmed.ncbi.nlm.nih.gov/35361035/" TargetMode="External"/><Relationship Id="rId25" Type="http://schemas.openxmlformats.org/officeDocument/2006/relationships/hyperlink" Target="https://pubmed.ncbi.nlm.nih.gov/41381307/" TargetMode="External"/><Relationship Id="rId26" Type="http://schemas.openxmlformats.org/officeDocument/2006/relationships/hyperlink" Target="https://pubmed.ncbi.nlm.nih.gov/41141260/" TargetMode="External"/><Relationship Id="rId27" Type="http://schemas.openxmlformats.org/officeDocument/2006/relationships/hyperlink" Target="https://pubmed.ncbi.nlm.nih.gov/41211687/" TargetMode="External"/><Relationship Id="rId28" Type="http://schemas.openxmlformats.org/officeDocument/2006/relationships/hyperlink" Target="https://pubmed.ncbi.nlm.nih.gov/35266254/" TargetMode="External"/><Relationship Id="rId29" Type="http://schemas.openxmlformats.org/officeDocument/2006/relationships/hyperlink" Target="https://pubmed.ncbi.nlm.nih.gov/37545015/" TargetMode="External"/><Relationship Id="rId30" Type="http://schemas.openxmlformats.org/officeDocument/2006/relationships/hyperlink" Target="https://pubmed.ncbi.nlm.nih.gov/33312465/" TargetMode="External"/><Relationship Id="rId31" Type="http://schemas.openxmlformats.org/officeDocument/2006/relationships/hyperlink" Target="https://pubmed.ncbi.nlm.nih.gov/2656936/" TargetMode="External"/><Relationship Id="rId32" Type="http://schemas.openxmlformats.org/officeDocument/2006/relationships/hyperlink" Target="https://pubmed.ncbi.nlm.nih.gov/9731851/" TargetMode="External"/><Relationship Id="rId33" Type="http://schemas.openxmlformats.org/officeDocument/2006/relationships/hyperlink" Target="https://pubmed.ncbi.nlm.nih.gov/40737185/" TargetMode="External"/><Relationship Id="rId34" Type="http://schemas.openxmlformats.org/officeDocument/2006/relationships/hyperlink" Target="https://pubmed.ncbi.nlm.nih.gov/40435711/" TargetMode="External"/><Relationship Id="rId35" Type="http://schemas.openxmlformats.org/officeDocument/2006/relationships/hyperlink" Target="https://pubmed.ncbi.nlm.nih.gov/42355996/" TargetMode="External"/><Relationship Id="rId36" Type="http://schemas.openxmlformats.org/officeDocument/2006/relationships/hyperlink" Target="https://pubmed.ncbi.nlm.nih.gov/30880352/" TargetMode="External"/><Relationship Id="rId37" Type="http://schemas.openxmlformats.org/officeDocument/2006/relationships/hyperlink" Target="https://pubmed.ncbi.nlm.nih.gov/38266637/" TargetMode="External"/><Relationship Id="rId38" Type="http://schemas.openxmlformats.org/officeDocument/2006/relationships/hyperlink" Target="https://pubmed.ncbi.nlm.nih.gov/39002131/" TargetMode="External"/><Relationship Id="rId39" Type="http://schemas.openxmlformats.org/officeDocument/2006/relationships/hyperlink" Target="https://pubmed.ncbi.nlm.nih.gov/31794597/" TargetMode="External"/><Relationship Id="rId40" Type="http://schemas.openxmlformats.org/officeDocument/2006/relationships/hyperlink" Target="https://pubmed.ncbi.nlm.nih.gov/29182451/" TargetMode="External"/><Relationship Id="rId41" Type="http://schemas.openxmlformats.org/officeDocument/2006/relationships/hyperlink" Target="https://pubmed.ncbi.nlm.nih.gov/41712097/" TargetMode="External"/><Relationship Id="rId42" Type="http://schemas.openxmlformats.org/officeDocument/2006/relationships/hyperlink" Target="https://pubmed.ncbi.nlm.nih.gov/35809162/" TargetMode="External"/><Relationship Id="rId43" Type="http://schemas.openxmlformats.org/officeDocument/2006/relationships/hyperlink" Target="https://pubmed.ncbi.nlm.nih.gov/40387562/" TargetMode="External"/><Relationship Id="rId44" Type="http://schemas.openxmlformats.org/officeDocument/2006/relationships/hyperlink" Target="https://pubmed.ncbi.nlm.nih.gov/40909191/" TargetMode="External"/><Relationship Id="rId45" Type="http://schemas.openxmlformats.org/officeDocument/2006/relationships/hyperlink" Target="https://pubmed.ncbi.nlm.nih.gov/42144246/" TargetMode="External"/><Relationship Id="rId46" Type="http://schemas.openxmlformats.org/officeDocument/2006/relationships/hyperlink" Target="https://pubmed.ncbi.nlm.nih.gov/31482093/" TargetMode="External"/><Relationship Id="rId47" Type="http://schemas.openxmlformats.org/officeDocument/2006/relationships/hyperlink" Target="https://pubmed.ncbi.nlm.nih.gov/35215506/" TargetMode="External"/><Relationship Id="rId48" Type="http://schemas.openxmlformats.org/officeDocument/2006/relationships/hyperlink" Target="https://pubmed.ncbi.nlm.nih.gov/41843416/" TargetMode="External"/><Relationship Id="rId49" Type="http://schemas.openxmlformats.org/officeDocument/2006/relationships/hyperlink" Target="https://pubmed.ncbi.nlm.nih.gov/37414459/" TargetMode="External"/><Relationship Id="rId50" Type="http://schemas.openxmlformats.org/officeDocument/2006/relationships/hyperlink" Target="https://pubmed.ncbi.nlm.nih.gov/36017224/" TargetMode="External"/><Relationship Id="rId51" Type="http://schemas.openxmlformats.org/officeDocument/2006/relationships/hyperlink" Target="https://pubmed.ncbi.nlm.nih.gov/38125726/" TargetMode="External"/><Relationship Id="rId52" Type="http://schemas.openxmlformats.org/officeDocument/2006/relationships/hyperlink" Target="https://pubmed.ncbi.nlm.nih.gov/35546475/" TargetMode="External"/><Relationship Id="rId53" Type="http://schemas.openxmlformats.org/officeDocument/2006/relationships/hyperlink" Target="https://pubmed.ncbi.nlm.nih.gov/37345841/" TargetMode="External"/><Relationship Id="rId54" Type="http://schemas.openxmlformats.org/officeDocument/2006/relationships/hyperlink" Target="https://pubmed.ncbi.nlm.nih.gov/39327619/" TargetMode="External"/><Relationship Id="rId55" Type="http://schemas.openxmlformats.org/officeDocument/2006/relationships/hyperlink" Target="https://pubmed.ncbi.nlm.nih.gov/37345263/" TargetMode="External"/><Relationship Id="rId56" Type="http://schemas.openxmlformats.org/officeDocument/2006/relationships/hyperlink" Target="https://pubmed.ncbi.nlm.nih.gov/41167564/" TargetMode="External"/><Relationship Id="rId57" Type="http://schemas.openxmlformats.org/officeDocument/2006/relationships/hyperlink" Target="https://pubmed.ncbi.nlm.nih.gov/42451097/" TargetMode="External"/><Relationship Id="rId58" Type="http://schemas.openxmlformats.org/officeDocument/2006/relationships/hyperlink" Target="https://pubmed.ncbi.nlm.nih.gov/33741447/" TargetMode="External"/><Relationship Id="rId59" Type="http://schemas.openxmlformats.org/officeDocument/2006/relationships/hyperlink" Target="https://pubmed.ncbi.nlm.nih.gov/35254136/" TargetMode="External"/><Relationship Id="rId60" Type="http://schemas.openxmlformats.org/officeDocument/2006/relationships/hyperlink" Target="https://pubmed.ncbi.nlm.nih.gov/35187864/" TargetMode="External"/><Relationship Id="rId61" Type="http://schemas.openxmlformats.org/officeDocument/2006/relationships/hyperlink" Target="https://pubmed.ncbi.nlm.nih.gov/38830547/" TargetMode="External"/><Relationship Id="rId62" Type="http://schemas.openxmlformats.org/officeDocument/2006/relationships/hyperlink" Target="https://pubmed.ncbi.nlm.nih.gov/41963141/" TargetMode="External"/><Relationship Id="rId63" Type="http://schemas.openxmlformats.org/officeDocument/2006/relationships/hyperlink" Target="https://pubmed.ncbi.nlm.nih.gov/37388207/" TargetMode="External"/><Relationship Id="rId64" Type="http://schemas.openxmlformats.org/officeDocument/2006/relationships/hyperlink" Target="https://pubmed.ncbi.nlm.nih.gov/42141930/" TargetMode="External"/><Relationship Id="rId65" Type="http://schemas.openxmlformats.org/officeDocument/2006/relationships/hyperlink" Target="https://pubmed.ncbi.nlm.nih.gov/39433088/" TargetMode="External"/><Relationship Id="rId66" Type="http://schemas.openxmlformats.org/officeDocument/2006/relationships/hyperlink" Target="https://pubmed.ncbi.nlm.nih.gov/40718787/" TargetMode="External"/><Relationship Id="rId67" Type="http://schemas.openxmlformats.org/officeDocument/2006/relationships/hyperlink" Target="https://pubmed.ncbi.nlm.nih.gov/38825560/" TargetMode="External"/><Relationship Id="rId68" Type="http://schemas.openxmlformats.org/officeDocument/2006/relationships/hyperlink" Target="https://pubmed.ncbi.nlm.nih.gov/34811866/" TargetMode="External"/><Relationship Id="rId69" Type="http://schemas.openxmlformats.org/officeDocument/2006/relationships/hyperlink" Target="https://pubmed.ncbi.nlm.nih.gov/37879237/" TargetMode="External"/><Relationship Id="rId70" Type="http://schemas.openxmlformats.org/officeDocument/2006/relationships/hyperlink" Target="https://pubmed.ncbi.nlm.nih.gov/42478101/" TargetMode="External"/><Relationship Id="rId71" Type="http://schemas.openxmlformats.org/officeDocument/2006/relationships/hyperlink" Target="https://pubmed.ncbi.nlm.nih.gov/42044907/" TargetMode="External"/><Relationship Id="rId72" Type="http://schemas.openxmlformats.org/officeDocument/2006/relationships/hyperlink" Target="https://pubmed.ncbi.nlm.nih.gov/42407080/" TargetMode="External"/><Relationship Id="rId73" Type="http://schemas.openxmlformats.org/officeDocument/2006/relationships/hyperlink" Target="https://pubmed.ncbi.nlm.nih.gov/39485653/" TargetMode="External"/><Relationship Id="rId74" Type="http://schemas.openxmlformats.org/officeDocument/2006/relationships/hyperlink" Target="https://pubmed.ncbi.nlm.nih.gov/41794545/" TargetMode="External"/><Relationship Id="rId75" Type="http://schemas.openxmlformats.org/officeDocument/2006/relationships/hyperlink" Target="https://pubmed.ncbi.nlm.nih.gov/38219230/" TargetMode="External"/><Relationship Id="rId76" Type="http://schemas.openxmlformats.org/officeDocument/2006/relationships/hyperlink" Target="https://pubmed.ncbi.nlm.nih.gov/37726108/" TargetMode="External"/><Relationship Id="rId77" Type="http://schemas.openxmlformats.org/officeDocument/2006/relationships/hyperlink" Target="https://pubmed.ncbi.nlm.nih.gov/4169348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Compendio PubMed Vitalitty</dc:title>
  <dc:subject>Biblioteca científica interna del Editor Vitalitty</dc:subject>
  <dc:creator>Vitalitty</dc:creator>
  <cp:keywords>PubMed, nutrición, hipertrofia, microbiota, composición corporal, suplementación, salud hormonal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