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FurgonApp dispone de una interfaz Next.js y un backend Spring Boot para registro, roles, instituciones, conductores, revisión documental y cotizaciones. El flujo de aceptación revalida capacidad y crea el contrato mediante una transacción. La copia local incorpora búsqueda de instituciones, sugerencias, georreferenciación y delimitación territorial. También se añadió un tutorial narrado. Este informe corresponde al estado observado el 21 de octubre de 2026, no reconstruye una entrega anterior. Las ampliaciones locales se deben publicar junto con su evidencia para poder verificarse remotamente.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jc w:val="both"/>
              <w:rPr>
                <w:rFonts w:ascii="Calibri" w:hAnsi="Calibri" w:cs="Arial"/>
                <w:b/>
                <w:i/>
                <w:color w:val="548DD4"/>
                <w:sz w:val="20"/>
                <w:szCs w:val="20"/>
                <w:lang w:eastAsia="es-CL"/>
              </w:rPr>
            </w:pPr>
            <w:r>
              <w:rPr>
                <w:rFonts w:ascii="Calibri" w:hAnsi="Calibri" w:cs="Arial"/>
                <w:sz w:val="20"/>
                <w:szCs w:val="20"/>
                <w:lang w:eastAsia="es-CL"/>
                <w:color w:val="000000"/>
              </w:rPr>
              <w:t xml:space="preserve">Desarrollar una plataforma web para vincular apoderados con conductores de transporte escolar según institución, zona de recogida y disponibilidad, incorporando revisión documental, cotizaciones y reserva de cupos.</w:t>
            </w:r>
          </w:p>
          <w:p>
            <w:pPr>
              <w:jc w:val="both"/>
              <w:rPr>
                <w:rFonts w:ascii="Calibri" w:hAnsi="Calibri" w:cs="Arial"/>
                <w:b/>
                <w:i/>
                <w:color w:val="548DD4"/>
                <w:sz w:val="20"/>
                <w:szCs w:val="20"/>
                <w:lang w:eastAsia="es-CL"/>
              </w:rPr>
            </w:pPr>
            <w:r>
              <w:rPr>
                <w:rFonts w:ascii="Calibri" w:hAnsi="Calibri" w:cs="Arial"/>
                <w:sz w:val="20"/>
                <w:szCs w:val="20"/>
                <w:lang w:eastAsia="es-CL"/>
                <w:color w:val="000000"/>
              </w:rPr>
              <w:t xml:space="preserve">Se precisa la cobertura como pertenencia del punto de recogida a un territorio dibujado. La coincidencia por comuna se mantiene solo para perfiles anteriores hasta que guarden su primera zona. No se agregan pagos ni GPS al alcance.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Desarrollo iterativo e incremental. El trabajo se organiza en definición del alcance, diseño de interfaz y datos, implementación de una funcionalidad, verificación y ajuste. Cada incremento se revisa antes de continuar con el siguiente. Se usa Git para registrar versiones y se combinan pruebas automatizadas con comprobaciones del flujo real. Juan Pablo Fuentes Valenzuela asume principalmente el desarrollo informático; Sebastian Mendez, documentación y preparación del despliegue. No se declara una certificación Scrum ni se atribuyen ceremonias o retrospectivas no registradas.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Código frontend y backend; migraciones Flyway; pruebas de cuentas, negocio, territorio y navegador; documentación de arquitectura y API; instrucciones de instalación y tutorial de uso. Las pruebas de Google Maps con simulación se distinguen de la verificación real en el navegador. La consistencia de cupos se respalda con bloqueos transaccionales. La validación disponible es local: PostgreSQL/Docker, carga y seguridad integral requieren evidencia adicional. Véase CAPSTONE/Fase 2/Evidencias Proyecto/Documentacion y las carpetas de código vinculadas.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pPr>
              <w:jc w:val="both"/>
              <w:rPr>
                <w:b/>
                <w:sz w:val="18"/>
                <w:szCs w:val="24"/>
              </w:rPr>
            </w:pPr>
            <w:r>
              <w:rPr>
                <w:sz w:val="18"/>
                <w:szCs w:val="24"/>
                <w:color w:val="000000"/>
              </w:rPr>
              <w:t xml:space="preserve">Desarrollo de software</w:t>
            </w:r>
          </w:p>
        </w:tc>
        <w:tc>
          <w:tcPr>
            <w:tcW w:w="1077"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Interfaz y backend</w:t>
            </w:r>
          </w:p>
        </w:tc>
        <w:tc>
          <w:tcPr>
            <w:tcW w:w="1276" w:type="dxa"/>
          </w:tcPr>
          <w:p>
            <w:pPr>
              <w:jc w:val="both"/>
              <w:rPr>
                <w:b/>
                <w:sz w:val="18"/>
                <w:szCs w:val="24"/>
              </w:rPr>
            </w:pPr>
            <w:r>
              <w:rPr>
                <w:sz w:val="18"/>
                <w:szCs w:val="24"/>
                <w:color w:val="000000"/>
              </w:rPr>
              <w:t xml:space="preserve">Next.js, Spring Boot, Git</w:t>
            </w:r>
          </w:p>
        </w:tc>
        <w:tc>
          <w:tcPr>
            <w:tcW w:w="1276" w:type="dxa"/>
          </w:tcPr>
          <w:p>
            <w:pPr>
              <w:jc w:val="both"/>
              <w:rPr>
                <w:b/>
                <w:sz w:val="18"/>
                <w:szCs w:val="24"/>
              </w:rPr>
            </w:pPr>
            <w:r>
              <w:rPr>
                <w:sz w:val="18"/>
                <w:szCs w:val="24"/>
                <w:color w:val="000000"/>
              </w:rPr>
              <w:t xml:space="preserve">Iteraciones de desarrollo</w:t>
            </w:r>
          </w:p>
        </w:tc>
        <w:tc>
          <w:tcPr>
            <w:tcW w:w="1275"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Juan Pablo Fuentes Valenzuela</w:t>
            </w:r>
          </w:p>
        </w:tc>
        <w:tc>
          <w:tcPr>
            <w:tcW w:w="1276"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Roles y control de propietario</w:t>
            </w:r>
          </w:p>
        </w:tc>
        <w:tc>
          <w:tcPr>
            <w:tcW w:w="1418"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Completado en entorno local</w:t>
            </w:r>
          </w:p>
        </w:tc>
        <w:tc>
          <w:tcPr>
            <w:tcW w:w="85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Publicar ampliaciones y verificar versión remota.</w:t>
            </w:r>
          </w:p>
        </w:tc>
      </w:tr>
      <w:tr w:rsidR="00FD5149" w:rsidRPr="006E3B0D" w14:paraId="0D4FAAA2" w14:textId="77777777" w:rsidTr="00EA0C09">
        <w:trPr>
          <w:trHeight w:val="2410"/>
        </w:trPr>
        <w:tc>
          <w:tcPr>
            <w:tcW w:w="1328" w:type="dxa"/>
          </w:tcPr>
          <w:p>
            <w:pPr>
              <w:jc w:val="both"/>
              <w:rPr>
                <w:b/>
                <w:sz w:val="18"/>
                <w:szCs w:val="24"/>
              </w:rPr>
            </w:pPr>
            <w:r>
              <w:rPr>
                <w:sz w:val="18"/>
                <w:szCs w:val="24"/>
                <w:color w:val="000000"/>
              </w:rPr>
              <w:t xml:space="preserve">Modelado de datos</w:t>
            </w:r>
          </w:p>
        </w:tc>
        <w:tc>
          <w:tcPr>
            <w:tcW w:w="1077"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Persistencia y migraciones</w:t>
            </w:r>
          </w:p>
        </w:tc>
        <w:tc>
          <w:tcPr>
            <w:tcW w:w="1276" w:type="dxa"/>
          </w:tcPr>
          <w:p>
            <w:pPr>
              <w:jc w:val="both"/>
              <w:rPr>
                <w:b/>
                <w:sz w:val="18"/>
                <w:szCs w:val="24"/>
              </w:rPr>
            </w:pPr>
            <w:r>
              <w:rPr>
                <w:sz w:val="18"/>
                <w:szCs w:val="24"/>
                <w:color w:val="000000"/>
              </w:rPr>
              <w:t xml:space="preserve">JPA, Flyway, H2; PostgreSQL objetivo</w:t>
            </w:r>
          </w:p>
        </w:tc>
        <w:tc>
          <w:tcPr>
            <w:tcW w:w="1276" w:type="dxa"/>
          </w:tcPr>
          <w:p>
            <w:pPr>
              <w:jc w:val="both"/>
              <w:rPr>
                <w:b/>
                <w:sz w:val="18"/>
                <w:szCs w:val="24"/>
              </w:rPr>
            </w:pPr>
            <w:r>
              <w:rPr>
                <w:sz w:val="18"/>
                <w:szCs w:val="24"/>
                <w:color w:val="000000"/>
              </w:rPr>
              <w:t xml:space="preserve">Iteraciones de desarrollo</w:t>
            </w:r>
          </w:p>
        </w:tc>
        <w:tc>
          <w:tcPr>
            <w:tcW w:w="1275"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Juan Pablo Fuentes Valenzuela</w:t>
            </w:r>
          </w:p>
        </w:tc>
        <w:tc>
          <w:tcPr>
            <w:tcW w:w="1276"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No se publica la base privada</w:t>
            </w:r>
          </w:p>
        </w:tc>
        <w:tc>
          <w:tcPr>
            <w:tcW w:w="1418"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Completado localmente; validación PostgreSQL pendiente</w:t>
            </w:r>
          </w:p>
        </w:tc>
        <w:tc>
          <w:tcPr>
            <w:tcW w:w="85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Separar datos de presentación de datos reales.</w:t>
            </w:r>
          </w:p>
        </w:tc>
      </w:tr>
      <w:tr w:rsidR="00FD5149" w:rsidRPr="006E3B0D" w14:paraId="0D4FAAA2" w14:textId="77777777" w:rsidTr="00EA0C09">
        <w:trPr>
          <w:trHeight w:val="2410"/>
        </w:trPr>
        <w:tc>
          <w:tcPr>
            <w:tcW w:w="1328" w:type="dxa"/>
          </w:tcPr>
          <w:p>
            <w:pPr>
              <w:jc w:val="both"/>
              <w:rPr>
                <w:b/>
                <w:sz w:val="18"/>
                <w:szCs w:val="24"/>
              </w:rPr>
            </w:pPr>
            <w:r>
              <w:rPr>
                <w:sz w:val="18"/>
                <w:szCs w:val="24"/>
                <w:color w:val="000000"/>
              </w:rPr>
              <w:t xml:space="preserve">Pruebas de calidad</w:t>
            </w:r>
          </w:p>
        </w:tc>
        <w:tc>
          <w:tcPr>
            <w:tcW w:w="1077"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Verificación de flujos</w:t>
            </w:r>
          </w:p>
        </w:tc>
        <w:tc>
          <w:tcPr>
            <w:tcW w:w="1276" w:type="dxa"/>
          </w:tcPr>
          <w:p>
            <w:pPr>
              <w:jc w:val="both"/>
              <w:rPr>
                <w:b/>
                <w:sz w:val="18"/>
                <w:szCs w:val="24"/>
              </w:rPr>
            </w:pPr>
            <w:r>
              <w:rPr>
                <w:sz w:val="18"/>
                <w:szCs w:val="24"/>
                <w:color w:val="000000"/>
              </w:rPr>
              <w:t xml:space="preserve">JUnit, Playwright y navegador</w:t>
            </w:r>
          </w:p>
        </w:tc>
        <w:tc>
          <w:tcPr>
            <w:tcW w:w="1276" w:type="dxa"/>
          </w:tcPr>
          <w:p>
            <w:pPr>
              <w:jc w:val="both"/>
              <w:rPr>
                <w:b/>
                <w:sz w:val="18"/>
                <w:szCs w:val="24"/>
              </w:rPr>
            </w:pPr>
            <w:r>
              <w:rPr>
                <w:sz w:val="18"/>
                <w:szCs w:val="24"/>
                <w:color w:val="000000"/>
              </w:rPr>
              <w:t xml:space="preserve">Durante cada incremento</w:t>
            </w:r>
          </w:p>
        </w:tc>
        <w:tc>
          <w:tcPr>
            <w:tcW w:w="1275"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Juan Pablo Fuentes Valenzuela</w:t>
            </w:r>
          </w:p>
        </w:tc>
        <w:tc>
          <w:tcPr>
            <w:tcW w:w="1276"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Un fallo real del mapa vacío exigió ajustar el doble de pruebas</w:t>
            </w:r>
          </w:p>
        </w:tc>
        <w:tc>
          <w:tcPr>
            <w:tcW w:w="1418"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En curso</w:t>
            </w:r>
          </w:p>
        </w:tc>
        <w:tc>
          <w:tcPr>
            <w:tcW w:w="85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Completar validación de carga y seguridad antes de despliegue.</w:t>
            </w:r>
          </w:p>
        </w:tc>
      </w:tr>
      <w:tr w:rsidR="00FD5149" w:rsidRPr="006E3B0D" w14:paraId="0D4FAAA2" w14:textId="77777777" w:rsidTr="00EA0C09">
        <w:trPr>
          <w:trHeight w:val="2410"/>
        </w:trPr>
        <w:tc>
          <w:tcPr>
            <w:tcW w:w="1328" w:type="dxa"/>
          </w:tcPr>
          <w:p>
            <w:pPr>
              <w:jc w:val="both"/>
              <w:rPr>
                <w:b/>
                <w:sz w:val="18"/>
                <w:szCs w:val="24"/>
              </w:rPr>
            </w:pPr>
            <w:r>
              <w:rPr>
                <w:sz w:val="18"/>
                <w:szCs w:val="24"/>
                <w:color w:val="000000"/>
              </w:rPr>
              <w:t xml:space="preserve">Gestión y documentación</w:t>
            </w:r>
          </w:p>
        </w:tc>
        <w:tc>
          <w:tcPr>
            <w:tcW w:w="1077"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Evidencias y despliegue</w:t>
            </w:r>
          </w:p>
        </w:tc>
        <w:tc>
          <w:tcPr>
            <w:tcW w:w="1276" w:type="dxa"/>
          </w:tcPr>
          <w:p>
            <w:pPr>
              <w:jc w:val="both"/>
              <w:rPr>
                <w:b/>
                <w:sz w:val="18"/>
                <w:szCs w:val="24"/>
              </w:rPr>
            </w:pPr>
            <w:r>
              <w:rPr>
                <w:sz w:val="18"/>
                <w:szCs w:val="24"/>
                <w:color w:val="000000"/>
              </w:rPr>
              <w:t xml:space="preserve">Plantillas, Git, manual técnico y servidor</w:t>
            </w:r>
          </w:p>
        </w:tc>
        <w:tc>
          <w:tcPr>
            <w:tcW w:w="1276" w:type="dxa"/>
          </w:tcPr>
          <w:p>
            <w:pPr>
              <w:jc w:val="both"/>
              <w:rPr>
                <w:b/>
                <w:sz w:val="18"/>
                <w:szCs w:val="24"/>
              </w:rPr>
            </w:pPr>
            <w:r>
              <w:rPr>
                <w:sz w:val="18"/>
                <w:szCs w:val="24"/>
                <w:color w:val="000000"/>
              </w:rPr>
              <w:t xml:space="preserve">Durante el desarrollo y cierre</w:t>
            </w:r>
          </w:p>
        </w:tc>
        <w:tc>
          <w:tcPr>
            <w:tcW w:w="1275"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Sebastian Mendez</w:t>
            </w:r>
          </w:p>
        </w:tc>
        <w:tc>
          <w:tcPr>
            <w:tcW w:w="1276"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Responsabilidad informada por el equipo; servidor no acreditado aquí</w:t>
            </w:r>
          </w:p>
        </w:tc>
        <w:tc>
          <w:tcPr>
            <w:tcW w:w="1418"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En curso</w:t>
            </w:r>
          </w:p>
        </w:tc>
        <w:tc>
          <w:tcPr>
            <w:tcW w:w="85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Cerrar documentos y adjuntar evidencia del ambiente de servidor.</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pPr>
              <w:jc w:val="both"/>
              <w:rPr>
                <w:rFonts w:ascii="Calibri" w:hAnsi="Calibri" w:cs="Arial"/>
                <w:i/>
                <w:iCs/>
                <w:color w:val="548DD4"/>
                <w:sz w:val="20"/>
                <w:szCs w:val="20"/>
                <w:lang w:eastAsia="es-CL"/>
              </w:rPr>
            </w:pPr>
            <w:r>
              <w:rPr>
                <w:rFonts w:ascii="Calibri" w:hAnsi="Calibri" w:cs="Arial"/>
                <w:sz w:val="20"/>
                <w:szCs w:val="20"/>
                <w:lang w:eastAsia="es-CL"/>
                <w:color w:val="000000"/>
              </w:rPr>
              <w:t xml:space="preserve">Factores que facilitaron y dificultaron el desarrollo</w:t>
            </w:r>
          </w:p>
          <w:p>
            <w:pPr>
              <w:jc w:val="both"/>
              <w:rPr>
                <w:rFonts w:ascii="Calibri" w:hAnsi="Calibri" w:cs="Arial"/>
                <w:i/>
                <w:iCs/>
                <w:color w:val="548DD4"/>
                <w:sz w:val="20"/>
                <w:szCs w:val="20"/>
                <w:lang w:eastAsia="es-CL"/>
              </w:rPr>
            </w:pPr>
            <w:r>
              <w:rPr>
                <w:rFonts w:ascii="Calibri" w:hAnsi="Calibri" w:cs="Arial"/>
                <w:sz w:val="20"/>
                <w:szCs w:val="20"/>
                <w:lang w:eastAsia="es-CL"/>
                <w:color w:val="000000"/>
              </w:rPr>
              <w:t xml:space="preserve">La separación entre interfaz y servicios permitió ajustar una funcionalidad sin rediseñar todo el sistema. La persistencia local y las cuentas ficticias facilitaron repetir demostraciones. La configuración de Google Maps y los reinicios del ambiente local produjeron dificultades de acceso. Un error al crear un polígono sin puntos provocó el fallo de la pantalla y se corrigió inicializando explícitamente su colección. Se ajustó la simulación del mapa para cubrir ese caso. Estas observaciones proceden del trabajo y de las comprobaciones del proyecto; no se atribuyen a retroalimentación docente no proporcionada.</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Actividades ajustadas</w:t>
            </w:r>
          </w:p>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La cobertura pasó de una selección por comuna a un territorio editable, para evitar coincidencias demasiado amplias. El registro de colegios incorporó dirección y coordenadas; la búsqueda añadió sugerencias y tolerancia a errores. Se creó un tutorial narrado con movimientos de cursor para facilitar la definición del área. El calendario detallado y cualquier cambio al plan originalmente aprobado deben contrastarse con el equipo antes de presentar este corte como monitoreo histórico.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Actividades pendientes</w:t>
            </w:r>
          </w:p>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Completar las evidencias individuales, consolidar las presentaciones y revisar las rúbricas que todavía no están disponibles. Verificar el despliegue con PostgreSQL en el servidor y registrar comandos, versión, configuración no secreta y resultado. Medir rendimiento y ampliar la verificación de seguridad. Estas tareas se priorizan antes de declarar una versión productiva y sin incorporar pagos o GPS como compromisos de este alcance.</w:t>
            </w:r>
          </w:p>
        </w:tc>
      </w:tr>
    </w:tbl>
    <w:p w14:paraId="23A72E3B" w14:textId="77777777" w:rsidR="0003309E" w:rsidRPr="0003309E" w:rsidRDefault="0003309E">
      <w:pPr>
        <w:rPr>
          <w:lang w:val="es-ES"/>
        </w:rPr>
      </w:pPr>
    </w:p>
    <w:p>
      <w:pPr>
        <w:pageBreakBefore/>
        <w:keepNext/>
        <w:spacing w:after="120"/>
      </w:pPr>
      <w:r>
        <w:rPr>
          <w:rFonts w:ascii="Calibri"/>
          <w:sz w:val="24"/>
          <w:color w:val="000000"/>
          <w:b/>
        </w:rPr>
        <w:t>Abstract en español</w:t>
      </w:r>
    </w:p>
    <w:p>
      <w:pPr>
        <w:spacing w:after="120"/>
      </w:pPr>
      <w:r>
        <w:rPr>
          <w:rFonts w:ascii="Calibri"/>
          <w:sz w:val="22"/>
          <w:color w:val="000000"/>
        </w:rPr>
        <w:t>FurgonApp es un prototipo web de coordinación de transporte escolar dirigido a apoderados, conductores, colegios y administradores. Permite registrar instituciones, revisar perfiles y documentación de conductores, seleccionar un punto de recogida y solicitar un servicio según cobertura y disponibilidad. La solución integra Next.js, Spring Boot, persistencia relacional y Google Maps. El flujo de cotización y aceptación controla los cupos mediante transacciones. La ampliación geográfica reemplaza la selección amplia por comuna por un territorio de recogida delimitado en el mapa. La validación disponible corresponde al entorno local; pagos, seguimiento GPS, verificación gubernamental y despliegue productivo completo quedan fuera del alcance acreditado.</w:t>
      </w:r>
    </w:p>
    <w:p>
      <w:pPr>
        <w:keepNext/>
        <w:spacing w:after="120"/>
      </w:pPr>
      <w:r>
        <w:rPr>
          <w:rFonts w:ascii="Calibri"/>
          <w:sz w:val="24"/>
          <w:color w:val="000000"/>
          <w:b/>
        </w:rPr>
        <w:t>Abstract in English</w:t>
      </w:r>
    </w:p>
    <w:p>
      <w:pPr>
        <w:spacing w:after="120"/>
      </w:pPr>
      <w:r>
        <w:rPr>
          <w:rFonts w:ascii="Calibri"/>
          <w:sz w:val="22"/>
          <w:color w:val="000000"/>
        </w:rPr>
        <w:t>FurgonApp is a web prototype for coordinating school transport among families, drivers, schools and administrators. It supports school registration, driver profile and document review, pickup selection and service requests based on coverage and available seats. The solution combines Next.js, Spring Boot, relational persistence and Google Maps. A quotation and acceptance workflow controls seat allocation through database transactions. Geographic coverage can be defined as an editable pickup territory instead of an entire municipality. Available validation covers the local environment. Payments, GPS tracking, automatic government checks and a fully verified production deployment are outside the demonstrated scope.</w:t>
      </w:r>
    </w:p>
    <w:p>
      <w:pPr>
        <w:keepNext/>
        <w:spacing w:after="120"/>
      </w:pPr>
      <w:r>
        <w:rPr>
          <w:rFonts w:ascii="Calibri"/>
          <w:sz w:val="24"/>
          <w:color w:val="000000"/>
          <w:b/>
        </w:rPr>
        <w:t>Individual conclusion Juan Pablo Fuentes Valenzuela</w:t>
      </w:r>
    </w:p>
    <w:p>
      <w:pPr>
        <w:spacing w:after="120"/>
      </w:pPr>
      <w:r>
        <w:rPr>
          <w:rFonts w:ascii="Calibri"/>
          <w:sz w:val="22"/>
          <w:color w:val="000000"/>
        </w:rPr>
        <w:t>My main contribution focuses on software implementation and integration. The project relates user roles, geographic pickup coverage and seat availability. I need to keep each requirement connected to its evidence and complete the target environment checks before presenting the prototype as production ready.</w:t>
      </w:r>
    </w:p>
    <w:p>
      <w:pPr>
        <w:keepNext/>
        <w:spacing w:after="120"/>
      </w:pPr>
      <w:r>
        <w:rPr>
          <w:rFonts w:ascii="Calibri"/>
          <w:sz w:val="24"/>
          <w:color w:val="000000"/>
          <w:b/>
        </w:rPr>
        <w:t>Individual reflection Juan Pablo Fuentes Valenzuela</w:t>
      </w:r>
    </w:p>
    <w:p>
      <w:pPr>
        <w:spacing w:after="120"/>
      </w:pPr>
      <w:r>
        <w:rPr>
          <w:rFonts w:ascii="Calibri"/>
          <w:sz w:val="22"/>
          <w:color w:val="000000"/>
        </w:rPr>
        <w:t>The map issue shows why simulated tests and real integration checks must complement each other. In the next iteration, I will keep the test environment and remaining limitations explicit and coordinate code changes with the documentation.</w:t>
      </w:r>
    </w:p>
    <w:p>
      <w:pPr>
        <w:keepNext/>
        <w:spacing w:after="120"/>
      </w:pPr>
      <w:r>
        <w:rPr>
          <w:rFonts w:ascii="Calibri"/>
          <w:sz w:val="24"/>
          <w:color w:val="000000"/>
          <w:b/>
        </w:rPr>
        <w:t>Individual conclusion Sebastian Mendez</w:t>
      </w:r>
    </w:p>
    <w:p>
      <w:pPr>
        <w:spacing w:after="120"/>
      </w:pPr>
      <w:r>
        <w:rPr>
          <w:rFonts w:ascii="Calibri"/>
          <w:sz w:val="22"/>
          <w:color w:val="000000"/>
        </w:rPr>
        <w:t>My main contribution focuses on documentation and deployment preparation. Clear installation instructions and evidence links are necessary to make the prototype reproducible. The server validation must be documented separately from the successful local demonstration.</w:t>
      </w:r>
    </w:p>
    <w:p>
      <w:pPr>
        <w:keepNext/>
        <w:spacing w:after="120"/>
      </w:pPr>
      <w:r>
        <w:rPr>
          <w:rFonts w:ascii="Calibri"/>
          <w:sz w:val="24"/>
          <w:color w:val="000000"/>
          <w:b/>
        </w:rPr>
        <w:t>Individual reflection Sebastian Mendez</w:t>
      </w:r>
    </w:p>
    <w:p>
      <w:pPr>
        <w:spacing w:after="120"/>
      </w:pPr>
      <w:r>
        <w:rPr>
          <w:rFonts w:ascii="Calibri"/>
          <w:sz w:val="22"/>
          <w:color w:val="000000"/>
        </w:rPr>
        <w:t>I need to keep the documents aligned with the released version and practise explaining the problem, solution, use case and architecture. I should distinguish an intended deployment procedure from evidence that it has succeeded.</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