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mplementation-artifact-manifest"/>
    <w:p>
      <w:pPr>
        <w:pStyle w:val="Heading1"/>
      </w:pPr>
      <w:r>
        <w:t xml:space="preserve">Implementation Artifact Manifest</w:t>
      </w:r>
    </w:p>
    <w:p>
      <w:pPr>
        <w:pStyle w:val="FirstParagraph"/>
      </w:pPr>
      <w:r>
        <w:t xml:space="preserve">This note documents the implementation inspected at</w:t>
      </w:r>
      <w:r>
        <w:t xml:space="preserve"> </w:t>
      </w:r>
      <w:r>
        <w:rPr>
          <w:rStyle w:val="VerbatimChar"/>
        </w:rPr>
        <w:t xml:space="preserve">/home/ubuntu/autonomous_agri_system/</w:t>
      </w:r>
      <w:r>
        <w:t xml:space="preserve"> </w:t>
      </w:r>
      <w:r>
        <w:t xml:space="preserve">for the Master’s thesis.</w:t>
      </w:r>
    </w:p>
    <w:bookmarkStart w:id="20" w:name="repository-composition"/>
    <w:p>
      <w:pPr>
        <w:pStyle w:val="Heading2"/>
      </w:pPr>
      <w:r>
        <w:t xml:space="preserve">Repository composition</w:t>
      </w:r>
    </w:p>
    <w:p>
      <w:pPr>
        <w:pStyle w:val="FirstParagraph"/>
      </w:pPr>
      <w:r>
        <w:t xml:space="preserve">The repository is a Python/PyTorch prototype organized into</w:t>
      </w:r>
      <w:r>
        <w:t xml:space="preserve"> </w:t>
      </w:r>
      <w:r>
        <w:rPr>
          <w:rStyle w:val="VerbatimChar"/>
        </w:rPr>
        <w:t xml:space="preserve">perception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 and notebook directories. It contains modules for multimodal BEV perception, global and hybrid local planning, an MPC-like trajectory tracker, and crop-image semantic segmentation.</w:t>
      </w:r>
    </w:p>
    <w:bookmarkEnd w:id="20"/>
    <w:bookmarkStart w:id="21" w:name="perception"/>
    <w:p>
      <w:pPr>
        <w:pStyle w:val="Heading2"/>
      </w:pPr>
      <w:r>
        <w:t xml:space="preserve">Perception</w:t>
      </w:r>
    </w:p>
    <w:p>
      <w:pPr>
        <w:pStyle w:val="FirstParagraph"/>
      </w:pPr>
      <w:r>
        <w:rPr>
          <w:rStyle w:val="VerbatimChar"/>
        </w:rPr>
        <w:t xml:space="preserve">perception/bev_transformer.py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BEVTransformer</w:t>
      </w:r>
      <w:r>
        <w:t xml:space="preserve">. It accepts RGB camera tensors</w:t>
      </w:r>
      <w:r>
        <w:t xml:space="preserve"> </w:t>
      </w:r>
      <w:r>
        <w:rPr>
          <w:rStyle w:val="VerbatimChar"/>
        </w:rPr>
        <w:t xml:space="preserve">(B,3,H,W)</w:t>
      </w:r>
      <w:r>
        <w:t xml:space="preserve"> </w:t>
      </w:r>
      <w:r>
        <w:t xml:space="preserve">and rasterized LiDAR BEV tensors</w:t>
      </w:r>
      <w:r>
        <w:t xml:space="preserve"> </w:t>
      </w:r>
      <w:r>
        <w:rPr>
          <w:rStyle w:val="VerbatimChar"/>
        </w:rPr>
        <w:t xml:space="preserve">(B,1,H,W)</w:t>
      </w:r>
      <w:r>
        <w:t xml:space="preserve">. Separate three-stage convolutional encoders map both modalities to 128-channel feature maps. The feature maps are flattened into tokens and fused using bidirectional eight-head</w:t>
      </w:r>
      <w:r>
        <w:t xml:space="preserve"> </w:t>
      </w:r>
      <w:r>
        <w:rPr>
          <w:rStyle w:val="VerbatimChar"/>
        </w:rPr>
        <w:t xml:space="preserve">MultiheadAttention</w:t>
      </w:r>
      <w:r>
        <w:t xml:space="preserve">; a LayerNorm is then applied to the average of both attended streams. A convolutional decoder produces occupancy logits, six-class semantic logits, and a confidence map, each interpolated to a 200 by 200 BEV grid, plus a six-dimensional detection output. The default perception configuration uses 2,000 synthetic samples, 256-pixel images, batch size 8, eight epochs, Adam learning rate 3e-4, and random seed 42.</w:t>
      </w:r>
    </w:p>
    <w:bookmarkEnd w:id="21"/>
    <w:bookmarkStart w:id="22" w:name="planning"/>
    <w:p>
      <w:pPr>
        <w:pStyle w:val="Heading2"/>
      </w:pPr>
      <w:r>
        <w:t xml:space="preserve">Planning</w:t>
      </w:r>
    </w:p>
    <w:p>
      <w:pPr>
        <w:pStyle w:val="FirstParagraph"/>
      </w:pPr>
      <w:r>
        <w:rPr>
          <w:rStyle w:val="VerbatimChar"/>
        </w:rPr>
        <w:t xml:space="preserve">planning/global_planner.py</w:t>
      </w:r>
      <w:r>
        <w:t xml:space="preserve"> </w:t>
      </w:r>
      <w:r>
        <w:t xml:space="preserve">supplies the global coverage component.</w:t>
      </w:r>
      <w:r>
        <w:t xml:space="preserve"> </w:t>
      </w:r>
      <w:r>
        <w:rPr>
          <w:rStyle w:val="VerbatimChar"/>
        </w:rPr>
        <w:t xml:space="preserve">planning/local_planner.py</w:t>
      </w:r>
      <w:r>
        <w:t xml:space="preserve"> </w:t>
      </w:r>
      <w:r>
        <w:t xml:space="preserve">generates a fixed lattice with 20 steps at 0.2 s, using three candidate speeds (0.8, 1.1, and 1.4) and five curvatures (-0.2 to 0.2). It scores candidates with a learned</w:t>
      </w:r>
      <w:r>
        <w:t xml:space="preserve"> </w:t>
      </w:r>
      <w:r>
        <w:rPr>
          <w:rStyle w:val="VerbatimChar"/>
        </w:rPr>
        <w:t xml:space="preserve">TrajectoryScorerNet</w:t>
      </w:r>
      <w:r>
        <w:t xml:space="preserve"> </w:t>
      </w:r>
      <w:r>
        <w:t xml:space="preserve">and a classical cost that combines terminal distance to the goal with a heading-change penalty. The weighting is</w:t>
      </w:r>
      <w:r>
        <w:t xml:space="preserve"> </w:t>
      </w:r>
      <w:r>
        <w:rPr>
          <w:rStyle w:val="VerbatimChar"/>
        </w:rPr>
        <w:t xml:space="preserve">alpha=0.65</w:t>
      </w:r>
      <w:r>
        <w:t xml:space="preserve"> </w:t>
      </w:r>
      <w:r>
        <w:t xml:space="preserve">for the learned score. All candidates are rejected if the inflated occupancy region (</w:t>
      </w:r>
      <w:r>
        <w:rPr>
          <w:rStyle w:val="VerbatimChar"/>
        </w:rPr>
        <w:t xml:space="preserve">safety_margin=2</w:t>
      </w:r>
      <w:r>
        <w:t xml:space="preserve"> </w:t>
      </w:r>
      <w:r>
        <w:t xml:space="preserve">cells) intersects an occupied cell. If none is safe, the planner returns a stationary emergency trajectory.</w:t>
      </w:r>
    </w:p>
    <w:p>
      <w:pPr>
        <w:pStyle w:val="BodyText"/>
      </w:pPr>
      <w:r>
        <w:rPr>
          <w:rStyle w:val="VerbatimChar"/>
        </w:rPr>
        <w:t xml:space="preserve">planning/mpc_controller.py</w:t>
      </w:r>
      <w:r>
        <w:t xml:space="preserve"> </w:t>
      </w:r>
      <w:r>
        <w:t xml:space="preserve">implements an educational, solver-free sampled MPC-like tracker. It uses a kinematic bicycle model with 1.2 m wheelbase, 0.1 s discretization, 12-step horizon, steering limit 0.45 rad, and acceleration limit 1.2. At each cycle it evaluates a 9 by 7 grid of fixed steering and acceleration controls, rolling each candidate through the horizon and minimizing weighted position, heading, speed, and control-effort cost.</w:t>
      </w:r>
    </w:p>
    <w:bookmarkEnd w:id="22"/>
    <w:bookmarkStart w:id="23" w:name="crop-identification"/>
    <w:p>
      <w:pPr>
        <w:pStyle w:val="Heading2"/>
      </w:pPr>
      <w:r>
        <w:t xml:space="preserve">Crop identification</w:t>
      </w:r>
    </w:p>
    <w:p>
      <w:pPr>
        <w:pStyle w:val="FirstParagraph"/>
      </w:pPr>
      <w:r>
        <w:rPr>
          <w:rStyle w:val="VerbatimChar"/>
        </w:rPr>
        <w:t xml:space="preserve">identification/deeplabv3plus.py</w:t>
      </w:r>
      <w:r>
        <w:t xml:space="preserve"> </w:t>
      </w:r>
      <w:r>
        <w:t xml:space="preserve">constructs a DeepLabV3+ semantic-segmentation model through</w:t>
      </w:r>
      <w:r>
        <w:t xml:space="preserve"> </w:t>
      </w:r>
      <w:r>
        <w:rPr>
          <w:rStyle w:val="VerbatimChar"/>
        </w:rPr>
        <w:t xml:space="preserve">segmentation_models_pytorch</w:t>
      </w:r>
      <w:r>
        <w:t xml:space="preserve">, using an ImageNet-pretrained EfficientNet-B4 encoder when available. It falls back to torchvision DeepLabV3 with ResNet-50 if the preferred dependency is unavailable.</w:t>
      </w:r>
    </w:p>
    <w:bookmarkEnd w:id="23"/>
    <w:bookmarkStart w:id="24" w:name="verification-status"/>
    <w:p>
      <w:pPr>
        <w:pStyle w:val="Heading2"/>
      </w:pPr>
      <w:r>
        <w:t xml:space="preserve">Verification status</w:t>
      </w:r>
    </w:p>
    <w:p>
      <w:pPr>
        <w:pStyle w:val="FirstParagraph"/>
      </w:pPr>
      <w:r>
        <w:t xml:space="preserve">The implementation contains unit tests for metrics, global planning, and local planning. This manifest records software inspection; it does not independently reproduce performance values or field-test claims.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2026-08-19T16:49:38Z</dcterms:created>
  <dcterms:modified xsi:type="dcterms:W3CDTF">2026-08-19T16:49:38Z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