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vistas-y-navegación"/>
    <w:p>
      <w:pPr>
        <w:pStyle w:val="Heading1"/>
      </w:pPr>
      <w:r>
        <w:t xml:space="preserve">Vistas y navegación</w:t>
      </w:r>
    </w:p>
    <w:p>
      <w:pPr>
        <w:pStyle w:val="BlockText"/>
      </w:pPr>
      <w:r>
        <w:rPr>
          <w:bCs/>
          <w:b/>
        </w:rPr>
        <w:t xml:space="preserve">Versión:</w:t>
      </w:r>
      <w:r>
        <w:t xml:space="preserve"> </w:t>
      </w:r>
      <w:r>
        <w:t xml:space="preserve">v0.2 (beta)</w:t>
      </w:r>
    </w:p>
    <w:p>
      <w:pPr>
        <w:pStyle w:val="FirstParagraph"/>
      </w:pPr>
      <w:r>
        <w:t xml:space="preserve">MindMapper ofrece dos modos de distribución —</w:t>
      </w:r>
      <w:r>
        <w:t xml:space="preserve"> </w:t>
      </w:r>
      <w:r>
        <w:rPr>
          <w:bCs/>
          <w:b/>
        </w:rPr>
        <w:t xml:space="preserve">Jerárquica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Radial</w:t>
      </w:r>
      <w:r>
        <w:t xml:space="preserve"> </w:t>
      </w:r>
      <w:r>
        <w:t xml:space="preserve">— además de controles para desplazarte y hacer zoom libremente por el lienzo.</w:t>
      </w:r>
    </w:p>
    <w:p>
      <w:r>
        <w:pict>
          <v:rect style="width:0;height:1.5pt" o:hralign="center" o:hrstd="t" o:hr="t"/>
        </w:pict>
      </w:r>
    </w:p>
    <w:bookmarkStart w:id="20" w:name="cambiar-la-distribución"/>
    <w:p>
      <w:pPr>
        <w:pStyle w:val="Heading2"/>
      </w:pPr>
      <w:r>
        <w:t xml:space="preserve">Cambiar la distribución</w:t>
      </w:r>
    </w:p>
    <w:p>
      <w:pPr>
        <w:pStyle w:val="FirstParagraph"/>
      </w:pPr>
      <w:r>
        <w:t xml:space="preserve">Usa los dos botones del centro de la barra de herramientas para cambiar entre vistas: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Botón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Jerárquica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árbol fluye de arriba hacia 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nodos se disponen en círculo alrededor de la raíz</w:t>
            </w:r>
          </w:p>
        </w:tc>
      </w:tr>
    </w:tbl>
    <w:p>
      <w:pPr>
        <w:pStyle w:val="BodyText"/>
      </w:pPr>
      <w:r>
        <w:t xml:space="preserve">[SCREENSHOT: Los dos botones de distribución resaltados en la barra de herramientas]</w:t>
      </w:r>
    </w:p>
    <w:p>
      <w:r>
        <w:pict>
          <v:rect style="width:0;height:1.5pt" o:hralign="center" o:hrstd="t" o:hr="t"/>
        </w:pict>
      </w:r>
    </w:p>
    <w:bookmarkEnd w:id="20"/>
    <w:bookmarkStart w:id="21" w:name="distribución-jerárquica-predeterminada"/>
    <w:p>
      <w:pPr>
        <w:pStyle w:val="Heading2"/>
      </w:pPr>
      <w:r>
        <w:t xml:space="preserve">Distribución jerárquica (predeterminada)</w:t>
      </w:r>
    </w:p>
    <w:p>
      <w:pPr>
        <w:pStyle w:val="FirstParagraph"/>
      </w:pPr>
      <w:r>
        <w:t xml:space="preserve">La distribución jerárquica organiza tu mapa como un árbol que fluye</w:t>
      </w:r>
      <w:r>
        <w:t xml:space="preserve"> </w:t>
      </w:r>
      <w:r>
        <w:rPr>
          <w:bCs/>
          <w:b/>
        </w:rPr>
        <w:t xml:space="preserve">de arriba hacia abajo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nodo raíz</w:t>
      </w:r>
      <w:r>
        <w:t xml:space="preserve"> </w:t>
      </w:r>
      <w:r>
        <w:t xml:space="preserve">aparece centrado en la parte superior.</w:t>
      </w:r>
    </w:p>
    <w:p>
      <w:pPr>
        <w:numPr>
          <w:ilvl w:val="0"/>
          <w:numId w:val="1001"/>
        </w:numPr>
        <w:pStyle w:val="Compact"/>
      </w:pPr>
      <w:r>
        <w:t xml:space="preserve">Los</w:t>
      </w:r>
      <w:r>
        <w:t xml:space="preserve"> </w:t>
      </w:r>
      <w:r>
        <w:rPr>
          <w:bCs/>
          <w:b/>
        </w:rPr>
        <w:t xml:space="preserve">nodos hijos</w:t>
      </w:r>
      <w:r>
        <w:t xml:space="preserve"> </w:t>
      </w:r>
      <w:r>
        <w:t xml:space="preserve">se extienden hacia abajo, nivel por nivel.</w:t>
      </w:r>
    </w:p>
    <w:p>
      <w:pPr>
        <w:numPr>
          <w:ilvl w:val="0"/>
          <w:numId w:val="1001"/>
        </w:numPr>
        <w:pStyle w:val="Compact"/>
      </w:pPr>
      <w:r>
        <w:t xml:space="preserve">Cada nivel se alinea horizontalmente, lo que facilita la lectura.</w:t>
      </w:r>
    </w:p>
    <w:p>
      <w:pPr>
        <w:pStyle w:val="FirstParagraph"/>
      </w:pPr>
      <w:r>
        <w:t xml:space="preserve">Es la distribución recomendada para esquemas, planes de proyecto y cualquier estructura con relaciones padre-hijo claras.</w:t>
      </w:r>
    </w:p>
    <w:p>
      <w:pPr>
        <w:pStyle w:val="BodyText"/>
      </w:pPr>
      <w:r>
        <w:t xml:space="preserve">[SCREENSHOT: Un mapa mental en distribución jerárquica]</w:t>
      </w:r>
    </w:p>
    <w:p>
      <w:r>
        <w:pict>
          <v:rect style="width:0;height:1.5pt" o:hralign="center" o:hrstd="t" o:hr="t"/>
        </w:pict>
      </w:r>
    </w:p>
    <w:bookmarkEnd w:id="21"/>
    <w:bookmarkStart w:id="22" w:name="distribución-radial"/>
    <w:p>
      <w:pPr>
        <w:pStyle w:val="Heading2"/>
      </w:pPr>
      <w:r>
        <w:t xml:space="preserve">Distribución radial</w:t>
      </w:r>
    </w:p>
    <w:p>
      <w:pPr>
        <w:pStyle w:val="FirstParagraph"/>
      </w:pPr>
      <w:r>
        <w:t xml:space="preserve">La distribución radial coloca el</w:t>
      </w:r>
      <w:r>
        <w:t xml:space="preserve"> </w:t>
      </w:r>
      <w:r>
        <w:rPr>
          <w:bCs/>
          <w:b/>
        </w:rPr>
        <w:t xml:space="preserve">nodo raíz en el centro</w:t>
      </w:r>
      <w:r>
        <w:t xml:space="preserve">, con ramas que se extienden hacia afuera en todas direcciones como los radios de una rueda.</w:t>
      </w:r>
    </w:p>
    <w:p>
      <w:pPr>
        <w:numPr>
          <w:ilvl w:val="0"/>
          <w:numId w:val="1002"/>
        </w:numPr>
        <w:pStyle w:val="Compact"/>
      </w:pPr>
      <w:r>
        <w:t xml:space="preserve">Ideal para</w:t>
      </w:r>
      <w:r>
        <w:t xml:space="preserve"> </w:t>
      </w:r>
      <w:r>
        <w:rPr>
          <w:bCs/>
          <w:b/>
        </w:rPr>
        <w:t xml:space="preserve">lluvia de ideas</w:t>
      </w:r>
      <w:r>
        <w:t xml:space="preserve"> </w:t>
      </w:r>
      <w:r>
        <w:t xml:space="preserve">y exploración libre de conceptos.</w:t>
      </w:r>
    </w:p>
    <w:p>
      <w:pPr>
        <w:numPr>
          <w:ilvl w:val="0"/>
          <w:numId w:val="1002"/>
        </w:numPr>
        <w:pStyle w:val="Compact"/>
      </w:pPr>
      <w:r>
        <w:t xml:space="preserve">Todas las ramas tienen el mismo peso visual.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Nota (v0.2):</w:t>
      </w:r>
      <w:r>
        <w:t xml:space="preserve"> </w:t>
      </w:r>
      <w:r>
        <w:t xml:space="preserve">La distribución radial es funcional. Se planean mejoras de espaciado visual en una versión futura.</w:t>
      </w:r>
    </w:p>
    <w:p>
      <w:pPr>
        <w:pStyle w:val="FirstParagraph"/>
      </w:pPr>
      <w:r>
        <w:t xml:space="preserve">[SCREENSHOT: Un mapa mental en distribución radial]</w:t>
      </w:r>
    </w:p>
    <w:p>
      <w:r>
        <w:pict>
          <v:rect style="width:0;height:1.5pt" o:hralign="center" o:hrstd="t" o:hr="t"/>
        </w:pict>
      </w:r>
    </w:p>
    <w:bookmarkEnd w:id="22"/>
    <w:bookmarkStart w:id="23" w:name="desplazamiento-moverse-por-el-lienzo"/>
    <w:p>
      <w:pPr>
        <w:pStyle w:val="Heading2"/>
      </w:pPr>
      <w:r>
        <w:t xml:space="preserve">Desplazamiento (moverse por el lienzo)</w:t>
      </w:r>
    </w:p>
    <w:p>
      <w:pPr>
        <w:pStyle w:val="FirstParagraph"/>
      </w:pPr>
      <w:r>
        <w:t xml:space="preserve">Para recorrer un mapa grande,</w:t>
      </w:r>
      <w:r>
        <w:t xml:space="preserve"> </w:t>
      </w:r>
      <w:r>
        <w:rPr>
          <w:bCs/>
          <w:b/>
        </w:rPr>
        <w:t xml:space="preserve">haz clic y arrastra</w:t>
      </w:r>
      <w:r>
        <w:t xml:space="preserve"> </w:t>
      </w:r>
      <w:r>
        <w:t xml:space="preserve">sobre cualquier área vacía del lienzo. Puedes moverte en cualquier dirección sin límites.</w:t>
      </w:r>
    </w:p>
    <w:p>
      <w:r>
        <w:pict>
          <v:rect style="width:0;height:1.5pt" o:hralign="center" o:hrstd="t" o:hr="t"/>
        </w:pict>
      </w:r>
    </w:p>
    <w:bookmarkEnd w:id="23"/>
    <w:bookmarkStart w:id="24" w:name="zoom"/>
    <w:p>
      <w:pPr>
        <w:pStyle w:val="Heading2"/>
      </w:pPr>
      <w:r>
        <w:t xml:space="preserve">Zoom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Atajo de teclado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Acercar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t xml:space="preserve"> </w:t>
            </w:r>
            <w:r>
              <w:t xml:space="preserve">en la barra de herramientas, o rueda del ratón hacia arriba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Alejar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</w:t>
            </w:r>
            <w:r>
              <w:t xml:space="preserve"> </w:t>
            </w:r>
            <w:r>
              <w:rPr>
                <w:bCs/>
                <w:b/>
              </w:rPr>
              <w:t xml:space="preserve">−</w:t>
            </w:r>
            <w:r>
              <w:t xml:space="preserve"> </w:t>
            </w:r>
            <w:r>
              <w:t xml:space="preserve">en la barra de herramientas, o rueda del ratón hacia 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Restablecer al 100 %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</w:t>
            </w:r>
            <w:r>
              <w:t xml:space="preserve"> </w:t>
            </w:r>
            <w:r>
              <w:rPr>
                <w:bCs/>
                <w:b/>
              </w:rPr>
              <w:t xml:space="preserve">Reset View</w:t>
            </w:r>
            <w:r>
              <w:t xml:space="preserve"> </w:t>
            </w:r>
            <w:r>
              <w:t xml:space="preserve">(esquina inferior derecha del lienzo)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Ajustar todo a la pantalla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</w:t>
            </w:r>
            <w:r>
              <w:t xml:space="preserve"> </w:t>
            </w:r>
            <w:r>
              <w:rPr>
                <w:bCs/>
                <w:b/>
              </w:rPr>
              <w:t xml:space="preserve">Fit to Screen</w:t>
            </w:r>
            <w:r>
              <w:t xml:space="preserve"> </w:t>
            </w:r>
            <w:r>
              <w:t xml:space="preserve">(esquina inferior derecha del lienzo)</w:t>
            </w:r>
          </w:p>
        </w:tc>
      </w:tr>
    </w:tbl>
    <w:p>
      <w:pPr>
        <w:pStyle w:val="BodyText"/>
      </w:pPr>
      <w:r>
        <w:t xml:space="preserve">El nivel de zoom actual se muestra como porcentaje en la barra de herramientas (entre los botones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+</w:t>
      </w:r>
      <w:r>
        <w:t xml:space="preserve">) y también en la esquina inferior derecha del lienzo.</w:t>
      </w:r>
    </w:p>
    <w:p>
      <w:pPr>
        <w:pStyle w:val="BodyText"/>
      </w:pPr>
      <w:r>
        <w:t xml:space="preserve">[SCREENSHOT: El porcentaje de zoom en la barra de herramientas y los botones de control en la esquina inferior derecha]</w:t>
      </w:r>
    </w:p>
    <w:p>
      <w:r>
        <w:pict>
          <v:rect style="width:0;height:1.5pt" o:hralign="center" o:hrstd="t" o:hr="t"/>
        </w:pict>
      </w:r>
    </w:p>
    <w:bookmarkEnd w:id="24"/>
    <w:bookmarkStart w:id="25" w:name="X36466db0f9bc155bd3aefcbff9be30a2bbc4dcd"/>
    <w:p>
      <w:pPr>
        <w:pStyle w:val="Heading2"/>
      </w:pPr>
      <w:r>
        <w:t xml:space="preserve">Controles del lienzo (esquina inferior derecha)</w:t>
      </w:r>
    </w:p>
    <w:p>
      <w:pPr>
        <w:pStyle w:val="FirstParagraph"/>
      </w:pPr>
      <w:r>
        <w:t xml:space="preserve">Dos botones de icono están siempre visibles en la esquina inferior derecha del lienzo: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botón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⤢ (Maximize2)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 to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zoom y desplaza la vista para que todos los nodos sean visibles a la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↺ (RotateCcw)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Regresa al 100 % de zoom, centrado</w:t>
            </w:r>
          </w:p>
        </w:tc>
      </w:tr>
    </w:tbl>
    <w:p>
      <w:pPr>
        <w:pStyle w:val="BodyText"/>
      </w:pPr>
      <w:r>
        <w:t xml:space="preserve">[SCREENSHOT: Los botones Fit to Screen y Reset View en la esquina inferior derecha]</w:t>
      </w:r>
    </w:p>
    <w:p>
      <w:r>
        <w:pict>
          <v:rect style="width:0;height:1.5pt" o:hralign="center" o:hrstd="t" o:hr="t"/>
        </w:pict>
      </w:r>
    </w:p>
    <w:bookmarkEnd w:id="25"/>
    <w:bookmarkStart w:id="26" w:name="modo-pantalla-completa"/>
    <w:p>
      <w:pPr>
        <w:pStyle w:val="Heading2"/>
      </w:pPr>
      <w:r>
        <w:t xml:space="preserve">Modo pantalla completa</w:t>
      </w:r>
    </w:p>
    <w:p>
      <w:pPr>
        <w:pStyle w:val="FirstParagraph"/>
      </w:pPr>
      <w:r>
        <w:t xml:space="preserve">Pulsa</w:t>
      </w:r>
      <w:r>
        <w:t xml:space="preserve"> </w:t>
      </w:r>
      <w:r>
        <w:rPr>
          <w:bCs/>
          <w:b/>
        </w:rPr>
        <w:t xml:space="preserve">F11</w:t>
      </w:r>
      <w:r>
        <w:t xml:space="preserve"> </w:t>
      </w:r>
      <w:r>
        <w:t xml:space="preserve">para activar o desactivar la pantalla completa. Esto oculta el marco de la ventana del sistema operativo y le da al mapa toda la pantalla.</w:t>
      </w:r>
    </w:p>
    <w:p>
      <w:r>
        <w:pict>
          <v:rect style="width:0;height:1.5pt" o:hralign="center" o:hrstd="t" o:hr="t"/>
        </w:pict>
      </w:r>
    </w:p>
    <w:bookmarkEnd w:id="26"/>
    <w:bookmarkStart w:id="31" w:name="consulta-también"/>
    <w:p>
      <w:pPr>
        <w:pStyle w:val="Heading2"/>
      </w:pPr>
      <w:r>
        <w:t xml:space="preserve">Consulta también</w:t>
      </w:r>
    </w:p>
    <w:p>
      <w:pPr>
        <w:numPr>
          <w:ilvl w:val="0"/>
          <w:numId w:val="1003"/>
        </w:numPr>
        <w:pStyle w:val="Compact"/>
      </w:pPr>
      <w:hyperlink r:id="rId27">
        <w:r>
          <w:rPr>
            <w:rStyle w:val="Hyperlink"/>
          </w:rPr>
          <w:t xml:space="preserve">Trabajar con nodos</w:t>
        </w:r>
      </w:hyperlink>
    </w:p>
    <w:p>
      <w:pPr>
        <w:numPr>
          <w:ilvl w:val="0"/>
          <w:numId w:val="1003"/>
        </w:numPr>
        <w:pStyle w:val="Compact"/>
      </w:pPr>
      <w:hyperlink r:id="rId28">
        <w:r>
          <w:rPr>
            <w:rStyle w:val="Hyperlink"/>
          </w:rPr>
          <w:t xml:space="preserve">Buscar en el mapa</w:t>
        </w:r>
      </w:hyperlink>
    </w:p>
    <w:p>
      <w:pPr>
        <w:numPr>
          <w:ilvl w:val="0"/>
          <w:numId w:val="1003"/>
        </w:numPr>
        <w:pStyle w:val="Compact"/>
      </w:pPr>
      <w:hyperlink r:id="rId29">
        <w:r>
          <w:rPr>
            <w:rStyle w:val="Hyperlink"/>
          </w:rPr>
          <w:t xml:space="preserve">Atajos de teclado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30">
        <w:r>
          <w:rPr>
            <w:rStyle w:val="Hyperlink"/>
            <w:iCs/>
            <w:i/>
          </w:rPr>
          <w:t xml:space="preserve">Volver al índice de documentación</w:t>
        </w:r>
      </w:hyperlink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atajos-de-teclado.md" TargetMode="External" /><Relationship Type="http://schemas.openxmlformats.org/officeDocument/2006/relationships/hyperlink" Id="rId28" Target="busqueda.md" TargetMode="External" /><Relationship Type="http://schemas.openxmlformats.org/officeDocument/2006/relationships/hyperlink" Id="rId30" Target="index.md" TargetMode="External" /><Relationship Type="http://schemas.openxmlformats.org/officeDocument/2006/relationships/hyperlink" Id="rId27" Target="nod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atajos-de-teclado.md" TargetMode="External" /><Relationship Type="http://schemas.openxmlformats.org/officeDocument/2006/relationships/hyperlink" Id="rId28" Target="busqueda.md" TargetMode="External" /><Relationship Type="http://schemas.openxmlformats.org/officeDocument/2006/relationships/hyperlink" Id="rId30" Target="index.md" TargetMode="External" /><Relationship Type="http://schemas.openxmlformats.org/officeDocument/2006/relationships/hyperlink" Id="rId27" Target="nod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2026-09-02T14:38:34Z</dcterms:created>
  <dcterms:modified xsi:type="dcterms:W3CDTF">2026-09-02T14:38:34Z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