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Documentación de Diseño</w:t>
      </w:r>
    </w:p>
    <w:p>
      <w:pPr>
        <w:pStyle w:val="Heading2"/>
      </w:pPr>
      <w:r>
        <w:t>1. Justificación de decisiones de diseño</w:t>
      </w:r>
    </w:p>
    <w:p>
      <w:r>
        <w:t>El proyecto utiliza una estética basada en tonos celestes y azules para transmitir calma, claridad y una sensación amigable. Los botones redondeados y los elementos simples favorecen la accesibilidad y una lectura limpia en dispositivos móviles. La disposición centrada de textos e inputs prioriza la comodidad del usuario y evita distracciones visuales.</w:t>
      </w:r>
    </w:p>
    <w:p>
      <w:pPr>
        <w:pStyle w:val="Heading2"/>
      </w:pPr>
      <w:r>
        <w:t>2. Paleta de colores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Uso</w:t>
            </w:r>
          </w:p>
        </w:tc>
        <w:tc>
          <w:tcPr>
            <w:tcW w:type="dxa" w:w="2880"/>
          </w:tcPr>
          <w:p>
            <w:r>
              <w:t>Color</w:t>
            </w:r>
          </w:p>
        </w:tc>
        <w:tc>
          <w:tcPr>
            <w:tcW w:type="dxa" w:w="2880"/>
          </w:tcPr>
          <w:p>
            <w:r>
              <w:t>Código</w:t>
            </w:r>
          </w:p>
        </w:tc>
      </w:tr>
      <w:tr>
        <w:tc>
          <w:tcPr>
            <w:tcW w:type="dxa" w:w="2880"/>
          </w:tcPr>
          <w:p>
            <w:r>
              <w:t>Fondo principal</w:t>
            </w:r>
          </w:p>
        </w:tc>
        <w:tc>
          <w:tcPr>
            <w:tcW w:type="dxa" w:w="2880"/>
          </w:tcPr>
          <w:p>
            <w:r>
              <w:t>Celeste claro</w:t>
            </w:r>
          </w:p>
        </w:tc>
        <w:tc>
          <w:tcPr>
            <w:tcW w:type="dxa" w:w="2880"/>
          </w:tcPr>
          <w:p>
            <w:r>
              <w:t>#B7E6FF</w:t>
            </w:r>
          </w:p>
        </w:tc>
      </w:tr>
      <w:tr>
        <w:tc>
          <w:tcPr>
            <w:tcW w:type="dxa" w:w="2880"/>
          </w:tcPr>
          <w:p>
            <w:r>
              <w:t>Botones</w:t>
            </w:r>
          </w:p>
        </w:tc>
        <w:tc>
          <w:tcPr>
            <w:tcW w:type="dxa" w:w="2880"/>
          </w:tcPr>
          <w:p>
            <w:r>
              <w:t>Azul</w:t>
            </w:r>
          </w:p>
        </w:tc>
        <w:tc>
          <w:tcPr>
            <w:tcW w:type="dxa" w:w="2880"/>
          </w:tcPr>
          <w:p>
            <w:r>
              <w:t>#2B8CCB</w:t>
            </w:r>
          </w:p>
        </w:tc>
      </w:tr>
      <w:tr>
        <w:tc>
          <w:tcPr>
            <w:tcW w:type="dxa" w:w="2880"/>
          </w:tcPr>
          <w:p>
            <w:r>
              <w:t>Texto</w:t>
            </w:r>
          </w:p>
        </w:tc>
        <w:tc>
          <w:tcPr>
            <w:tcW w:type="dxa" w:w="2880"/>
          </w:tcPr>
          <w:p>
            <w:r>
              <w:t>Negro</w:t>
            </w:r>
          </w:p>
        </w:tc>
        <w:tc>
          <w:tcPr>
            <w:tcW w:type="dxa" w:w="2880"/>
          </w:tcPr>
          <w:p>
            <w:r>
              <w:t>#000000</w:t>
            </w:r>
          </w:p>
        </w:tc>
      </w:tr>
    </w:tbl>
    <w:p>
      <w:pPr>
        <w:pStyle w:val="Heading2"/>
      </w:pPr>
      <w:r>
        <w:t>3. Tipografía</w:t>
      </w:r>
    </w:p>
    <w:p>
      <w:r>
        <w:t>Se utiliza una tipografía sans-serif moderna para garantizar claridad y legibilidad. Títulos: 24 px, Texto general: 16 px. El estilo prioriza negritas para títulos y regular para cuerpo.</w:t>
      </w:r>
    </w:p>
    <w:p>
      <w:pPr>
        <w:pStyle w:val="Heading2"/>
      </w:pPr>
      <w:r>
        <w:t>4. Componentes principales</w:t>
      </w:r>
    </w:p>
    <w:p>
      <w:r>
        <w:t>• Botones: redondeados, color azul, texto negro.</w:t>
        <w:br/>
        <w:t>• Inputs: campos simples con bordes suaves.</w:t>
        <w:br/>
        <w:t>• Tarjetas: contenedores limpios para elementos informativos.</w:t>
        <w:br/>
        <w:t>• Encabezados: ubicados en la parte superior con opciones esenciales.</w:t>
      </w:r>
    </w:p>
    <w:p>
      <w:pPr>
        <w:pStyle w:val="Heading2"/>
      </w:pPr>
      <w:r>
        <w:t>5. Wireframes o prototipos</w:t>
      </w:r>
    </w:p>
    <w:p>
      <w:r>
        <w:t>Las pantallas incluyen: inicio, registro, login y página principal. El diseño móvil se centra en mantener los elementos en formato vertical, con botones amplios y texto legible.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