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lx583rr403ru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Requerimientos Funcionales: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jrpc3btnf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Gestión de usuarios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1.1. El usuario podrá registrarse en el sistema.</w:t>
        <w:br w:type="textWrapping"/>
        <w:t xml:space="preserve">1.2. El usuario podrá ingresar al sistema con su cuenta.</w:t>
        <w:br w:type="textWrapping"/>
        <w:t xml:space="preserve">1.3. El usuario podrá eliminar su cuenta del sistema.</w:t>
        <w:br w:type="textWrapping"/>
        <w:t xml:space="preserve">1.4. El usuario podrá ver los datos asociados a su cuenta.</w:t>
        <w:br w:type="textWrapping"/>
        <w:t xml:space="preserve">1.5. El usuario podrá solicitar el restablecimiento de su contraseña.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mqu3xjpi9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Gestión de sesiones de concentración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2.1. El usuario podrá acceder a los eventos de sesiones de concentración guardados.</w:t>
        <w:br w:type="textWrapping"/>
        <w:t xml:space="preserve">2.2. El usuario podrá actualizar eventos para sesiones de concentración.</w:t>
        <w:br w:type="textWrapping"/>
        <w:t xml:space="preserve">2.3. El usuario podrá eliminar eventos para sesiones de concentración.</w:t>
        <w:br w:type="textWrapping"/>
        <w:t xml:space="preserve">2.4. El usuario podrá crear nuevos eventos para sesiones de concentración.</w:t>
        <w:br w:type="textWrapping"/>
        <w:t xml:space="preserve">2.5. El usuario podrá empezar sesiones de concentración en cualquier momento.</w:t>
        <w:br w:type="textWrapping"/>
        <w:t xml:space="preserve">2.6. El usuario podrá detener sesiones de concentración.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urednk40j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Control de audio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3.1. El usuario podrá acceder a la música disponible.</w:t>
        <w:br w:type="textWrapping"/>
        <w:t xml:space="preserve">3.2. El usuario podrá escuchar la música disponible.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0eexpofyx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Métodos de estudio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4.1. El usuario podrá acceder a los distintos métodos de estudio.</w:t>
        <w:br w:type="textWrapping"/>
        <w:t xml:space="preserve">4.2. El usuario podrá actualizar sus métodos de estudio guardados.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center"/>
        <w:rPr>
          <w:rFonts w:ascii="Aptos" w:cs="Aptos" w:eastAsia="Aptos" w:hAnsi="Aptos"/>
          <w:b w:val="1"/>
        </w:rPr>
      </w:pPr>
      <w:bookmarkStart w:colFirst="0" w:colLast="0" w:name="_ylmbhktpaa4j" w:id="5"/>
      <w:bookmarkEnd w:id="5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Requerimientos No Funcionales: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El sistema debe estar disponible 24/7.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El sistema debe garantizar la seguridad de los datos.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La interfaz debe ser intuitiva y accesible.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El sistema debe ser compatible con dispositivos móviles Android.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El sistema debe procesar datos sin afectar el rendimiento.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La interfaz debe estar optimizada para una experiencia fluida.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El sistema debe garantizar la confidencialidad cumpliendo normativas internacionales.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59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El sistema debe funcionar eficientemente con conexiones de baja velocidad.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60" w:line="259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El tiempo de carga de cada funcionalidad no debe exceder los 2 segundos, asegurando un rendimiento óptimo.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720" w:hanging="360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 El sistema debe tener flexibilidad para adaptarse a nuevas funcionalidades.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