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F7CA05">
      <w:pPr>
        <w:spacing w:after="1400"/>
      </w:pPr>
    </w:p>
    <w:p w14:paraId="0C46B204">
      <w:pPr>
        <w:spacing w:after="120"/>
        <w:jc w:val="center"/>
      </w:pPr>
      <w:r>
        <w:rPr>
          <w:rFonts w:ascii="Times New Roman" w:hAnsi="Times New Roman" w:eastAsia="Times New Roman" w:cs="Times New Roman"/>
          <w:b/>
          <w:bCs/>
          <w:sz w:val="32"/>
          <w:szCs w:val="32"/>
        </w:rPr>
        <w:t>ARQUITECTURA EMPRESARIAL DE TI</w:t>
      </w:r>
    </w:p>
    <w:p w14:paraId="6C26F66A">
      <w:pPr>
        <w:spacing w:after="900"/>
        <w:jc w:val="center"/>
      </w:pPr>
      <w:r>
        <w:rPr>
          <w:rFonts w:ascii="Times New Roman" w:hAnsi="Times New Roman" w:eastAsia="Times New Roman" w:cs="Times New Roman"/>
          <w:sz w:val="26"/>
          <w:szCs w:val="26"/>
        </w:rPr>
        <w:t>Diseño de una arquitectura de integración para la transformación digital de FinanTech</w:t>
      </w:r>
    </w:p>
    <w:p w14:paraId="04FDBC2B">
      <w:pPr>
        <w:spacing w:after="100"/>
        <w:jc w:val="center"/>
      </w:pPr>
      <w:r>
        <w:rPr>
          <w:rFonts w:ascii="Times New Roman" w:hAnsi="Times New Roman" w:eastAsia="Times New Roman" w:cs="Times New Roman"/>
          <w:b/>
          <w:bCs/>
          <w:sz w:val="24"/>
          <w:szCs w:val="24"/>
        </w:rPr>
        <w:t>Integrantes</w:t>
      </w:r>
    </w:p>
    <w:p w14:paraId="29164790">
      <w:pPr>
        <w:spacing w:after="60"/>
        <w:jc w:val="center"/>
      </w:pPr>
      <w:r>
        <w:rPr>
          <w:rFonts w:ascii="Times New Roman" w:hAnsi="Times New Roman" w:eastAsia="Times New Roman" w:cs="Times New Roman"/>
          <w:sz w:val="24"/>
          <w:szCs w:val="24"/>
        </w:rPr>
        <w:t>Juan Diego</w:t>
      </w:r>
    </w:p>
    <w:p w14:paraId="3272CD53">
      <w:pPr>
        <w:spacing w:after="60"/>
        <w:jc w:val="center"/>
      </w:pPr>
      <w:r>
        <w:rPr>
          <w:rFonts w:ascii="Times New Roman" w:hAnsi="Times New Roman" w:eastAsia="Times New Roman" w:cs="Times New Roman"/>
          <w:sz w:val="24"/>
          <w:szCs w:val="24"/>
        </w:rPr>
        <w:t>Sarah Montes</w:t>
      </w:r>
    </w:p>
    <w:p w14:paraId="39F41705">
      <w:pPr>
        <w:spacing w:after="60"/>
        <w:jc w:val="center"/>
      </w:pPr>
      <w:r>
        <w:rPr>
          <w:rFonts w:ascii="Times New Roman" w:hAnsi="Times New Roman" w:eastAsia="Times New Roman" w:cs="Times New Roman"/>
          <w:sz w:val="24"/>
          <w:szCs w:val="24"/>
        </w:rPr>
        <w:t>Brayan Parra</w:t>
      </w:r>
    </w:p>
    <w:p w14:paraId="7FC2384A">
      <w:pPr>
        <w:spacing w:after="60"/>
        <w:jc w:val="center"/>
      </w:pPr>
      <w:r>
        <w:rPr>
          <w:rFonts w:ascii="Times New Roman" w:hAnsi="Times New Roman" w:eastAsia="Times New Roman" w:cs="Times New Roman"/>
          <w:sz w:val="24"/>
          <w:szCs w:val="24"/>
        </w:rPr>
        <w:t>Ángel</w:t>
      </w:r>
    </w:p>
    <w:p w14:paraId="576362C5">
      <w:pPr>
        <w:spacing w:before="500" w:after="100"/>
        <w:jc w:val="center"/>
      </w:pPr>
      <w:r>
        <w:rPr>
          <w:rFonts w:ascii="Times New Roman" w:hAnsi="Times New Roman" w:eastAsia="Times New Roman" w:cs="Times New Roman"/>
          <w:b/>
          <w:bCs/>
          <w:sz w:val="24"/>
          <w:szCs w:val="24"/>
        </w:rPr>
        <w:t>Docente</w:t>
      </w:r>
    </w:p>
    <w:p w14:paraId="336803E8">
      <w:pPr>
        <w:spacing w:after="500"/>
        <w:jc w:val="center"/>
      </w:pPr>
      <w:r>
        <w:rPr>
          <w:rFonts w:ascii="Times New Roman" w:hAnsi="Times New Roman" w:eastAsia="Times New Roman" w:cs="Times New Roman"/>
          <w:sz w:val="24"/>
          <w:szCs w:val="24"/>
        </w:rPr>
        <w:t>Manuel de Jesús Giraldo Carriazo</w:t>
      </w:r>
    </w:p>
    <w:p w14:paraId="4BBB9D00">
      <w:pPr>
        <w:spacing w:after="60"/>
        <w:jc w:val="center"/>
      </w:pPr>
      <w:r>
        <w:rPr>
          <w:rFonts w:ascii="Times New Roman" w:hAnsi="Times New Roman" w:eastAsia="Times New Roman" w:cs="Times New Roman"/>
          <w:sz w:val="24"/>
          <w:szCs w:val="24"/>
        </w:rPr>
        <w:t>Universidad Cooperativa de Colombia</w:t>
      </w:r>
    </w:p>
    <w:p w14:paraId="0E7976C9">
      <w:pPr>
        <w:spacing w:after="60"/>
        <w:jc w:val="center"/>
      </w:pPr>
      <w:r>
        <w:rPr>
          <w:rFonts w:ascii="Times New Roman" w:hAnsi="Times New Roman" w:eastAsia="Times New Roman" w:cs="Times New Roman"/>
          <w:sz w:val="24"/>
          <w:szCs w:val="24"/>
        </w:rPr>
        <w:t>Gestión de TI Empresarial</w:t>
      </w:r>
    </w:p>
    <w:p w14:paraId="0EF736BA">
      <w:pPr>
        <w:spacing w:after="0"/>
        <w:jc w:val="center"/>
      </w:pPr>
      <w:r>
        <w:rPr>
          <w:rFonts w:ascii="Times New Roman" w:hAnsi="Times New Roman" w:eastAsia="Times New Roman" w:cs="Times New Roman"/>
          <w:sz w:val="24"/>
          <w:szCs w:val="24"/>
        </w:rPr>
        <w:t>Montería, Córdoba — 2026</w:t>
      </w:r>
    </w:p>
    <w:p w14:paraId="54DF33EB">
      <w:r>
        <w:br w:type="page"/>
      </w:r>
    </w:p>
    <w:p w14:paraId="2EFB0FD3">
      <w:pPr>
        <w:spacing w:after="340"/>
        <w:jc w:val="center"/>
      </w:pPr>
      <w:r>
        <w:rPr>
          <w:rFonts w:ascii="Times New Roman" w:hAnsi="Times New Roman" w:eastAsia="Times New Roman" w:cs="Times New Roman"/>
          <w:b/>
          <w:bCs/>
          <w:sz w:val="28"/>
          <w:szCs w:val="28"/>
        </w:rPr>
        <w:t>CONTENIDO</w:t>
      </w:r>
    </w:p>
    <w:p w14:paraId="2981EAC2">
      <w:pPr>
        <w:tabs>
          <w:tab w:val="right" w:leader="dot" w:pos="9000"/>
        </w:tabs>
        <w:spacing w:after="70" w:line="260" w:lineRule="auto"/>
        <w:ind w:left="0"/>
      </w:pPr>
      <w:r>
        <w:rPr>
          <w:rFonts w:ascii="Times New Roman" w:hAnsi="Times New Roman" w:eastAsia="Times New Roman" w:cs="Times New Roman"/>
          <w:b/>
          <w:bCs/>
          <w:sz w:val="22"/>
          <w:szCs w:val="22"/>
        </w:rPr>
        <w:t>Resumen</w:t>
      </w:r>
      <w:r>
        <w:rPr>
          <w:rFonts w:ascii="Times New Roman" w:hAnsi="Times New Roman" w:eastAsia="Times New Roman" w:cs="Times New Roman"/>
          <w:sz w:val="22"/>
          <w:szCs w:val="22"/>
        </w:rPr>
        <w:tab/>
      </w:r>
      <w:r>
        <w:rPr>
          <w:rFonts w:ascii="Times New Roman" w:hAnsi="Times New Roman" w:eastAsia="Times New Roman" w:cs="Times New Roman"/>
          <w:b/>
          <w:bCs/>
          <w:sz w:val="22"/>
          <w:szCs w:val="22"/>
        </w:rPr>
        <w:t>3</w:t>
      </w:r>
    </w:p>
    <w:p w14:paraId="6F67B1B2">
      <w:pPr>
        <w:tabs>
          <w:tab w:val="right" w:leader="dot" w:pos="9000"/>
        </w:tabs>
        <w:spacing w:after="70" w:line="260" w:lineRule="auto"/>
        <w:ind w:left="0"/>
      </w:pPr>
      <w:r>
        <w:rPr>
          <w:rFonts w:ascii="Times New Roman" w:hAnsi="Times New Roman" w:eastAsia="Times New Roman" w:cs="Times New Roman"/>
          <w:b/>
          <w:bCs/>
          <w:sz w:val="22"/>
          <w:szCs w:val="22"/>
        </w:rPr>
        <w:t>Abstract</w:t>
      </w:r>
      <w:r>
        <w:rPr>
          <w:rFonts w:ascii="Times New Roman" w:hAnsi="Times New Roman" w:eastAsia="Times New Roman" w:cs="Times New Roman"/>
          <w:sz w:val="22"/>
          <w:szCs w:val="22"/>
        </w:rPr>
        <w:tab/>
      </w:r>
      <w:r>
        <w:rPr>
          <w:rFonts w:ascii="Times New Roman" w:hAnsi="Times New Roman" w:eastAsia="Times New Roman" w:cs="Times New Roman"/>
          <w:b/>
          <w:bCs/>
          <w:sz w:val="22"/>
          <w:szCs w:val="22"/>
        </w:rPr>
        <w:t>3</w:t>
      </w:r>
    </w:p>
    <w:p w14:paraId="298081B3">
      <w:pPr>
        <w:tabs>
          <w:tab w:val="right" w:leader="dot" w:pos="9000"/>
        </w:tabs>
        <w:spacing w:after="70" w:line="260" w:lineRule="auto"/>
        <w:ind w:left="0"/>
      </w:pPr>
      <w:r>
        <w:rPr>
          <w:rFonts w:ascii="Times New Roman" w:hAnsi="Times New Roman" w:eastAsia="Times New Roman" w:cs="Times New Roman"/>
          <w:b/>
          <w:bCs/>
          <w:sz w:val="22"/>
          <w:szCs w:val="22"/>
        </w:rPr>
        <w:t>1. Introducción</w:t>
      </w:r>
      <w:r>
        <w:rPr>
          <w:rFonts w:ascii="Times New Roman" w:hAnsi="Times New Roman" w:eastAsia="Times New Roman" w:cs="Times New Roman"/>
          <w:sz w:val="22"/>
          <w:szCs w:val="22"/>
        </w:rPr>
        <w:tab/>
      </w:r>
      <w:r>
        <w:rPr>
          <w:rFonts w:ascii="Times New Roman" w:hAnsi="Times New Roman" w:eastAsia="Times New Roman" w:cs="Times New Roman"/>
          <w:b/>
          <w:bCs/>
          <w:sz w:val="22"/>
          <w:szCs w:val="22"/>
        </w:rPr>
        <w:t>4</w:t>
      </w:r>
    </w:p>
    <w:p w14:paraId="474C8BC7">
      <w:pPr>
        <w:tabs>
          <w:tab w:val="right" w:leader="dot" w:pos="9000"/>
        </w:tabs>
        <w:spacing w:after="70" w:line="260" w:lineRule="auto"/>
        <w:ind w:left="0"/>
      </w:pPr>
      <w:r>
        <w:rPr>
          <w:rFonts w:ascii="Times New Roman" w:hAnsi="Times New Roman" w:eastAsia="Times New Roman" w:cs="Times New Roman"/>
          <w:b/>
          <w:bCs/>
          <w:sz w:val="22"/>
          <w:szCs w:val="22"/>
        </w:rPr>
        <w:t>2. Marco Conceptual de la Arquitectura Empresarial</w:t>
      </w:r>
      <w:r>
        <w:rPr>
          <w:rFonts w:ascii="Times New Roman" w:hAnsi="Times New Roman" w:eastAsia="Times New Roman" w:cs="Times New Roman"/>
          <w:sz w:val="22"/>
          <w:szCs w:val="22"/>
        </w:rPr>
        <w:tab/>
      </w:r>
      <w:r>
        <w:rPr>
          <w:rFonts w:ascii="Times New Roman" w:hAnsi="Times New Roman" w:eastAsia="Times New Roman" w:cs="Times New Roman"/>
          <w:b/>
          <w:bCs/>
          <w:sz w:val="22"/>
          <w:szCs w:val="22"/>
        </w:rPr>
        <w:t>4</w:t>
      </w:r>
    </w:p>
    <w:p w14:paraId="3B6F1182">
      <w:pPr>
        <w:tabs>
          <w:tab w:val="right" w:leader="dot" w:pos="9000"/>
        </w:tabs>
        <w:spacing w:after="70" w:line="260" w:lineRule="auto"/>
        <w:ind w:left="360"/>
      </w:pPr>
      <w:r>
        <w:rPr>
          <w:rFonts w:ascii="Times New Roman" w:hAnsi="Times New Roman" w:eastAsia="Times New Roman" w:cs="Times New Roman"/>
          <w:b w:val="0"/>
          <w:bCs w:val="0"/>
          <w:sz w:val="22"/>
          <w:szCs w:val="22"/>
        </w:rPr>
        <w:t>2.1. Descripción general</w:t>
      </w:r>
      <w:r>
        <w:rPr>
          <w:rFonts w:ascii="Times New Roman" w:hAnsi="Times New Roman" w:eastAsia="Times New Roman" w:cs="Times New Roman"/>
          <w:sz w:val="22"/>
          <w:szCs w:val="22"/>
        </w:rPr>
        <w:tab/>
      </w:r>
      <w:r>
        <w:rPr>
          <w:rFonts w:ascii="Times New Roman" w:hAnsi="Times New Roman" w:eastAsia="Times New Roman" w:cs="Times New Roman"/>
          <w:b w:val="0"/>
          <w:bCs w:val="0"/>
          <w:sz w:val="22"/>
          <w:szCs w:val="22"/>
        </w:rPr>
        <w:t>4</w:t>
      </w:r>
    </w:p>
    <w:p w14:paraId="0E1EBF69">
      <w:pPr>
        <w:tabs>
          <w:tab w:val="right" w:leader="dot" w:pos="9000"/>
        </w:tabs>
        <w:spacing w:after="70" w:line="260" w:lineRule="auto"/>
        <w:ind w:left="360"/>
      </w:pPr>
      <w:r>
        <w:rPr>
          <w:rFonts w:ascii="Times New Roman" w:hAnsi="Times New Roman" w:eastAsia="Times New Roman" w:cs="Times New Roman"/>
          <w:b w:val="0"/>
          <w:bCs w:val="0"/>
          <w:sz w:val="22"/>
          <w:szCs w:val="22"/>
        </w:rPr>
        <w:t>2.2. Los cuatro dominios de la arquitectura empresarial</w:t>
      </w:r>
      <w:r>
        <w:rPr>
          <w:rFonts w:ascii="Times New Roman" w:hAnsi="Times New Roman" w:eastAsia="Times New Roman" w:cs="Times New Roman"/>
          <w:sz w:val="22"/>
          <w:szCs w:val="22"/>
        </w:rPr>
        <w:tab/>
      </w:r>
      <w:r>
        <w:rPr>
          <w:rFonts w:ascii="Times New Roman" w:hAnsi="Times New Roman" w:eastAsia="Times New Roman" w:cs="Times New Roman"/>
          <w:b w:val="0"/>
          <w:bCs w:val="0"/>
          <w:sz w:val="22"/>
          <w:szCs w:val="22"/>
        </w:rPr>
        <w:t>5</w:t>
      </w:r>
    </w:p>
    <w:p w14:paraId="4579A0BB">
      <w:pPr>
        <w:tabs>
          <w:tab w:val="right" w:leader="dot" w:pos="9000"/>
        </w:tabs>
        <w:spacing w:after="70" w:line="260" w:lineRule="auto"/>
        <w:ind w:left="360"/>
      </w:pPr>
      <w:r>
        <w:rPr>
          <w:rFonts w:ascii="Times New Roman" w:hAnsi="Times New Roman" w:eastAsia="Times New Roman" w:cs="Times New Roman"/>
          <w:b w:val="0"/>
          <w:bCs w:val="0"/>
          <w:sz w:val="22"/>
          <w:szCs w:val="22"/>
        </w:rPr>
        <w:t>2.3. Selección del framework de referencia</w:t>
      </w:r>
      <w:r>
        <w:rPr>
          <w:rFonts w:ascii="Times New Roman" w:hAnsi="Times New Roman" w:eastAsia="Times New Roman" w:cs="Times New Roman"/>
          <w:sz w:val="22"/>
          <w:szCs w:val="22"/>
        </w:rPr>
        <w:tab/>
      </w:r>
      <w:r>
        <w:rPr>
          <w:rFonts w:ascii="Times New Roman" w:hAnsi="Times New Roman" w:eastAsia="Times New Roman" w:cs="Times New Roman"/>
          <w:b w:val="0"/>
          <w:bCs w:val="0"/>
          <w:sz w:val="22"/>
          <w:szCs w:val="22"/>
        </w:rPr>
        <w:t>5</w:t>
      </w:r>
    </w:p>
    <w:p w14:paraId="4EB4D46E">
      <w:pPr>
        <w:tabs>
          <w:tab w:val="right" w:leader="dot" w:pos="9000"/>
        </w:tabs>
        <w:spacing w:after="70" w:line="260" w:lineRule="auto"/>
        <w:ind w:left="0"/>
      </w:pPr>
      <w:r>
        <w:rPr>
          <w:rFonts w:ascii="Times New Roman" w:hAnsi="Times New Roman" w:eastAsia="Times New Roman" w:cs="Times New Roman"/>
          <w:b/>
          <w:bCs/>
          <w:sz w:val="22"/>
          <w:szCs w:val="22"/>
        </w:rPr>
        <w:t>3. Situación Actual (AS-IS) y Análisis del Problema</w:t>
      </w:r>
      <w:r>
        <w:rPr>
          <w:rFonts w:ascii="Times New Roman" w:hAnsi="Times New Roman" w:eastAsia="Times New Roman" w:cs="Times New Roman"/>
          <w:sz w:val="22"/>
          <w:szCs w:val="22"/>
        </w:rPr>
        <w:tab/>
      </w:r>
      <w:r>
        <w:rPr>
          <w:rFonts w:ascii="Times New Roman" w:hAnsi="Times New Roman" w:eastAsia="Times New Roman" w:cs="Times New Roman"/>
          <w:b/>
          <w:bCs/>
          <w:sz w:val="22"/>
          <w:szCs w:val="22"/>
        </w:rPr>
        <w:t>7</w:t>
      </w:r>
    </w:p>
    <w:p w14:paraId="2BADEEAA">
      <w:pPr>
        <w:tabs>
          <w:tab w:val="right" w:leader="dot" w:pos="9000"/>
        </w:tabs>
        <w:spacing w:after="70" w:line="260" w:lineRule="auto"/>
        <w:ind w:left="360"/>
      </w:pPr>
      <w:r>
        <w:rPr>
          <w:rFonts w:ascii="Times New Roman" w:hAnsi="Times New Roman" w:eastAsia="Times New Roman" w:cs="Times New Roman"/>
          <w:b w:val="0"/>
          <w:bCs w:val="0"/>
          <w:sz w:val="22"/>
          <w:szCs w:val="22"/>
        </w:rPr>
        <w:t>3.1. Descripción de la empresa</w:t>
      </w:r>
      <w:r>
        <w:rPr>
          <w:rFonts w:ascii="Times New Roman" w:hAnsi="Times New Roman" w:eastAsia="Times New Roman" w:cs="Times New Roman"/>
          <w:sz w:val="22"/>
          <w:szCs w:val="22"/>
        </w:rPr>
        <w:tab/>
      </w:r>
      <w:r>
        <w:rPr>
          <w:rFonts w:ascii="Times New Roman" w:hAnsi="Times New Roman" w:eastAsia="Times New Roman" w:cs="Times New Roman"/>
          <w:b w:val="0"/>
          <w:bCs w:val="0"/>
          <w:sz w:val="22"/>
          <w:szCs w:val="22"/>
        </w:rPr>
        <w:t>7</w:t>
      </w:r>
    </w:p>
    <w:p w14:paraId="0CA342DD">
      <w:pPr>
        <w:tabs>
          <w:tab w:val="right" w:leader="dot" w:pos="9000"/>
        </w:tabs>
        <w:spacing w:after="70" w:line="260" w:lineRule="auto"/>
        <w:ind w:left="360"/>
      </w:pPr>
      <w:r>
        <w:rPr>
          <w:rFonts w:ascii="Times New Roman" w:hAnsi="Times New Roman" w:eastAsia="Times New Roman" w:cs="Times New Roman"/>
          <w:b w:val="0"/>
          <w:bCs w:val="0"/>
          <w:sz w:val="22"/>
          <w:szCs w:val="22"/>
        </w:rPr>
        <w:t>3.2. Sistemas en operación</w:t>
      </w:r>
      <w:r>
        <w:rPr>
          <w:rFonts w:ascii="Times New Roman" w:hAnsi="Times New Roman" w:eastAsia="Times New Roman" w:cs="Times New Roman"/>
          <w:sz w:val="22"/>
          <w:szCs w:val="22"/>
        </w:rPr>
        <w:tab/>
      </w:r>
      <w:r>
        <w:rPr>
          <w:rFonts w:ascii="Times New Roman" w:hAnsi="Times New Roman" w:eastAsia="Times New Roman" w:cs="Times New Roman"/>
          <w:b w:val="0"/>
          <w:bCs w:val="0"/>
          <w:sz w:val="22"/>
          <w:szCs w:val="22"/>
        </w:rPr>
        <w:t>8</w:t>
      </w:r>
    </w:p>
    <w:p w14:paraId="1DD6146B">
      <w:pPr>
        <w:tabs>
          <w:tab w:val="right" w:leader="dot" w:pos="9000"/>
        </w:tabs>
        <w:spacing w:after="70" w:line="260" w:lineRule="auto"/>
        <w:ind w:left="360"/>
      </w:pPr>
      <w:r>
        <w:rPr>
          <w:rFonts w:ascii="Times New Roman" w:hAnsi="Times New Roman" w:eastAsia="Times New Roman" w:cs="Times New Roman"/>
          <w:b w:val="0"/>
          <w:bCs w:val="0"/>
          <w:sz w:val="22"/>
          <w:szCs w:val="22"/>
        </w:rPr>
        <w:t>3.3. Análisis de causa raíz</w:t>
      </w:r>
      <w:r>
        <w:rPr>
          <w:rFonts w:ascii="Times New Roman" w:hAnsi="Times New Roman" w:eastAsia="Times New Roman" w:cs="Times New Roman"/>
          <w:sz w:val="22"/>
          <w:szCs w:val="22"/>
        </w:rPr>
        <w:tab/>
      </w:r>
      <w:r>
        <w:rPr>
          <w:rFonts w:ascii="Times New Roman" w:hAnsi="Times New Roman" w:eastAsia="Times New Roman" w:cs="Times New Roman"/>
          <w:b w:val="0"/>
          <w:bCs w:val="0"/>
          <w:sz w:val="22"/>
          <w:szCs w:val="22"/>
        </w:rPr>
        <w:t>8</w:t>
      </w:r>
    </w:p>
    <w:p w14:paraId="2AD070FA">
      <w:pPr>
        <w:tabs>
          <w:tab w:val="right" w:leader="dot" w:pos="9000"/>
        </w:tabs>
        <w:spacing w:after="70" w:line="260" w:lineRule="auto"/>
        <w:ind w:left="360"/>
      </w:pPr>
      <w:r>
        <w:rPr>
          <w:rFonts w:ascii="Times New Roman" w:hAnsi="Times New Roman" w:eastAsia="Times New Roman" w:cs="Times New Roman"/>
          <w:b w:val="0"/>
          <w:bCs w:val="0"/>
          <w:sz w:val="22"/>
          <w:szCs w:val="22"/>
        </w:rPr>
        <w:t>3.4. Objetivos</w:t>
      </w:r>
      <w:r>
        <w:rPr>
          <w:rFonts w:ascii="Times New Roman" w:hAnsi="Times New Roman" w:eastAsia="Times New Roman" w:cs="Times New Roman"/>
          <w:sz w:val="22"/>
          <w:szCs w:val="22"/>
        </w:rPr>
        <w:tab/>
      </w:r>
      <w:r>
        <w:rPr>
          <w:rFonts w:ascii="Times New Roman" w:hAnsi="Times New Roman" w:eastAsia="Times New Roman" w:cs="Times New Roman"/>
          <w:b w:val="0"/>
          <w:bCs w:val="0"/>
          <w:sz w:val="22"/>
          <w:szCs w:val="22"/>
        </w:rPr>
        <w:t>9</w:t>
      </w:r>
    </w:p>
    <w:p w14:paraId="0CC5FFE5">
      <w:pPr>
        <w:tabs>
          <w:tab w:val="right" w:leader="dot" w:pos="9000"/>
        </w:tabs>
        <w:spacing w:after="70" w:line="260" w:lineRule="auto"/>
        <w:ind w:left="0"/>
      </w:pPr>
      <w:r>
        <w:rPr>
          <w:rFonts w:ascii="Times New Roman" w:hAnsi="Times New Roman" w:eastAsia="Times New Roman" w:cs="Times New Roman"/>
          <w:b/>
          <w:bCs/>
          <w:sz w:val="22"/>
          <w:szCs w:val="22"/>
        </w:rPr>
        <w:t>4. Arquitectura Propuesta (TO-BE)</w:t>
      </w:r>
      <w:r>
        <w:rPr>
          <w:rFonts w:ascii="Times New Roman" w:hAnsi="Times New Roman" w:eastAsia="Times New Roman" w:cs="Times New Roman"/>
          <w:sz w:val="22"/>
          <w:szCs w:val="22"/>
        </w:rPr>
        <w:tab/>
      </w:r>
      <w:r>
        <w:rPr>
          <w:rFonts w:ascii="Times New Roman" w:hAnsi="Times New Roman" w:eastAsia="Times New Roman" w:cs="Times New Roman"/>
          <w:b/>
          <w:bCs/>
          <w:sz w:val="22"/>
          <w:szCs w:val="22"/>
        </w:rPr>
        <w:t>10</w:t>
      </w:r>
    </w:p>
    <w:p w14:paraId="58BCAF87">
      <w:pPr>
        <w:tabs>
          <w:tab w:val="right" w:leader="dot" w:pos="9000"/>
        </w:tabs>
        <w:spacing w:after="70" w:line="260" w:lineRule="auto"/>
        <w:ind w:left="360"/>
      </w:pPr>
      <w:r>
        <w:rPr>
          <w:rFonts w:ascii="Times New Roman" w:hAnsi="Times New Roman" w:eastAsia="Times New Roman" w:cs="Times New Roman"/>
          <w:b w:val="0"/>
          <w:bCs w:val="0"/>
          <w:sz w:val="22"/>
          <w:szCs w:val="22"/>
        </w:rPr>
        <w:t>4.1. Principios arquitectónicos</w:t>
      </w:r>
      <w:r>
        <w:rPr>
          <w:rFonts w:ascii="Times New Roman" w:hAnsi="Times New Roman" w:eastAsia="Times New Roman" w:cs="Times New Roman"/>
          <w:sz w:val="22"/>
          <w:szCs w:val="22"/>
        </w:rPr>
        <w:tab/>
      </w:r>
      <w:r>
        <w:rPr>
          <w:rFonts w:ascii="Times New Roman" w:hAnsi="Times New Roman" w:eastAsia="Times New Roman" w:cs="Times New Roman"/>
          <w:b w:val="0"/>
          <w:bCs w:val="0"/>
          <w:sz w:val="22"/>
          <w:szCs w:val="22"/>
        </w:rPr>
        <w:t>10</w:t>
      </w:r>
    </w:p>
    <w:p w14:paraId="64170C36">
      <w:pPr>
        <w:tabs>
          <w:tab w:val="right" w:leader="dot" w:pos="9000"/>
        </w:tabs>
        <w:spacing w:after="70" w:line="260" w:lineRule="auto"/>
        <w:ind w:left="360"/>
      </w:pPr>
      <w:r>
        <w:rPr>
          <w:rFonts w:ascii="Times New Roman" w:hAnsi="Times New Roman" w:eastAsia="Times New Roman" w:cs="Times New Roman"/>
          <w:b w:val="0"/>
          <w:bCs w:val="0"/>
          <w:sz w:val="22"/>
          <w:szCs w:val="22"/>
        </w:rPr>
        <w:t>4.2. Visión general de las capas</w:t>
      </w:r>
      <w:r>
        <w:rPr>
          <w:rFonts w:ascii="Times New Roman" w:hAnsi="Times New Roman" w:eastAsia="Times New Roman" w:cs="Times New Roman"/>
          <w:sz w:val="22"/>
          <w:szCs w:val="22"/>
        </w:rPr>
        <w:tab/>
      </w:r>
      <w:r>
        <w:rPr>
          <w:rFonts w:ascii="Times New Roman" w:hAnsi="Times New Roman" w:eastAsia="Times New Roman" w:cs="Times New Roman"/>
          <w:b w:val="0"/>
          <w:bCs w:val="0"/>
          <w:sz w:val="22"/>
          <w:szCs w:val="22"/>
        </w:rPr>
        <w:t>10</w:t>
      </w:r>
    </w:p>
    <w:p w14:paraId="30E62DC6">
      <w:pPr>
        <w:tabs>
          <w:tab w:val="right" w:leader="dot" w:pos="9000"/>
        </w:tabs>
        <w:spacing w:after="70" w:line="260" w:lineRule="auto"/>
        <w:ind w:left="360"/>
      </w:pPr>
      <w:r>
        <w:rPr>
          <w:rFonts w:ascii="Times New Roman" w:hAnsi="Times New Roman" w:eastAsia="Times New Roman" w:cs="Times New Roman"/>
          <w:b w:val="0"/>
          <w:bCs w:val="0"/>
          <w:sz w:val="22"/>
          <w:szCs w:val="22"/>
        </w:rPr>
        <w:t>4.3. Funcionamiento de las capas</w:t>
      </w:r>
      <w:r>
        <w:rPr>
          <w:rFonts w:ascii="Times New Roman" w:hAnsi="Times New Roman" w:eastAsia="Times New Roman" w:cs="Times New Roman"/>
          <w:sz w:val="22"/>
          <w:szCs w:val="22"/>
        </w:rPr>
        <w:tab/>
      </w:r>
      <w:r>
        <w:rPr>
          <w:rFonts w:ascii="Times New Roman" w:hAnsi="Times New Roman" w:eastAsia="Times New Roman" w:cs="Times New Roman"/>
          <w:b w:val="0"/>
          <w:bCs w:val="0"/>
          <w:sz w:val="22"/>
          <w:szCs w:val="22"/>
        </w:rPr>
        <w:t>11</w:t>
      </w:r>
    </w:p>
    <w:p w14:paraId="21CBE0EB">
      <w:pPr>
        <w:tabs>
          <w:tab w:val="right" w:leader="dot" w:pos="9000"/>
        </w:tabs>
        <w:spacing w:after="70" w:line="260" w:lineRule="auto"/>
        <w:ind w:left="0"/>
      </w:pPr>
      <w:r>
        <w:rPr>
          <w:rFonts w:ascii="Times New Roman" w:hAnsi="Times New Roman" w:eastAsia="Times New Roman" w:cs="Times New Roman"/>
          <w:b/>
          <w:bCs/>
          <w:sz w:val="22"/>
          <w:szCs w:val="22"/>
        </w:rPr>
        <w:t>5. Desarrollo de la Propuesta por Dominios de Arquitectura</w:t>
      </w:r>
      <w:r>
        <w:rPr>
          <w:rFonts w:ascii="Times New Roman" w:hAnsi="Times New Roman" w:eastAsia="Times New Roman" w:cs="Times New Roman"/>
          <w:sz w:val="22"/>
          <w:szCs w:val="22"/>
        </w:rPr>
        <w:tab/>
      </w:r>
      <w:r>
        <w:rPr>
          <w:rFonts w:ascii="Times New Roman" w:hAnsi="Times New Roman" w:eastAsia="Times New Roman" w:cs="Times New Roman"/>
          <w:b/>
          <w:bCs/>
          <w:sz w:val="22"/>
          <w:szCs w:val="22"/>
        </w:rPr>
        <w:t>13</w:t>
      </w:r>
    </w:p>
    <w:p w14:paraId="66226A7C">
      <w:pPr>
        <w:tabs>
          <w:tab w:val="right" w:leader="dot" w:pos="9000"/>
        </w:tabs>
        <w:spacing w:after="70" w:line="260" w:lineRule="auto"/>
        <w:ind w:left="360"/>
      </w:pPr>
      <w:r>
        <w:rPr>
          <w:rFonts w:ascii="Times New Roman" w:hAnsi="Times New Roman" w:eastAsia="Times New Roman" w:cs="Times New Roman"/>
          <w:b w:val="0"/>
          <w:bCs w:val="0"/>
          <w:sz w:val="22"/>
          <w:szCs w:val="22"/>
        </w:rPr>
        <w:t>5.1. Arquitectura de Negocio</w:t>
      </w:r>
      <w:r>
        <w:rPr>
          <w:rFonts w:ascii="Times New Roman" w:hAnsi="Times New Roman" w:eastAsia="Times New Roman" w:cs="Times New Roman"/>
          <w:sz w:val="22"/>
          <w:szCs w:val="22"/>
        </w:rPr>
        <w:tab/>
      </w:r>
      <w:r>
        <w:rPr>
          <w:rFonts w:ascii="Times New Roman" w:hAnsi="Times New Roman" w:eastAsia="Times New Roman" w:cs="Times New Roman"/>
          <w:b w:val="0"/>
          <w:bCs w:val="0"/>
          <w:sz w:val="22"/>
          <w:szCs w:val="22"/>
        </w:rPr>
        <w:t>13</w:t>
      </w:r>
    </w:p>
    <w:p w14:paraId="7B7DFBDA">
      <w:pPr>
        <w:tabs>
          <w:tab w:val="right" w:leader="dot" w:pos="9000"/>
        </w:tabs>
        <w:spacing w:after="70" w:line="260" w:lineRule="auto"/>
        <w:ind w:left="360"/>
      </w:pPr>
      <w:r>
        <w:rPr>
          <w:rFonts w:ascii="Times New Roman" w:hAnsi="Times New Roman" w:eastAsia="Times New Roman" w:cs="Times New Roman"/>
          <w:b w:val="0"/>
          <w:bCs w:val="0"/>
          <w:sz w:val="22"/>
          <w:szCs w:val="22"/>
        </w:rPr>
        <w:t>5.2. Arquitectura de Datos</w:t>
      </w:r>
      <w:r>
        <w:rPr>
          <w:rFonts w:ascii="Times New Roman" w:hAnsi="Times New Roman" w:eastAsia="Times New Roman" w:cs="Times New Roman"/>
          <w:sz w:val="22"/>
          <w:szCs w:val="22"/>
        </w:rPr>
        <w:tab/>
      </w:r>
      <w:r>
        <w:rPr>
          <w:rFonts w:ascii="Times New Roman" w:hAnsi="Times New Roman" w:eastAsia="Times New Roman" w:cs="Times New Roman"/>
          <w:b w:val="0"/>
          <w:bCs w:val="0"/>
          <w:sz w:val="22"/>
          <w:szCs w:val="22"/>
        </w:rPr>
        <w:t>13</w:t>
      </w:r>
    </w:p>
    <w:p w14:paraId="4ED09816">
      <w:pPr>
        <w:tabs>
          <w:tab w:val="right" w:leader="dot" w:pos="9000"/>
        </w:tabs>
        <w:spacing w:after="70" w:line="260" w:lineRule="auto"/>
        <w:ind w:left="360"/>
      </w:pPr>
      <w:r>
        <w:rPr>
          <w:rFonts w:ascii="Times New Roman" w:hAnsi="Times New Roman" w:eastAsia="Times New Roman" w:cs="Times New Roman"/>
          <w:b w:val="0"/>
          <w:bCs w:val="0"/>
          <w:sz w:val="22"/>
          <w:szCs w:val="22"/>
        </w:rPr>
        <w:t>5.3. Arquitectura de Aplicación</w:t>
      </w:r>
      <w:r>
        <w:rPr>
          <w:rFonts w:ascii="Times New Roman" w:hAnsi="Times New Roman" w:eastAsia="Times New Roman" w:cs="Times New Roman"/>
          <w:sz w:val="22"/>
          <w:szCs w:val="22"/>
        </w:rPr>
        <w:tab/>
      </w:r>
      <w:r>
        <w:rPr>
          <w:rFonts w:ascii="Times New Roman" w:hAnsi="Times New Roman" w:eastAsia="Times New Roman" w:cs="Times New Roman"/>
          <w:b w:val="0"/>
          <w:bCs w:val="0"/>
          <w:sz w:val="22"/>
          <w:szCs w:val="22"/>
        </w:rPr>
        <w:t>14</w:t>
      </w:r>
    </w:p>
    <w:p w14:paraId="75D393EA">
      <w:pPr>
        <w:tabs>
          <w:tab w:val="right" w:leader="dot" w:pos="9000"/>
        </w:tabs>
        <w:spacing w:after="70" w:line="260" w:lineRule="auto"/>
        <w:ind w:left="360"/>
      </w:pPr>
      <w:r>
        <w:rPr>
          <w:rFonts w:ascii="Times New Roman" w:hAnsi="Times New Roman" w:eastAsia="Times New Roman" w:cs="Times New Roman"/>
          <w:b w:val="0"/>
          <w:bCs w:val="0"/>
          <w:sz w:val="22"/>
          <w:szCs w:val="22"/>
        </w:rPr>
        <w:t>5.4. Arquitectura Tecnológica</w:t>
      </w:r>
      <w:r>
        <w:rPr>
          <w:rFonts w:ascii="Times New Roman" w:hAnsi="Times New Roman" w:eastAsia="Times New Roman" w:cs="Times New Roman"/>
          <w:sz w:val="22"/>
          <w:szCs w:val="22"/>
        </w:rPr>
        <w:tab/>
      </w:r>
      <w:r>
        <w:rPr>
          <w:rFonts w:ascii="Times New Roman" w:hAnsi="Times New Roman" w:eastAsia="Times New Roman" w:cs="Times New Roman"/>
          <w:b w:val="0"/>
          <w:bCs w:val="0"/>
          <w:sz w:val="22"/>
          <w:szCs w:val="22"/>
        </w:rPr>
        <w:t>14</w:t>
      </w:r>
    </w:p>
    <w:p w14:paraId="59FEFBB1">
      <w:pPr>
        <w:tabs>
          <w:tab w:val="right" w:leader="dot" w:pos="9000"/>
        </w:tabs>
        <w:spacing w:after="70" w:line="260" w:lineRule="auto"/>
        <w:ind w:left="0"/>
      </w:pPr>
      <w:r>
        <w:rPr>
          <w:rFonts w:ascii="Times New Roman" w:hAnsi="Times New Roman" w:eastAsia="Times New Roman" w:cs="Times New Roman"/>
          <w:b/>
          <w:bCs/>
          <w:sz w:val="22"/>
          <w:szCs w:val="22"/>
        </w:rPr>
        <w:t>6. Ciberseguridad e Identidad Digital</w:t>
      </w:r>
      <w:r>
        <w:rPr>
          <w:rFonts w:ascii="Times New Roman" w:hAnsi="Times New Roman" w:eastAsia="Times New Roman" w:cs="Times New Roman"/>
          <w:sz w:val="22"/>
          <w:szCs w:val="22"/>
        </w:rPr>
        <w:tab/>
      </w:r>
      <w:r>
        <w:rPr>
          <w:rFonts w:ascii="Times New Roman" w:hAnsi="Times New Roman" w:eastAsia="Times New Roman" w:cs="Times New Roman"/>
          <w:b/>
          <w:bCs/>
          <w:sz w:val="22"/>
          <w:szCs w:val="22"/>
        </w:rPr>
        <w:t>15</w:t>
      </w:r>
    </w:p>
    <w:p w14:paraId="0AB964CC">
      <w:pPr>
        <w:tabs>
          <w:tab w:val="right" w:leader="dot" w:pos="9000"/>
        </w:tabs>
        <w:spacing w:after="70" w:line="260" w:lineRule="auto"/>
        <w:ind w:left="360"/>
      </w:pPr>
      <w:r>
        <w:rPr>
          <w:rFonts w:ascii="Times New Roman" w:hAnsi="Times New Roman" w:eastAsia="Times New Roman" w:cs="Times New Roman"/>
          <w:b w:val="0"/>
          <w:bCs w:val="0"/>
          <w:sz w:val="22"/>
          <w:szCs w:val="22"/>
        </w:rPr>
        <w:t>6.1. Identidad digital</w:t>
      </w:r>
      <w:r>
        <w:rPr>
          <w:rFonts w:ascii="Times New Roman" w:hAnsi="Times New Roman" w:eastAsia="Times New Roman" w:cs="Times New Roman"/>
          <w:sz w:val="22"/>
          <w:szCs w:val="22"/>
        </w:rPr>
        <w:tab/>
      </w:r>
      <w:r>
        <w:rPr>
          <w:rFonts w:ascii="Times New Roman" w:hAnsi="Times New Roman" w:eastAsia="Times New Roman" w:cs="Times New Roman"/>
          <w:b w:val="0"/>
          <w:bCs w:val="0"/>
          <w:sz w:val="22"/>
          <w:szCs w:val="22"/>
        </w:rPr>
        <w:t>15</w:t>
      </w:r>
    </w:p>
    <w:p w14:paraId="7FF2B538">
      <w:pPr>
        <w:tabs>
          <w:tab w:val="right" w:leader="dot" w:pos="9000"/>
        </w:tabs>
        <w:spacing w:after="70" w:line="260" w:lineRule="auto"/>
        <w:ind w:left="360"/>
      </w:pPr>
      <w:r>
        <w:rPr>
          <w:rFonts w:ascii="Times New Roman" w:hAnsi="Times New Roman" w:eastAsia="Times New Roman" w:cs="Times New Roman"/>
          <w:b w:val="0"/>
          <w:bCs w:val="0"/>
          <w:sz w:val="22"/>
          <w:szCs w:val="22"/>
        </w:rPr>
        <w:t>6.2. Ciberseguridad</w:t>
      </w:r>
      <w:r>
        <w:rPr>
          <w:rFonts w:ascii="Times New Roman" w:hAnsi="Times New Roman" w:eastAsia="Times New Roman" w:cs="Times New Roman"/>
          <w:sz w:val="22"/>
          <w:szCs w:val="22"/>
        </w:rPr>
        <w:tab/>
      </w:r>
      <w:r>
        <w:rPr>
          <w:rFonts w:ascii="Times New Roman" w:hAnsi="Times New Roman" w:eastAsia="Times New Roman" w:cs="Times New Roman"/>
          <w:b w:val="0"/>
          <w:bCs w:val="0"/>
          <w:sz w:val="22"/>
          <w:szCs w:val="22"/>
        </w:rPr>
        <w:t>15</w:t>
      </w:r>
    </w:p>
    <w:p w14:paraId="2F2F989D">
      <w:pPr>
        <w:tabs>
          <w:tab w:val="right" w:leader="dot" w:pos="9000"/>
        </w:tabs>
        <w:spacing w:after="70" w:line="260" w:lineRule="auto"/>
        <w:ind w:left="360"/>
      </w:pPr>
      <w:r>
        <w:rPr>
          <w:rFonts w:ascii="Times New Roman" w:hAnsi="Times New Roman" w:eastAsia="Times New Roman" w:cs="Times New Roman"/>
          <w:b w:val="0"/>
          <w:bCs w:val="0"/>
          <w:sz w:val="22"/>
          <w:szCs w:val="22"/>
        </w:rPr>
        <w:t>6.3. Marco normativo aplicable</w:t>
      </w:r>
      <w:r>
        <w:rPr>
          <w:rFonts w:ascii="Times New Roman" w:hAnsi="Times New Roman" w:eastAsia="Times New Roman" w:cs="Times New Roman"/>
          <w:sz w:val="22"/>
          <w:szCs w:val="22"/>
        </w:rPr>
        <w:tab/>
      </w:r>
      <w:r>
        <w:rPr>
          <w:rFonts w:ascii="Times New Roman" w:hAnsi="Times New Roman" w:eastAsia="Times New Roman" w:cs="Times New Roman"/>
          <w:b w:val="0"/>
          <w:bCs w:val="0"/>
          <w:sz w:val="22"/>
          <w:szCs w:val="22"/>
        </w:rPr>
        <w:t>16</w:t>
      </w:r>
    </w:p>
    <w:p w14:paraId="34B4C3C9">
      <w:pPr>
        <w:tabs>
          <w:tab w:val="right" w:leader="dot" w:pos="9000"/>
        </w:tabs>
        <w:spacing w:after="70" w:line="260" w:lineRule="auto"/>
        <w:ind w:left="0"/>
      </w:pPr>
      <w:r>
        <w:rPr>
          <w:rFonts w:ascii="Times New Roman" w:hAnsi="Times New Roman" w:eastAsia="Times New Roman" w:cs="Times New Roman"/>
          <w:b/>
          <w:bCs/>
          <w:sz w:val="22"/>
          <w:szCs w:val="22"/>
        </w:rPr>
        <w:t>7. Flujo Integral del Proceso de Crédito</w:t>
      </w:r>
      <w:r>
        <w:rPr>
          <w:rFonts w:ascii="Times New Roman" w:hAnsi="Times New Roman" w:eastAsia="Times New Roman" w:cs="Times New Roman"/>
          <w:sz w:val="22"/>
          <w:szCs w:val="22"/>
        </w:rPr>
        <w:tab/>
      </w:r>
      <w:r>
        <w:rPr>
          <w:rFonts w:ascii="Times New Roman" w:hAnsi="Times New Roman" w:eastAsia="Times New Roman" w:cs="Times New Roman"/>
          <w:b/>
          <w:bCs/>
          <w:sz w:val="22"/>
          <w:szCs w:val="22"/>
        </w:rPr>
        <w:t>16</w:t>
      </w:r>
    </w:p>
    <w:p w14:paraId="66342DC6">
      <w:pPr>
        <w:tabs>
          <w:tab w:val="right" w:leader="dot" w:pos="9000"/>
        </w:tabs>
        <w:spacing w:after="70" w:line="260" w:lineRule="auto"/>
        <w:ind w:left="0"/>
      </w:pPr>
      <w:r>
        <w:rPr>
          <w:rFonts w:ascii="Times New Roman" w:hAnsi="Times New Roman" w:eastAsia="Times New Roman" w:cs="Times New Roman"/>
          <w:b/>
          <w:bCs/>
          <w:sz w:val="22"/>
          <w:szCs w:val="22"/>
        </w:rPr>
        <w:t>8. Hoja de Ruta de Implementación</w:t>
      </w:r>
      <w:r>
        <w:rPr>
          <w:rFonts w:ascii="Times New Roman" w:hAnsi="Times New Roman" w:eastAsia="Times New Roman" w:cs="Times New Roman"/>
          <w:sz w:val="22"/>
          <w:szCs w:val="22"/>
        </w:rPr>
        <w:tab/>
      </w:r>
      <w:r>
        <w:rPr>
          <w:rFonts w:ascii="Times New Roman" w:hAnsi="Times New Roman" w:eastAsia="Times New Roman" w:cs="Times New Roman"/>
          <w:b/>
          <w:bCs/>
          <w:sz w:val="22"/>
          <w:szCs w:val="22"/>
        </w:rPr>
        <w:t>17</w:t>
      </w:r>
    </w:p>
    <w:p w14:paraId="4002AA00">
      <w:pPr>
        <w:tabs>
          <w:tab w:val="right" w:leader="dot" w:pos="9000"/>
        </w:tabs>
        <w:spacing w:after="70" w:line="260" w:lineRule="auto"/>
        <w:ind w:left="0"/>
      </w:pPr>
      <w:r>
        <w:rPr>
          <w:rFonts w:ascii="Times New Roman" w:hAnsi="Times New Roman" w:eastAsia="Times New Roman" w:cs="Times New Roman"/>
          <w:b/>
          <w:bCs/>
          <w:sz w:val="22"/>
          <w:szCs w:val="22"/>
        </w:rPr>
        <w:t>9. Análisis de la Priorización entre Seguridad, Velocidad, Costo y Experiencia del Cliente</w:t>
      </w:r>
      <w:r>
        <w:rPr>
          <w:rFonts w:ascii="Times New Roman" w:hAnsi="Times New Roman" w:eastAsia="Times New Roman" w:cs="Times New Roman"/>
          <w:sz w:val="22"/>
          <w:szCs w:val="22"/>
        </w:rPr>
        <w:tab/>
      </w:r>
      <w:r>
        <w:rPr>
          <w:rFonts w:ascii="Times New Roman" w:hAnsi="Times New Roman" w:eastAsia="Times New Roman" w:cs="Times New Roman"/>
          <w:b/>
          <w:bCs/>
          <w:sz w:val="22"/>
          <w:szCs w:val="22"/>
        </w:rPr>
        <w:t>18</w:t>
      </w:r>
    </w:p>
    <w:p w14:paraId="2887BF5E">
      <w:pPr>
        <w:tabs>
          <w:tab w:val="right" w:leader="dot" w:pos="9000"/>
        </w:tabs>
        <w:spacing w:after="70" w:line="260" w:lineRule="auto"/>
        <w:ind w:left="360"/>
      </w:pPr>
      <w:r>
        <w:rPr>
          <w:rFonts w:ascii="Times New Roman" w:hAnsi="Times New Roman" w:eastAsia="Times New Roman" w:cs="Times New Roman"/>
          <w:b w:val="0"/>
          <w:bCs w:val="0"/>
          <w:sz w:val="22"/>
          <w:szCs w:val="22"/>
        </w:rPr>
        <w:t>9.1. La seguridad como requisito habilitante</w:t>
      </w:r>
      <w:r>
        <w:rPr>
          <w:rFonts w:ascii="Times New Roman" w:hAnsi="Times New Roman" w:eastAsia="Times New Roman" w:cs="Times New Roman"/>
          <w:sz w:val="22"/>
          <w:szCs w:val="22"/>
        </w:rPr>
        <w:tab/>
      </w:r>
      <w:r>
        <w:rPr>
          <w:rFonts w:ascii="Times New Roman" w:hAnsi="Times New Roman" w:eastAsia="Times New Roman" w:cs="Times New Roman"/>
          <w:b w:val="0"/>
          <w:bCs w:val="0"/>
          <w:sz w:val="22"/>
          <w:szCs w:val="22"/>
        </w:rPr>
        <w:t>18</w:t>
      </w:r>
    </w:p>
    <w:p w14:paraId="297F7B13">
      <w:pPr>
        <w:tabs>
          <w:tab w:val="right" w:leader="dot" w:pos="9000"/>
        </w:tabs>
        <w:spacing w:after="70" w:line="260" w:lineRule="auto"/>
        <w:ind w:left="360"/>
      </w:pPr>
      <w:r>
        <w:rPr>
          <w:rFonts w:ascii="Times New Roman" w:hAnsi="Times New Roman" w:eastAsia="Times New Roman" w:cs="Times New Roman"/>
          <w:b w:val="0"/>
          <w:bCs w:val="0"/>
          <w:sz w:val="22"/>
          <w:szCs w:val="22"/>
        </w:rPr>
        <w:t>9.2. La experiencia del cliente como prioridad estratégica</w:t>
      </w:r>
      <w:r>
        <w:rPr>
          <w:rFonts w:ascii="Times New Roman" w:hAnsi="Times New Roman" w:eastAsia="Times New Roman" w:cs="Times New Roman"/>
          <w:sz w:val="22"/>
          <w:szCs w:val="22"/>
        </w:rPr>
        <w:tab/>
      </w:r>
      <w:r>
        <w:rPr>
          <w:rFonts w:ascii="Times New Roman" w:hAnsi="Times New Roman" w:eastAsia="Times New Roman" w:cs="Times New Roman"/>
          <w:b w:val="0"/>
          <w:bCs w:val="0"/>
          <w:sz w:val="22"/>
          <w:szCs w:val="22"/>
        </w:rPr>
        <w:t>19</w:t>
      </w:r>
    </w:p>
    <w:p w14:paraId="0CE40D75">
      <w:pPr>
        <w:tabs>
          <w:tab w:val="right" w:leader="dot" w:pos="9000"/>
        </w:tabs>
        <w:spacing w:after="70" w:line="260" w:lineRule="auto"/>
        <w:ind w:left="360"/>
      </w:pPr>
      <w:r>
        <w:rPr>
          <w:rFonts w:ascii="Times New Roman" w:hAnsi="Times New Roman" w:eastAsia="Times New Roman" w:cs="Times New Roman"/>
          <w:b w:val="0"/>
          <w:bCs w:val="0"/>
          <w:sz w:val="22"/>
          <w:szCs w:val="22"/>
        </w:rPr>
        <w:t>9.3. El costo como restricción</w:t>
      </w:r>
      <w:r>
        <w:rPr>
          <w:rFonts w:ascii="Times New Roman" w:hAnsi="Times New Roman" w:eastAsia="Times New Roman" w:cs="Times New Roman"/>
          <w:sz w:val="22"/>
          <w:szCs w:val="22"/>
        </w:rPr>
        <w:tab/>
      </w:r>
      <w:r>
        <w:rPr>
          <w:rFonts w:ascii="Times New Roman" w:hAnsi="Times New Roman" w:eastAsia="Times New Roman" w:cs="Times New Roman"/>
          <w:b w:val="0"/>
          <w:bCs w:val="0"/>
          <w:sz w:val="22"/>
          <w:szCs w:val="22"/>
        </w:rPr>
        <w:t>19</w:t>
      </w:r>
    </w:p>
    <w:p w14:paraId="47CEE0A3">
      <w:pPr>
        <w:tabs>
          <w:tab w:val="right" w:leader="dot" w:pos="9000"/>
        </w:tabs>
        <w:spacing w:after="70" w:line="260" w:lineRule="auto"/>
        <w:ind w:left="360"/>
      </w:pPr>
      <w:r>
        <w:rPr>
          <w:rFonts w:ascii="Times New Roman" w:hAnsi="Times New Roman" w:eastAsia="Times New Roman" w:cs="Times New Roman"/>
          <w:b w:val="0"/>
          <w:bCs w:val="0"/>
          <w:sz w:val="22"/>
          <w:szCs w:val="22"/>
        </w:rPr>
        <w:t>9.4. Formulación propuesta</w:t>
      </w:r>
      <w:r>
        <w:rPr>
          <w:rFonts w:ascii="Times New Roman" w:hAnsi="Times New Roman" w:eastAsia="Times New Roman" w:cs="Times New Roman"/>
          <w:sz w:val="22"/>
          <w:szCs w:val="22"/>
        </w:rPr>
        <w:tab/>
      </w:r>
      <w:r>
        <w:rPr>
          <w:rFonts w:ascii="Times New Roman" w:hAnsi="Times New Roman" w:eastAsia="Times New Roman" w:cs="Times New Roman"/>
          <w:b w:val="0"/>
          <w:bCs w:val="0"/>
          <w:sz w:val="22"/>
          <w:szCs w:val="22"/>
        </w:rPr>
        <w:t>19</w:t>
      </w:r>
    </w:p>
    <w:p w14:paraId="04F222D9">
      <w:pPr>
        <w:tabs>
          <w:tab w:val="right" w:leader="dot" w:pos="9000"/>
        </w:tabs>
        <w:spacing w:after="70" w:line="260" w:lineRule="auto"/>
        <w:ind w:left="360"/>
      </w:pPr>
      <w:r>
        <w:rPr>
          <w:rFonts w:ascii="Times New Roman" w:hAnsi="Times New Roman" w:eastAsia="Times New Roman" w:cs="Times New Roman"/>
          <w:b w:val="0"/>
          <w:bCs w:val="0"/>
          <w:sz w:val="22"/>
          <w:szCs w:val="22"/>
        </w:rPr>
        <w:t>9.5. Contraargumento y su tratamiento</w:t>
      </w:r>
      <w:r>
        <w:rPr>
          <w:rFonts w:ascii="Times New Roman" w:hAnsi="Times New Roman" w:eastAsia="Times New Roman" w:cs="Times New Roman"/>
          <w:sz w:val="22"/>
          <w:szCs w:val="22"/>
        </w:rPr>
        <w:tab/>
      </w:r>
      <w:r>
        <w:rPr>
          <w:rFonts w:ascii="Times New Roman" w:hAnsi="Times New Roman" w:eastAsia="Times New Roman" w:cs="Times New Roman"/>
          <w:b w:val="0"/>
          <w:bCs w:val="0"/>
          <w:sz w:val="22"/>
          <w:szCs w:val="22"/>
        </w:rPr>
        <w:t>19</w:t>
      </w:r>
    </w:p>
    <w:p w14:paraId="2D9B9696">
      <w:pPr>
        <w:tabs>
          <w:tab w:val="right" w:leader="dot" w:pos="9000"/>
        </w:tabs>
        <w:spacing w:after="70" w:line="260" w:lineRule="auto"/>
        <w:ind w:left="0"/>
      </w:pPr>
      <w:r>
        <w:rPr>
          <w:rFonts w:ascii="Times New Roman" w:hAnsi="Times New Roman" w:eastAsia="Times New Roman" w:cs="Times New Roman"/>
          <w:b/>
          <w:bCs/>
          <w:sz w:val="22"/>
          <w:szCs w:val="22"/>
        </w:rPr>
        <w:t>10. Generación de Valor de la Arquitectura Propuesta</w:t>
      </w:r>
      <w:r>
        <w:rPr>
          <w:rFonts w:ascii="Times New Roman" w:hAnsi="Times New Roman" w:eastAsia="Times New Roman" w:cs="Times New Roman"/>
          <w:sz w:val="22"/>
          <w:szCs w:val="22"/>
        </w:rPr>
        <w:tab/>
      </w:r>
      <w:r>
        <w:rPr>
          <w:rFonts w:ascii="Times New Roman" w:hAnsi="Times New Roman" w:eastAsia="Times New Roman" w:cs="Times New Roman"/>
          <w:b/>
          <w:bCs/>
          <w:sz w:val="22"/>
          <w:szCs w:val="22"/>
        </w:rPr>
        <w:t>19</w:t>
      </w:r>
    </w:p>
    <w:p w14:paraId="4B4A75FC">
      <w:pPr>
        <w:tabs>
          <w:tab w:val="right" w:leader="dot" w:pos="9000"/>
        </w:tabs>
        <w:spacing w:after="70" w:line="260" w:lineRule="auto"/>
        <w:ind w:left="0"/>
      </w:pPr>
      <w:r>
        <w:rPr>
          <w:rFonts w:ascii="Times New Roman" w:hAnsi="Times New Roman" w:eastAsia="Times New Roman" w:cs="Times New Roman"/>
          <w:b/>
          <w:bCs/>
          <w:sz w:val="22"/>
          <w:szCs w:val="22"/>
        </w:rPr>
        <w:t>11. Conclusiones</w:t>
      </w:r>
      <w:r>
        <w:rPr>
          <w:rFonts w:ascii="Times New Roman" w:hAnsi="Times New Roman" w:eastAsia="Times New Roman" w:cs="Times New Roman"/>
          <w:sz w:val="22"/>
          <w:szCs w:val="22"/>
        </w:rPr>
        <w:tab/>
      </w:r>
      <w:r>
        <w:rPr>
          <w:rFonts w:ascii="Times New Roman" w:hAnsi="Times New Roman" w:eastAsia="Times New Roman" w:cs="Times New Roman"/>
          <w:b/>
          <w:bCs/>
          <w:sz w:val="22"/>
          <w:szCs w:val="22"/>
        </w:rPr>
        <w:t>20</w:t>
      </w:r>
    </w:p>
    <w:p w14:paraId="1BAF382C">
      <w:pPr>
        <w:tabs>
          <w:tab w:val="right" w:leader="dot" w:pos="9000"/>
        </w:tabs>
        <w:spacing w:after="70" w:line="260" w:lineRule="auto"/>
        <w:ind w:left="0"/>
      </w:pPr>
      <w:r>
        <w:rPr>
          <w:rFonts w:ascii="Times New Roman" w:hAnsi="Times New Roman" w:eastAsia="Times New Roman" w:cs="Times New Roman"/>
          <w:b/>
          <w:bCs/>
          <w:sz w:val="22"/>
          <w:szCs w:val="22"/>
        </w:rPr>
        <w:t>12. Recomendaciones</w:t>
      </w:r>
      <w:r>
        <w:rPr>
          <w:rFonts w:ascii="Times New Roman" w:hAnsi="Times New Roman" w:eastAsia="Times New Roman" w:cs="Times New Roman"/>
          <w:sz w:val="22"/>
          <w:szCs w:val="22"/>
        </w:rPr>
        <w:tab/>
      </w:r>
      <w:r>
        <w:rPr>
          <w:rFonts w:ascii="Times New Roman" w:hAnsi="Times New Roman" w:eastAsia="Times New Roman" w:cs="Times New Roman"/>
          <w:b/>
          <w:bCs/>
          <w:sz w:val="22"/>
          <w:szCs w:val="22"/>
        </w:rPr>
        <w:t>21</w:t>
      </w:r>
    </w:p>
    <w:p w14:paraId="76129CC8">
      <w:pPr>
        <w:tabs>
          <w:tab w:val="right" w:leader="dot" w:pos="9000"/>
        </w:tabs>
        <w:spacing w:after="70" w:line="260" w:lineRule="auto"/>
        <w:ind w:left="0"/>
      </w:pPr>
      <w:r>
        <w:rPr>
          <w:rFonts w:ascii="Times New Roman" w:hAnsi="Times New Roman" w:eastAsia="Times New Roman" w:cs="Times New Roman"/>
          <w:b/>
          <w:bCs/>
          <w:sz w:val="22"/>
          <w:szCs w:val="22"/>
        </w:rPr>
        <w:t>Referencias</w:t>
      </w:r>
      <w:r>
        <w:rPr>
          <w:rFonts w:ascii="Times New Roman" w:hAnsi="Times New Roman" w:eastAsia="Times New Roman" w:cs="Times New Roman"/>
          <w:sz w:val="22"/>
          <w:szCs w:val="22"/>
        </w:rPr>
        <w:tab/>
      </w:r>
      <w:r>
        <w:rPr>
          <w:rFonts w:ascii="Times New Roman" w:hAnsi="Times New Roman" w:eastAsia="Times New Roman" w:cs="Times New Roman"/>
          <w:b/>
          <w:bCs/>
          <w:sz w:val="22"/>
          <w:szCs w:val="22"/>
        </w:rPr>
        <w:t>22</w:t>
      </w:r>
    </w:p>
    <w:p w14:paraId="528ACD51">
      <w:r>
        <w:br w:type="page"/>
      </w:r>
    </w:p>
    <w:p w14:paraId="026DA52C">
      <w:pPr>
        <w:pStyle w:val="2"/>
        <w:keepNext/>
        <w:spacing w:before="320" w:after="180"/>
      </w:pPr>
      <w:r>
        <w:rPr>
          <w:rFonts w:ascii="Times New Roman" w:hAnsi="Times New Roman" w:eastAsia="Times New Roman" w:cs="Times New Roman"/>
          <w:b/>
          <w:bCs/>
          <w:color w:val="000000"/>
          <w:sz w:val="26"/>
          <w:szCs w:val="26"/>
        </w:rPr>
        <w:t>Resumen</w:t>
      </w:r>
    </w:p>
    <w:p w14:paraId="64B2EA6E">
      <w:pPr>
        <w:spacing w:after="160" w:line="300" w:lineRule="auto"/>
        <w:jc w:val="both"/>
      </w:pPr>
      <w:r>
        <w:rPr>
          <w:rFonts w:ascii="Times New Roman" w:hAnsi="Times New Roman" w:eastAsia="Times New Roman" w:cs="Times New Roman"/>
          <w:sz w:val="22"/>
          <w:szCs w:val="22"/>
        </w:rPr>
        <w:t>FinanTech es una entidad financiera que ofrece créditos y servicios digitales y que opera actualmente con cinco sistemas —clientes, créditos, contabilidad, página web y aplicación móvil— que funcionan de manera prácticamente independiente. Esta fragmentación ha derivado en información duplicada, errores en los datos, procesos lentos, debilidades de seguridad, dificultad para consolidar informes y una experiencia deficiente para el cliente. El presente documento aplica los principios de la arquitectura empresarial para diseñar una arquitectura objetivo que permita a la organización transitar hacia un modelo cien por ciento digital. Partiendo del marco TOGAF y su Método de Desarrollo de la Arquitectura (ADM), se caracteriza el estado actual (AS-IS), se identifica la causa raíz del problema —la ausencia de una fuente única de verdad por dominio de información— y se propone un estado objetivo (TO-BE) estructurado en cinco capas: canales digitales, API Gateway, microservicios de negocio, bus de eventos y capa de datos con gestión de datos maestros y bodega analítica. La propuesta se desarrolla a través de los cuatro dominios de la arquitectura empresarial: negocio, datos, aplicación y tecnología. Se incorporan además consideraciones de ciberseguridad, identidad digital, computación en la nube y analítica de datos, y se plantea una hoja de ruta de implementación por fases que evita el reemplazo simultáneo de los sistemas legados. Finalmente, se analiza el dilema de priorización entre seguridad, velocidad, costo y experiencia del cliente, concluyendo que estos atributos no compiten en el mismo plano jerárquico.</w:t>
      </w:r>
    </w:p>
    <w:p w14:paraId="20F66E3E">
      <w:pPr>
        <w:spacing w:after="160" w:line="300" w:lineRule="auto"/>
        <w:jc w:val="both"/>
      </w:pPr>
      <w:r>
        <w:rPr>
          <w:rFonts w:ascii="Times New Roman" w:hAnsi="Times New Roman" w:eastAsia="Times New Roman" w:cs="Times New Roman"/>
          <w:b/>
          <w:bCs/>
          <w:sz w:val="22"/>
          <w:szCs w:val="22"/>
        </w:rPr>
        <w:t xml:space="preserve">Palabras Clave: </w:t>
      </w:r>
      <w:r>
        <w:rPr>
          <w:rFonts w:ascii="Times New Roman" w:hAnsi="Times New Roman" w:eastAsia="Times New Roman" w:cs="Times New Roman"/>
          <w:sz w:val="22"/>
          <w:szCs w:val="22"/>
        </w:rPr>
        <w:t>Arquitectura Empresarial, TOGAF, Microservicios, API Gateway, Integración de Sistemas, Identidad Digital, Ciberseguridad, Datos Maestros, Transformación Digital, Sector Financiero.</w:t>
      </w:r>
    </w:p>
    <w:p w14:paraId="7B911426">
      <w:pPr>
        <w:pStyle w:val="2"/>
        <w:keepNext/>
        <w:spacing w:before="320" w:after="180"/>
      </w:pPr>
      <w:r>
        <w:rPr>
          <w:rFonts w:ascii="Times New Roman" w:hAnsi="Times New Roman" w:eastAsia="Times New Roman" w:cs="Times New Roman"/>
          <w:b/>
          <w:bCs/>
          <w:color w:val="000000"/>
          <w:sz w:val="26"/>
          <w:szCs w:val="26"/>
        </w:rPr>
        <w:t>Abstract</w:t>
      </w:r>
    </w:p>
    <w:p w14:paraId="24D93D99">
      <w:pPr>
        <w:spacing w:after="160" w:line="300" w:lineRule="auto"/>
        <w:jc w:val="both"/>
      </w:pPr>
      <w:r>
        <w:rPr>
          <w:rFonts w:ascii="Times New Roman" w:hAnsi="Times New Roman" w:eastAsia="Times New Roman" w:cs="Times New Roman"/>
          <w:sz w:val="22"/>
          <w:szCs w:val="22"/>
        </w:rPr>
        <w:t>FinanTech is a financial institution offering credit products and digital services that currently operates five systems —customers, credit, accounting, website and mobile application— which function almost entirely independently. This fragmentation has resulted in duplicated information, data errors, slow processes, security weaknesses, difficulty consolidating reports, and a poor customer experience. This document applies enterprise architecture principles to design a target architecture enabling the organization to transition toward a fully digital operating model. Drawing on the TOGAF framework and its Architecture Development Method (ADM), the current state (AS-IS) is characterized, the root cause of the problem is identified —the absence of a single source of truth per information domain— and a target state (TO-BE) is proposed, structured across five layers: digital channels, API Gateway, business microservices, event bus, and a data layer with master data management and an analytical warehouse. The proposal is developed through the four enterprise architecture domains: business, data, application and technology. Considerations regarding cybersecurity, digital identity, cloud computing and data analytics are incorporated, and a phased implementation roadmap is presented that avoids the simultaneous replacement of legacy systems. Finally, the trade-off between security, speed, cost and customer experience is analyzed, concluding that these attributes do not compete on the same hierarchical plane.</w:t>
      </w:r>
    </w:p>
    <w:p w14:paraId="3E6AF3D8">
      <w:pPr>
        <w:spacing w:after="160" w:line="300" w:lineRule="auto"/>
        <w:jc w:val="both"/>
      </w:pPr>
      <w:r>
        <w:rPr>
          <w:rFonts w:ascii="Times New Roman" w:hAnsi="Times New Roman" w:eastAsia="Times New Roman" w:cs="Times New Roman"/>
          <w:b/>
          <w:bCs/>
          <w:sz w:val="22"/>
          <w:szCs w:val="22"/>
        </w:rPr>
        <w:t xml:space="preserve">Key Words: </w:t>
      </w:r>
      <w:r>
        <w:rPr>
          <w:rFonts w:ascii="Times New Roman" w:hAnsi="Times New Roman" w:eastAsia="Times New Roman" w:cs="Times New Roman"/>
          <w:sz w:val="22"/>
          <w:szCs w:val="22"/>
        </w:rPr>
        <w:t>Enterprise Architecture, TOGAF, Microservices, API Gateway, Systems Integration, Digital Identity, Cybersecurity, Master Data, Digital Transformation, Financial Sector.</w:t>
      </w:r>
    </w:p>
    <w:p w14:paraId="173439C3">
      <w:r>
        <w:br w:type="page"/>
      </w:r>
    </w:p>
    <w:p w14:paraId="6038AABC">
      <w:pPr>
        <w:pStyle w:val="2"/>
        <w:keepNext/>
        <w:spacing w:before="320" w:after="180"/>
      </w:pPr>
      <w:r>
        <w:rPr>
          <w:rFonts w:ascii="Times New Roman" w:hAnsi="Times New Roman" w:eastAsia="Times New Roman" w:cs="Times New Roman"/>
          <w:b/>
          <w:bCs/>
          <w:color w:val="000000"/>
          <w:sz w:val="26"/>
          <w:szCs w:val="26"/>
        </w:rPr>
        <w:t>1. Introducción</w:t>
      </w:r>
    </w:p>
    <w:p w14:paraId="20A0B4E6">
      <w:pPr>
        <w:spacing w:after="160" w:line="300" w:lineRule="auto"/>
        <w:jc w:val="both"/>
      </w:pPr>
      <w:r>
        <w:rPr>
          <w:rFonts w:ascii="Times New Roman" w:hAnsi="Times New Roman" w:eastAsia="Times New Roman" w:cs="Times New Roman"/>
          <w:sz w:val="22"/>
          <w:szCs w:val="22"/>
        </w:rPr>
        <w:t>La arquitectura empresarial se considera cada vez más importante para el éxito de las organizaciones y de sus proyectos de tecnología. Su papel ha madurado rápidamente, agregando valor tangible y contribuyendo de manera significativa al cumplimiento de los objetivos estratégicos del negocio [1]. En el sector financiero esta relevancia se acentúa: la competencia ya no proviene únicamente de otras entidades tradicionales, sino de operadores digitales capaces de originar un crédito en minutos, lo que convierte la capacidad de integración tecnológica en una ventaja competitiva directa.</w:t>
      </w:r>
    </w:p>
    <w:p w14:paraId="0F85517F">
      <w:pPr>
        <w:spacing w:after="160" w:line="300" w:lineRule="auto"/>
        <w:jc w:val="both"/>
      </w:pPr>
      <w:r>
        <w:rPr>
          <w:rFonts w:ascii="Times New Roman" w:hAnsi="Times New Roman" w:eastAsia="Times New Roman" w:cs="Times New Roman"/>
          <w:sz w:val="22"/>
          <w:szCs w:val="22"/>
        </w:rPr>
        <w:t>El caso que se aborda en este documento corresponde a FinanTech, una empresa financiera que ofrece créditos y servicios digitales. La organización cuenta con cinco sistemas en operación —sistema de clientes, sistema de créditos, sistema contable, página web y aplicación móvil— que fueron construidos o adquiridos en momentos distintos y que hoy funcionan prácticamente sin comunicación entre sí. El resultado es un conjunto de problemáticas que la propia empresa ha identificado: información duplicada, errores en los datos, procesos lentos, problemas de seguridad, dificultad para generar informes y una experiencia deficiente para los clientes. FinanTech se ha propuesto convertirse en una organización cien por ciento digital.</w:t>
      </w:r>
    </w:p>
    <w:p w14:paraId="66D59603">
      <w:pPr>
        <w:spacing w:after="160" w:line="300" w:lineRule="auto"/>
        <w:jc w:val="both"/>
      </w:pPr>
      <w:r>
        <w:rPr>
          <w:rFonts w:ascii="Times New Roman" w:hAnsi="Times New Roman" w:eastAsia="Times New Roman" w:cs="Times New Roman"/>
          <w:sz w:val="22"/>
          <w:szCs w:val="22"/>
        </w:rPr>
        <w:t>Este documento tiene como propósito diseñar y documentar la arquitectura empresarial que permita esa transformación. No se limita a proponer un conjunto de tecnologías, sino que aplica el enfoque arquitectónico completo: caracteriza el estado actual, identifica la causa raíz de las problemáticas, define un estado objetivo estructurado en los cuatro dominios de la arquitectura empresarial —negocio, datos, aplicación y tecnología— y establece una hoja de ruta de transición. El desarrollo se apoya en el marco TOGAF, por ser el estándar más difundido en la industria y el que mejor se ajusta a un ejercicio de transformación con sistemas heredados en operación [2].</w:t>
      </w:r>
    </w:p>
    <w:p w14:paraId="1B2BCCB5">
      <w:pPr>
        <w:spacing w:after="160" w:line="300" w:lineRule="auto"/>
        <w:jc w:val="both"/>
      </w:pPr>
      <w:r>
        <w:rPr>
          <w:rFonts w:ascii="Times New Roman" w:hAnsi="Times New Roman" w:eastAsia="Times New Roman" w:cs="Times New Roman"/>
          <w:sz w:val="22"/>
          <w:szCs w:val="22"/>
        </w:rPr>
        <w:t>El documento se organiza de la siguiente manera. La sección 2 presenta el marco conceptual de la arquitectura empresarial y justifica la selección del framework. La sección 3 caracteriza la situación actual de FinanTech y desarrolla el análisis de causa raíz. La sección 4 expone la arquitectura objetivo propuesta a través de sus cinco capas. La sección 5 desarrolla la propuesta en los cuatro dominios arquitectónicos. La sección 6 aborda la ciberseguridad y la identidad digital. La sección 7 describe el flujo integral del proceso de crédito. La sección 8 plantea la hoja de ruta de implementación. La sección 9 analiza el dilema de priorización entre atributos de calidad. Las secciones 10 y 11 presentan las conclusiones y recomendaciones.</w:t>
      </w:r>
    </w:p>
    <w:p w14:paraId="47D634D3">
      <w:pPr>
        <w:pStyle w:val="2"/>
        <w:keepNext/>
        <w:spacing w:before="320" w:after="180"/>
      </w:pPr>
      <w:r>
        <w:rPr>
          <w:rFonts w:ascii="Times New Roman" w:hAnsi="Times New Roman" w:eastAsia="Times New Roman" w:cs="Times New Roman"/>
          <w:b/>
          <w:bCs/>
          <w:color w:val="000000"/>
          <w:sz w:val="26"/>
          <w:szCs w:val="26"/>
        </w:rPr>
        <w:t>2. Marco Conceptual de la Arquitectura Empresarial</w:t>
      </w:r>
    </w:p>
    <w:p w14:paraId="71AB4F9E">
      <w:pPr>
        <w:pStyle w:val="3"/>
        <w:keepNext/>
        <w:spacing w:before="260" w:after="140"/>
      </w:pPr>
      <w:r>
        <w:rPr>
          <w:rFonts w:ascii="Times New Roman" w:hAnsi="Times New Roman" w:eastAsia="Times New Roman" w:cs="Times New Roman"/>
          <w:b/>
          <w:bCs/>
          <w:color w:val="000000"/>
          <w:sz w:val="24"/>
          <w:szCs w:val="24"/>
        </w:rPr>
        <w:t>2.1. Descripción general</w:t>
      </w:r>
    </w:p>
    <w:p w14:paraId="4FC3AA7F">
      <w:pPr>
        <w:spacing w:after="160" w:line="300" w:lineRule="auto"/>
        <w:jc w:val="both"/>
      </w:pPr>
      <w:r>
        <w:rPr>
          <w:rFonts w:ascii="Times New Roman" w:hAnsi="Times New Roman" w:eastAsia="Times New Roman" w:cs="Times New Roman"/>
          <w:sz w:val="22"/>
          <w:szCs w:val="22"/>
        </w:rPr>
        <w:t>La arquitectura empresarial se ha convertido en una disciplina crítica para garantizar a las empresas la organización y articulación de sus procesos de negocio, comprendiendo los elementos significativos de los que está hecha, desde los objetivos estratégicos hasta los componentes de tecnología de la información que ayudan a alcanzar esos objetivos [1]. Este enfoque permite a las organizaciones construir arquitecturas que hagan la transición desde donde están hacia donde necesitan estar.</w:t>
      </w:r>
    </w:p>
    <w:p w14:paraId="4DC0A069">
      <w:pPr>
        <w:spacing w:after="160" w:line="300" w:lineRule="auto"/>
        <w:jc w:val="both"/>
      </w:pPr>
      <w:r>
        <w:rPr>
          <w:rFonts w:ascii="Times New Roman" w:hAnsi="Times New Roman" w:eastAsia="Times New Roman" w:cs="Times New Roman"/>
          <w:sz w:val="22"/>
          <w:szCs w:val="22"/>
        </w:rPr>
        <w:t>El estándar IEEE 1471-2000, hoy incorporado en la norma ISO/IEC/IEEE 42010, define la arquitectura como la organización fundamental de un sistema, incorporada en sus componentes, en las relaciones de estos entre sí y con el entorno, y en los principios que guían su diseño y evolución [3]. Otra definición complementaria plantea que la arquitectura muestra las relaciones e interdependencias entre la organización, sus procesos, la información, el sistema de TI y la infraestructura que utiliza, constituyendo un conjunto efectivo y consistente de principios, modelos y pautas que dan dirección y establecen condiciones límite para programas, proyectos o sistemas [4].</w:t>
      </w:r>
    </w:p>
    <w:p w14:paraId="5013916A">
      <w:pPr>
        <w:spacing w:after="160" w:line="300" w:lineRule="auto"/>
        <w:jc w:val="both"/>
      </w:pPr>
      <w:r>
        <w:rPr>
          <w:rFonts w:ascii="Times New Roman" w:hAnsi="Times New Roman" w:eastAsia="Times New Roman" w:cs="Times New Roman"/>
          <w:sz w:val="22"/>
          <w:szCs w:val="22"/>
        </w:rPr>
        <w:t>Todas las definiciones convergen en un punto común: la arquitectura describe la estructura y las relaciones de un sistema o de una empresa, y establece los principios de gobierno que orientan las decisiones. Para el caso de FinanTech esta distinción es determinante, porque explica por qué el problema de la empresa no se resuelve comprando software nuevo. Sin principios arquitectónicos que definan quién es dueño de cada dato y cómo se comunican los sistemas, cualquier sistema adicional que se adquiera se convertirá en la sexta isla de información.</w:t>
      </w:r>
    </w:p>
    <w:p w14:paraId="6B03718E">
      <w:pPr>
        <w:pStyle w:val="3"/>
        <w:keepNext/>
        <w:spacing w:before="260" w:after="140"/>
      </w:pPr>
      <w:r>
        <w:rPr>
          <w:rFonts w:ascii="Times New Roman" w:hAnsi="Times New Roman" w:eastAsia="Times New Roman" w:cs="Times New Roman"/>
          <w:b/>
          <w:bCs/>
          <w:color w:val="000000"/>
          <w:sz w:val="24"/>
          <w:szCs w:val="24"/>
        </w:rPr>
        <w:t>2.2. Los cuatro dominios de la arquitectura empresarial</w:t>
      </w:r>
    </w:p>
    <w:p w14:paraId="688F46AC">
      <w:pPr>
        <w:spacing w:after="160" w:line="300" w:lineRule="auto"/>
        <w:jc w:val="both"/>
      </w:pPr>
      <w:r>
        <w:rPr>
          <w:rFonts w:ascii="Times New Roman" w:hAnsi="Times New Roman" w:eastAsia="Times New Roman" w:cs="Times New Roman"/>
          <w:sz w:val="22"/>
          <w:szCs w:val="22"/>
        </w:rPr>
        <w:t>Los marcos de arquitectura empresarial representan la organización a través de dominios o perspectivas que sirven como instrumentos de soporte a las operaciones del negocio [5]. Existe un consenso amplio en la industria alrededor de cuatro dominios, que son los que TOGAF está diseñado para soportar [2]:</w:t>
      </w:r>
    </w:p>
    <w:p w14:paraId="78FC2E4D">
      <w:pPr>
        <w:pStyle w:val="16"/>
        <w:numPr>
          <w:ilvl w:val="0"/>
          <w:numId w:val="1"/>
        </w:numPr>
        <w:spacing w:after="90" w:line="300" w:lineRule="auto"/>
        <w:jc w:val="both"/>
      </w:pPr>
      <w:r>
        <w:rPr>
          <w:rFonts w:ascii="Times New Roman" w:hAnsi="Times New Roman" w:eastAsia="Times New Roman" w:cs="Times New Roman"/>
          <w:b/>
          <w:bCs/>
          <w:sz w:val="22"/>
          <w:szCs w:val="22"/>
        </w:rPr>
        <w:t xml:space="preserve">Arquitectura de Negocio: </w:t>
      </w:r>
      <w:r>
        <w:rPr>
          <w:rFonts w:ascii="Times New Roman" w:hAnsi="Times New Roman" w:eastAsia="Times New Roman" w:cs="Times New Roman"/>
          <w:sz w:val="22"/>
          <w:szCs w:val="22"/>
        </w:rPr>
        <w:t>representa los procesos, roles, actividades, funciones, actores y eventos de la organización, y cómo estos se encaminan según la estrategia misional y visional de la empresa. Recibe como insumo principal el plan estratégico y traduce los objetivos de alto nivel en requerimientos relevantes para el negocio [6].</w:t>
      </w:r>
    </w:p>
    <w:p w14:paraId="438C9C13">
      <w:pPr>
        <w:pStyle w:val="16"/>
        <w:numPr>
          <w:ilvl w:val="0"/>
          <w:numId w:val="1"/>
        </w:numPr>
        <w:spacing w:after="90" w:line="300" w:lineRule="auto"/>
        <w:jc w:val="both"/>
      </w:pPr>
      <w:r>
        <w:rPr>
          <w:rFonts w:ascii="Times New Roman" w:hAnsi="Times New Roman" w:eastAsia="Times New Roman" w:cs="Times New Roman"/>
          <w:b/>
          <w:bCs/>
          <w:sz w:val="22"/>
          <w:szCs w:val="22"/>
        </w:rPr>
        <w:t xml:space="preserve">Arquitectura de Datos: </w:t>
      </w:r>
      <w:r>
        <w:rPr>
          <w:rFonts w:ascii="Times New Roman" w:hAnsi="Times New Roman" w:eastAsia="Times New Roman" w:cs="Times New Roman"/>
          <w:sz w:val="22"/>
          <w:szCs w:val="22"/>
        </w:rPr>
        <w:t>describe la estructura de los datos físicos y lógicos de la organización y sus modelos de gestión. Este dominio establece que la información debe estructurarse de manera clara, precisa y ordenada para asegurar la calidad de los datos, evitando la duplicidad y disminuyendo el tiempo de entrega de información a las personas, procesos o sistemas que la soliciten [7]. Es el dominio donde reside la causa raíz del problema de FinanTech.</w:t>
      </w:r>
    </w:p>
    <w:p w14:paraId="7380B4FA">
      <w:pPr>
        <w:pStyle w:val="16"/>
        <w:numPr>
          <w:ilvl w:val="0"/>
          <w:numId w:val="1"/>
        </w:numPr>
        <w:spacing w:after="90" w:line="300" w:lineRule="auto"/>
        <w:jc w:val="both"/>
      </w:pPr>
      <w:r>
        <w:rPr>
          <w:rFonts w:ascii="Times New Roman" w:hAnsi="Times New Roman" w:eastAsia="Times New Roman" w:cs="Times New Roman"/>
          <w:b/>
          <w:bCs/>
          <w:sz w:val="22"/>
          <w:szCs w:val="22"/>
        </w:rPr>
        <w:t xml:space="preserve">Arquitectura de Aplicación: </w:t>
      </w:r>
      <w:r>
        <w:rPr>
          <w:rFonts w:ascii="Times New Roman" w:hAnsi="Times New Roman" w:eastAsia="Times New Roman" w:cs="Times New Roman"/>
          <w:sz w:val="22"/>
          <w:szCs w:val="22"/>
        </w:rPr>
        <w:t>describe el conjunto de aplicativos y sistemas de información que soportan los procesos del negocio, sus interacciones y sus relaciones con los procesos centrales de la organización [8].</w:t>
      </w:r>
    </w:p>
    <w:p w14:paraId="00B2C1AA">
      <w:pPr>
        <w:pStyle w:val="16"/>
        <w:numPr>
          <w:ilvl w:val="0"/>
          <w:numId w:val="1"/>
        </w:numPr>
        <w:spacing w:after="90" w:line="300" w:lineRule="auto"/>
        <w:jc w:val="both"/>
      </w:pPr>
      <w:r>
        <w:rPr>
          <w:rFonts w:ascii="Times New Roman" w:hAnsi="Times New Roman" w:eastAsia="Times New Roman" w:cs="Times New Roman"/>
          <w:b/>
          <w:bCs/>
          <w:sz w:val="22"/>
          <w:szCs w:val="22"/>
        </w:rPr>
        <w:t xml:space="preserve">Arquitectura Tecnológica: </w:t>
      </w:r>
      <w:r>
        <w:rPr>
          <w:rFonts w:ascii="Times New Roman" w:hAnsi="Times New Roman" w:eastAsia="Times New Roman" w:cs="Times New Roman"/>
          <w:sz w:val="22"/>
          <w:szCs w:val="22"/>
        </w:rPr>
        <w:t>describe las capacidades de software y hardware requeridas para soportar los servicios de negocio, datos y aplicación. Incluye infraestructura de TI, middleware, redes, comunicaciones, procesamiento y estándares [2].</w:t>
      </w:r>
    </w:p>
    <w:p w14:paraId="1BC5F535">
      <w:pPr>
        <w:spacing w:after="200" w:line="300" w:lineRule="auto"/>
        <w:jc w:val="both"/>
      </w:pPr>
      <w:r>
        <w:rPr>
          <w:rFonts w:ascii="Times New Roman" w:hAnsi="Times New Roman" w:eastAsia="Times New Roman" w:cs="Times New Roman"/>
          <w:sz w:val="22"/>
          <w:szCs w:val="22"/>
        </w:rPr>
        <w:t>Estos cuatro dominios estructuran la sección 5 del presente documento, donde se desarrolla la propuesta para FinanTech en cada uno de ellos.</w:t>
      </w:r>
    </w:p>
    <w:tbl>
      <w:tblPr>
        <w:tblStyle w:val="9"/>
        <w:tblW w:w="9000" w:type="dxa"/>
        <w:tblInd w:w="0" w:type="dxa"/>
        <w:tblBorders>
          <w:top w:val="dashed" w:color="AAAAAA" w:sz="6" w:space="0"/>
          <w:left w:val="dashed" w:color="AAAAAA" w:sz="6" w:space="0"/>
          <w:bottom w:val="dashed" w:color="AAAAAA" w:sz="6" w:space="0"/>
          <w:right w:val="dashed" w:color="AAAAAA" w:sz="6" w:space="0"/>
          <w:insideH w:val="none" w:color="FFFFFF" w:sz="0" w:space="0"/>
          <w:insideV w:val="none" w:color="FFFFFF" w:sz="0" w:space="0"/>
        </w:tblBorders>
        <w:tblLayout w:type="autofit"/>
        <w:tblCellMar>
          <w:top w:w="0" w:type="dxa"/>
          <w:left w:w="10" w:type="dxa"/>
          <w:bottom w:w="0" w:type="dxa"/>
          <w:right w:w="10" w:type="dxa"/>
        </w:tblCellMar>
      </w:tblPr>
      <w:tblGrid>
        <w:gridCol w:w="9000"/>
      </w:tblGrid>
      <w:tr w14:paraId="027B60C7">
        <w:tblPrEx>
          <w:tblBorders>
            <w:top w:val="dashed" w:color="AAAAAA" w:sz="6" w:space="0"/>
            <w:left w:val="dashed" w:color="AAAAAA" w:sz="6" w:space="0"/>
            <w:bottom w:val="dashed" w:color="AAAAAA" w:sz="6" w:space="0"/>
            <w:right w:val="dashed" w:color="AAAAAA" w:sz="6" w:space="0"/>
            <w:insideH w:val="none" w:color="FFFFFF" w:sz="0" w:space="0"/>
            <w:insideV w:val="none" w:color="FFFFFF" w:sz="0" w:space="0"/>
          </w:tblBorders>
          <w:tblCellMar>
            <w:top w:w="0" w:type="dxa"/>
            <w:left w:w="10" w:type="dxa"/>
            <w:bottom w:w="0" w:type="dxa"/>
            <w:right w:w="10" w:type="dxa"/>
          </w:tblCellMar>
        </w:tblPrEx>
        <w:tc>
          <w:tcPr>
            <w:tcW w:w="9000" w:type="dxa"/>
            <w:tcMar>
              <w:top w:w="400" w:type="dxa"/>
              <w:left w:w="120" w:type="dxa"/>
              <w:bottom w:w="400" w:type="dxa"/>
              <w:right w:w="120" w:type="dxa"/>
            </w:tcMar>
          </w:tcPr>
          <w:p w14:paraId="5B45D869">
            <w:pPr>
              <w:spacing w:after="0"/>
              <w:jc w:val="center"/>
              <w:rPr>
                <w:rFonts w:hint="default"/>
                <w:lang w:val="es-CO"/>
              </w:rPr>
            </w:pPr>
            <w:r>
              <w:rPr>
                <w:rFonts w:hint="default"/>
                <w:lang w:val="es-CO"/>
              </w:rPr>
              <w:drawing>
                <wp:inline distT="0" distB="0" distL="114300" distR="114300">
                  <wp:extent cx="5559425" cy="3127375"/>
                  <wp:effectExtent l="0" t="0" r="3175" b="12065"/>
                  <wp:docPr id="3" name="Imagen 3" descr="Flujo de las Capas - Solución FinanTec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Flujo de las Capas - Solución FinanTech(2)"/>
                          <pic:cNvPicPr>
                            <a:picLocks noChangeAspect="1"/>
                          </pic:cNvPicPr>
                        </pic:nvPicPr>
                        <pic:blipFill>
                          <a:blip r:embed="rId6"/>
                          <a:stretch>
                            <a:fillRect/>
                          </a:stretch>
                        </pic:blipFill>
                        <pic:spPr>
                          <a:xfrm>
                            <a:off x="0" y="0"/>
                            <a:ext cx="5559425" cy="3127375"/>
                          </a:xfrm>
                          <a:prstGeom prst="rect">
                            <a:avLst/>
                          </a:prstGeom>
                        </pic:spPr>
                      </pic:pic>
                    </a:graphicData>
                  </a:graphic>
                </wp:inline>
              </w:drawing>
            </w:r>
            <w:bookmarkStart w:id="0" w:name="_GoBack"/>
            <w:bookmarkEnd w:id="0"/>
          </w:p>
        </w:tc>
      </w:tr>
    </w:tbl>
    <w:p w14:paraId="1BECFBC2">
      <w:pPr>
        <w:spacing w:before="100" w:after="240"/>
        <w:jc w:val="center"/>
      </w:pPr>
      <w:r>
        <w:rPr>
          <w:rFonts w:ascii="Times New Roman" w:hAnsi="Times New Roman" w:eastAsia="Times New Roman" w:cs="Times New Roman"/>
          <w:i/>
          <w:iCs/>
          <w:sz w:val="20"/>
          <w:szCs w:val="20"/>
        </w:rPr>
        <w:t>Ilustración 1. Dominios de la arquitectura empresarial. Fuente: adaptado de [2].</w:t>
      </w:r>
    </w:p>
    <w:p w14:paraId="034DC451">
      <w:pPr>
        <w:pStyle w:val="3"/>
        <w:keepNext/>
        <w:spacing w:before="260" w:after="140"/>
      </w:pPr>
      <w:r>
        <w:rPr>
          <w:rFonts w:ascii="Times New Roman" w:hAnsi="Times New Roman" w:eastAsia="Times New Roman" w:cs="Times New Roman"/>
          <w:b/>
          <w:bCs/>
          <w:color w:val="000000"/>
          <w:sz w:val="24"/>
          <w:szCs w:val="24"/>
        </w:rPr>
        <w:t>2.3. Selección del framework de referencia</w:t>
      </w:r>
    </w:p>
    <w:p w14:paraId="7C8A4D2D">
      <w:pPr>
        <w:spacing w:after="160" w:line="300" w:lineRule="auto"/>
        <w:jc w:val="both"/>
      </w:pPr>
      <w:r>
        <w:rPr>
          <w:rFonts w:ascii="Times New Roman" w:hAnsi="Times New Roman" w:eastAsia="Times New Roman" w:cs="Times New Roman"/>
          <w:sz w:val="22"/>
          <w:szCs w:val="22"/>
        </w:rPr>
        <w:t>Un framework de arquitectura empresarial determina en qué términos se define y documenta la arquitectura de la organización. A continuación se comparan los tres marcos más difundidos en la industria y se justifica la selección realizada para este ejercicio.</w:t>
      </w:r>
    </w:p>
    <w:p w14:paraId="79BB41DD">
      <w:pPr>
        <w:pStyle w:val="4"/>
        <w:keepNext/>
        <w:spacing w:before="200" w:after="120"/>
      </w:pPr>
      <w:r>
        <w:rPr>
          <w:rFonts w:ascii="Times New Roman" w:hAnsi="Times New Roman" w:eastAsia="Times New Roman" w:cs="Times New Roman"/>
          <w:b/>
          <w:bCs/>
          <w:i/>
          <w:iCs/>
          <w:color w:val="000000"/>
          <w:sz w:val="22"/>
          <w:szCs w:val="22"/>
        </w:rPr>
        <w:t>2.3.1. Zachman Framework</w:t>
      </w:r>
    </w:p>
    <w:p w14:paraId="0C0B53F7">
      <w:pPr>
        <w:spacing w:after="160" w:line="300" w:lineRule="auto"/>
        <w:jc w:val="both"/>
      </w:pPr>
      <w:r>
        <w:rPr>
          <w:rFonts w:ascii="Times New Roman" w:hAnsi="Times New Roman" w:eastAsia="Times New Roman" w:cs="Times New Roman"/>
          <w:sz w:val="22"/>
          <w:szCs w:val="22"/>
        </w:rPr>
        <w:t>Creado por John Zachman en la década de 1980 mientras trabajaba en IBM en el área de Business System Planning, este marco provee una manera formal y altamente estructurada de definir en qué consiste una empresa [9]. La forma más sencilla de entenderlo es verlo como un esquema de clasificación representado visualmente como una matriz, en la que cada celda proporciona un modelo o representación única de la empresa. Las filas corresponden a las perspectivas de los distintos interesados y las columnas a preguntas estándar: qué, cómo, dónde, quién, cuándo y por qué [10]. La información de cada fila resulta relevante para la persona particular de la organización que la está observando, y todas las celdas deben estar alineadas entre sí, tanto vertical como horizontalmente.</w:t>
      </w:r>
    </w:p>
    <w:p w14:paraId="28B6E0F5">
      <w:pPr>
        <w:spacing w:after="160" w:line="300" w:lineRule="auto"/>
        <w:jc w:val="both"/>
      </w:pPr>
      <w:r>
        <w:rPr>
          <w:rFonts w:ascii="Times New Roman" w:hAnsi="Times New Roman" w:eastAsia="Times New Roman" w:cs="Times New Roman"/>
          <w:sz w:val="22"/>
          <w:szCs w:val="22"/>
        </w:rPr>
        <w:t>Su fortaleza es la exhaustividad taxonómica: obliga a no dejar vacíos en la descripción. Su limitación para este caso es que Zachman es un esquema de clasificación, no una metodología: dice qué documentar, pero no cómo llevar a la organización del estado actual al estado deseado.</w:t>
      </w:r>
    </w:p>
    <w:p w14:paraId="6B38B758">
      <w:pPr>
        <w:pStyle w:val="4"/>
        <w:keepNext/>
        <w:spacing w:before="200" w:after="120"/>
      </w:pPr>
      <w:r>
        <w:rPr>
          <w:rFonts w:ascii="Times New Roman" w:hAnsi="Times New Roman" w:eastAsia="Times New Roman" w:cs="Times New Roman"/>
          <w:b/>
          <w:bCs/>
          <w:i/>
          <w:iCs/>
          <w:color w:val="000000"/>
          <w:sz w:val="22"/>
          <w:szCs w:val="22"/>
        </w:rPr>
        <w:t>2.3.2. E2AF: Extended Enterprise Architecture Framework</w:t>
      </w:r>
    </w:p>
    <w:p w14:paraId="4DA61728">
      <w:pPr>
        <w:spacing w:after="160" w:line="300" w:lineRule="auto"/>
        <w:jc w:val="both"/>
      </w:pPr>
      <w:r>
        <w:rPr>
          <w:rFonts w:ascii="Times New Roman" w:hAnsi="Times New Roman" w:eastAsia="Times New Roman" w:cs="Times New Roman"/>
          <w:sz w:val="22"/>
          <w:szCs w:val="22"/>
        </w:rPr>
        <w:t>El E2AF, desarrollado por Schekkerman en el IFEAD, se define como una extensión de la norma IEEE 1471-2000 [11]. Su concepto de empresa extendida está estrechamente relacionado con una organización líder rodeada de clientes, prospectos, socios, inversionistas, logística y relaciones comerciales. El marco funciona como un vehículo de comunicación para todas las partes interesadas involucradas en un estudio de arquitectura, con el fin de explicar y mostrar las relaciones, dependencias, influencias y complejidad de la situación estudiada [12]. Desde E2AF pueden definirse hojas de ruta para identificar las tareas y actividades necesarias.</w:t>
      </w:r>
    </w:p>
    <w:p w14:paraId="168A3A4C">
      <w:pPr>
        <w:spacing w:after="160" w:line="300" w:lineRule="auto"/>
        <w:jc w:val="both"/>
      </w:pPr>
      <w:r>
        <w:rPr>
          <w:rFonts w:ascii="Times New Roman" w:hAnsi="Times New Roman" w:eastAsia="Times New Roman" w:cs="Times New Roman"/>
          <w:sz w:val="22"/>
          <w:szCs w:val="22"/>
        </w:rPr>
        <w:t>Su fortaleza es el énfasis en el ecosistema externo y en la comunicación con interesados. Es un marco valioso para FinanTech en un horizonte posterior —cuando la empresa se integre con centrales de riesgo, pasarelas de pago y aliados de originación bajo un esquema de banca abierta—, pero resulta menos operativo que TOGAF para el ejercicio de transformación interna que constituye el objetivo inmediato.</w:t>
      </w:r>
    </w:p>
    <w:p w14:paraId="312B3128">
      <w:pPr>
        <w:pStyle w:val="4"/>
        <w:keepNext/>
        <w:spacing w:before="200" w:after="120"/>
      </w:pPr>
      <w:r>
        <w:rPr>
          <w:rFonts w:ascii="Times New Roman" w:hAnsi="Times New Roman" w:eastAsia="Times New Roman" w:cs="Times New Roman"/>
          <w:b/>
          <w:bCs/>
          <w:i/>
          <w:iCs/>
          <w:color w:val="000000"/>
          <w:sz w:val="22"/>
          <w:szCs w:val="22"/>
        </w:rPr>
        <w:t>2.3.3. TOGAF: The Open Group Architecture Framework</w:t>
      </w:r>
    </w:p>
    <w:p w14:paraId="346289D6">
      <w:pPr>
        <w:spacing w:after="160" w:line="300" w:lineRule="auto"/>
        <w:jc w:val="both"/>
      </w:pPr>
      <w:r>
        <w:rPr>
          <w:rFonts w:ascii="Times New Roman" w:hAnsi="Times New Roman" w:eastAsia="Times New Roman" w:cs="Times New Roman"/>
          <w:sz w:val="22"/>
          <w:szCs w:val="22"/>
        </w:rPr>
        <w:t>TOGAF surgió a partir de los materiales del estándar TAFIM, entregados a The Open Group, y su desarrollo se inició en 1995 [13]. El marco recomienda describir los cuatro dominios típicos de la arquitectura empresarial y propone el Método de Desarrollo de la Arquitectura (ADM), compuesto por una fase preliminar y ocho fases cíclicas que incluyen la descripción de los estados actual y futuro, el análisis de brechas, la preparación de los planes de transición y la implementación [2].</w:t>
      </w:r>
    </w:p>
    <w:p w14:paraId="1B87E825">
      <w:pPr>
        <w:spacing w:after="160" w:line="300" w:lineRule="auto"/>
        <w:jc w:val="both"/>
      </w:pPr>
      <w:r>
        <w:rPr>
          <w:rFonts w:ascii="Times New Roman" w:hAnsi="Times New Roman" w:eastAsia="Times New Roman" w:cs="Times New Roman"/>
          <w:sz w:val="22"/>
          <w:szCs w:val="22"/>
        </w:rPr>
        <w:t>El ADM constituye la lógica central de la metodología y forma un ciclo iterativo: en cada iteración se toma una nueva decisión que determina el alcance del ejercicio, el nivel de detalle, el horizonte de tiempo y los activos arquitectónicos a considerar [14]. Sus fases son:</w:t>
      </w:r>
    </w:p>
    <w:p w14:paraId="22AE79A7">
      <w:pPr>
        <w:spacing w:after="1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200"/>
        <w:gridCol w:w="3900"/>
      </w:tblGrid>
      <w:tr w14:paraId="65D0E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900" w:type="dxa"/>
            <w:shd w:val="clear" w:color="auto" w:fill="D9D9D9"/>
            <w:tcMar>
              <w:top w:w="80" w:type="dxa"/>
              <w:left w:w="110" w:type="dxa"/>
              <w:bottom w:w="80" w:type="dxa"/>
              <w:right w:w="110" w:type="dxa"/>
            </w:tcMar>
          </w:tcPr>
          <w:p w14:paraId="537E04E2">
            <w:pPr>
              <w:spacing w:after="0" w:line="260" w:lineRule="auto"/>
              <w:jc w:val="left"/>
            </w:pPr>
            <w:r>
              <w:rPr>
                <w:rFonts w:ascii="Times New Roman" w:hAnsi="Times New Roman" w:eastAsia="Times New Roman" w:cs="Times New Roman"/>
                <w:b/>
                <w:bCs/>
                <w:sz w:val="20"/>
                <w:szCs w:val="20"/>
              </w:rPr>
              <w:t>Fase</w:t>
            </w:r>
          </w:p>
        </w:tc>
        <w:tc>
          <w:tcPr>
            <w:tcW w:w="3200" w:type="dxa"/>
            <w:shd w:val="clear" w:color="auto" w:fill="D9D9D9"/>
            <w:tcMar>
              <w:top w:w="80" w:type="dxa"/>
              <w:left w:w="110" w:type="dxa"/>
              <w:bottom w:w="80" w:type="dxa"/>
              <w:right w:w="110" w:type="dxa"/>
            </w:tcMar>
          </w:tcPr>
          <w:p w14:paraId="3D6F8785">
            <w:pPr>
              <w:spacing w:after="0" w:line="260" w:lineRule="auto"/>
              <w:jc w:val="left"/>
            </w:pPr>
            <w:r>
              <w:rPr>
                <w:rFonts w:ascii="Times New Roman" w:hAnsi="Times New Roman" w:eastAsia="Times New Roman" w:cs="Times New Roman"/>
                <w:b/>
                <w:bCs/>
                <w:sz w:val="20"/>
                <w:szCs w:val="20"/>
              </w:rPr>
              <w:t>Nombre</w:t>
            </w:r>
          </w:p>
        </w:tc>
        <w:tc>
          <w:tcPr>
            <w:tcW w:w="3900" w:type="dxa"/>
            <w:shd w:val="clear" w:color="auto" w:fill="D9D9D9"/>
            <w:tcMar>
              <w:top w:w="80" w:type="dxa"/>
              <w:left w:w="110" w:type="dxa"/>
              <w:bottom w:w="80" w:type="dxa"/>
              <w:right w:w="110" w:type="dxa"/>
            </w:tcMar>
          </w:tcPr>
          <w:p w14:paraId="7DB7F973">
            <w:pPr>
              <w:spacing w:after="0" w:line="260" w:lineRule="auto"/>
              <w:jc w:val="left"/>
            </w:pPr>
            <w:r>
              <w:rPr>
                <w:rFonts w:ascii="Times New Roman" w:hAnsi="Times New Roman" w:eastAsia="Times New Roman" w:cs="Times New Roman"/>
                <w:b/>
                <w:bCs/>
                <w:sz w:val="20"/>
                <w:szCs w:val="20"/>
              </w:rPr>
              <w:t>Aplicación al caso FinanTech</w:t>
            </w:r>
          </w:p>
        </w:tc>
      </w:tr>
      <w:tr w14:paraId="4A498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10" w:type="dxa"/>
              <w:bottom w:w="80" w:type="dxa"/>
              <w:right w:w="110" w:type="dxa"/>
            </w:tcMar>
          </w:tcPr>
          <w:p w14:paraId="6ABE56AC">
            <w:pPr>
              <w:spacing w:after="0" w:line="260" w:lineRule="auto"/>
              <w:jc w:val="left"/>
            </w:pPr>
            <w:r>
              <w:rPr>
                <w:rFonts w:ascii="Times New Roman" w:hAnsi="Times New Roman" w:eastAsia="Times New Roman" w:cs="Times New Roman"/>
                <w:sz w:val="20"/>
                <w:szCs w:val="20"/>
              </w:rPr>
              <w:t>Preliminar</w:t>
            </w:r>
          </w:p>
        </w:tc>
        <w:tc>
          <w:tcPr>
            <w:tcW w:w="3200" w:type="dxa"/>
            <w:tcMar>
              <w:top w:w="80" w:type="dxa"/>
              <w:left w:w="110" w:type="dxa"/>
              <w:bottom w:w="80" w:type="dxa"/>
              <w:right w:w="110" w:type="dxa"/>
            </w:tcMar>
          </w:tcPr>
          <w:p w14:paraId="0A82B44D">
            <w:pPr>
              <w:spacing w:after="0" w:line="260" w:lineRule="auto"/>
              <w:jc w:val="left"/>
            </w:pPr>
            <w:r>
              <w:rPr>
                <w:rFonts w:ascii="Times New Roman" w:hAnsi="Times New Roman" w:eastAsia="Times New Roman" w:cs="Times New Roman"/>
                <w:sz w:val="20"/>
                <w:szCs w:val="20"/>
              </w:rPr>
              <w:t>Marco y principios</w:t>
            </w:r>
          </w:p>
        </w:tc>
        <w:tc>
          <w:tcPr>
            <w:tcW w:w="3900" w:type="dxa"/>
            <w:tcMar>
              <w:top w:w="80" w:type="dxa"/>
              <w:left w:w="110" w:type="dxa"/>
              <w:bottom w:w="80" w:type="dxa"/>
              <w:right w:w="110" w:type="dxa"/>
            </w:tcMar>
          </w:tcPr>
          <w:p w14:paraId="601274B6">
            <w:pPr>
              <w:spacing w:after="0" w:line="260" w:lineRule="auto"/>
              <w:jc w:val="left"/>
            </w:pPr>
            <w:r>
              <w:rPr>
                <w:rFonts w:ascii="Times New Roman" w:hAnsi="Times New Roman" w:eastAsia="Times New Roman" w:cs="Times New Roman"/>
                <w:sz w:val="20"/>
                <w:szCs w:val="20"/>
              </w:rPr>
              <w:t>Definir los principios arquitectónicos: dato con dueño único, API primero, seguridad por diseño.</w:t>
            </w:r>
          </w:p>
        </w:tc>
      </w:tr>
      <w:tr w14:paraId="5355E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10" w:type="dxa"/>
              <w:bottom w:w="80" w:type="dxa"/>
              <w:right w:w="110" w:type="dxa"/>
            </w:tcMar>
          </w:tcPr>
          <w:p w14:paraId="6F21FA0A">
            <w:pPr>
              <w:spacing w:after="0" w:line="260" w:lineRule="auto"/>
              <w:jc w:val="left"/>
            </w:pPr>
            <w:r>
              <w:rPr>
                <w:rFonts w:ascii="Times New Roman" w:hAnsi="Times New Roman" w:eastAsia="Times New Roman" w:cs="Times New Roman"/>
                <w:sz w:val="20"/>
                <w:szCs w:val="20"/>
              </w:rPr>
              <w:t>A</w:t>
            </w:r>
          </w:p>
        </w:tc>
        <w:tc>
          <w:tcPr>
            <w:tcW w:w="3200" w:type="dxa"/>
            <w:tcMar>
              <w:top w:w="80" w:type="dxa"/>
              <w:left w:w="110" w:type="dxa"/>
              <w:bottom w:w="80" w:type="dxa"/>
              <w:right w:w="110" w:type="dxa"/>
            </w:tcMar>
          </w:tcPr>
          <w:p w14:paraId="0EDDAF84">
            <w:pPr>
              <w:spacing w:after="0" w:line="260" w:lineRule="auto"/>
              <w:jc w:val="left"/>
            </w:pPr>
            <w:r>
              <w:rPr>
                <w:rFonts w:ascii="Times New Roman" w:hAnsi="Times New Roman" w:eastAsia="Times New Roman" w:cs="Times New Roman"/>
                <w:sz w:val="20"/>
                <w:szCs w:val="20"/>
              </w:rPr>
              <w:t>Visión de la arquitectura</w:t>
            </w:r>
          </w:p>
        </w:tc>
        <w:tc>
          <w:tcPr>
            <w:tcW w:w="3900" w:type="dxa"/>
            <w:tcMar>
              <w:top w:w="80" w:type="dxa"/>
              <w:left w:w="110" w:type="dxa"/>
              <w:bottom w:w="80" w:type="dxa"/>
              <w:right w:w="110" w:type="dxa"/>
            </w:tcMar>
          </w:tcPr>
          <w:p w14:paraId="3A68572A">
            <w:pPr>
              <w:spacing w:after="0" w:line="260" w:lineRule="auto"/>
              <w:jc w:val="left"/>
            </w:pPr>
            <w:r>
              <w:rPr>
                <w:rFonts w:ascii="Times New Roman" w:hAnsi="Times New Roman" w:eastAsia="Times New Roman" w:cs="Times New Roman"/>
                <w:sz w:val="20"/>
                <w:szCs w:val="20"/>
              </w:rPr>
              <w:t>Declarar el objetivo: organización 100 % digital con originación de crédito de extremo a extremo.</w:t>
            </w:r>
          </w:p>
        </w:tc>
      </w:tr>
      <w:tr w14:paraId="3BDED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10" w:type="dxa"/>
              <w:bottom w:w="80" w:type="dxa"/>
              <w:right w:w="110" w:type="dxa"/>
            </w:tcMar>
          </w:tcPr>
          <w:p w14:paraId="4AA76B21">
            <w:pPr>
              <w:spacing w:after="0" w:line="260" w:lineRule="auto"/>
              <w:jc w:val="left"/>
            </w:pPr>
            <w:r>
              <w:rPr>
                <w:rFonts w:ascii="Times New Roman" w:hAnsi="Times New Roman" w:eastAsia="Times New Roman" w:cs="Times New Roman"/>
                <w:sz w:val="20"/>
                <w:szCs w:val="20"/>
              </w:rPr>
              <w:t>B</w:t>
            </w:r>
          </w:p>
        </w:tc>
        <w:tc>
          <w:tcPr>
            <w:tcW w:w="3200" w:type="dxa"/>
            <w:tcMar>
              <w:top w:w="80" w:type="dxa"/>
              <w:left w:w="110" w:type="dxa"/>
              <w:bottom w:w="80" w:type="dxa"/>
              <w:right w:w="110" w:type="dxa"/>
            </w:tcMar>
          </w:tcPr>
          <w:p w14:paraId="5D46CE7B">
            <w:pPr>
              <w:spacing w:after="0" w:line="260" w:lineRule="auto"/>
              <w:jc w:val="left"/>
            </w:pPr>
            <w:r>
              <w:rPr>
                <w:rFonts w:ascii="Times New Roman" w:hAnsi="Times New Roman" w:eastAsia="Times New Roman" w:cs="Times New Roman"/>
                <w:sz w:val="20"/>
                <w:szCs w:val="20"/>
              </w:rPr>
              <w:t>Arquitectura de negocio</w:t>
            </w:r>
          </w:p>
        </w:tc>
        <w:tc>
          <w:tcPr>
            <w:tcW w:w="3900" w:type="dxa"/>
            <w:tcMar>
              <w:top w:w="80" w:type="dxa"/>
              <w:left w:w="110" w:type="dxa"/>
              <w:bottom w:w="80" w:type="dxa"/>
              <w:right w:w="110" w:type="dxa"/>
            </w:tcMar>
          </w:tcPr>
          <w:p w14:paraId="5CDC453B">
            <w:pPr>
              <w:spacing w:after="0" w:line="260" w:lineRule="auto"/>
              <w:jc w:val="left"/>
            </w:pPr>
            <w:r>
              <w:rPr>
                <w:rFonts w:ascii="Times New Roman" w:hAnsi="Times New Roman" w:eastAsia="Times New Roman" w:cs="Times New Roman"/>
                <w:sz w:val="20"/>
                <w:szCs w:val="20"/>
              </w:rPr>
              <w:t>Rediseñar el proceso de originación y desembolso eliminando pasos manuales de conciliación.</w:t>
            </w:r>
          </w:p>
        </w:tc>
      </w:tr>
      <w:tr w14:paraId="243A9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10" w:type="dxa"/>
              <w:bottom w:w="80" w:type="dxa"/>
              <w:right w:w="110" w:type="dxa"/>
            </w:tcMar>
          </w:tcPr>
          <w:p w14:paraId="2AE72938">
            <w:pPr>
              <w:spacing w:after="0" w:line="260" w:lineRule="auto"/>
              <w:jc w:val="left"/>
            </w:pPr>
            <w:r>
              <w:rPr>
                <w:rFonts w:ascii="Times New Roman" w:hAnsi="Times New Roman" w:eastAsia="Times New Roman" w:cs="Times New Roman"/>
                <w:sz w:val="20"/>
                <w:szCs w:val="20"/>
              </w:rPr>
              <w:t>C</w:t>
            </w:r>
          </w:p>
        </w:tc>
        <w:tc>
          <w:tcPr>
            <w:tcW w:w="3200" w:type="dxa"/>
            <w:tcMar>
              <w:top w:w="80" w:type="dxa"/>
              <w:left w:w="110" w:type="dxa"/>
              <w:bottom w:w="80" w:type="dxa"/>
              <w:right w:w="110" w:type="dxa"/>
            </w:tcMar>
          </w:tcPr>
          <w:p w14:paraId="025ECAB2">
            <w:pPr>
              <w:spacing w:after="0" w:line="260" w:lineRule="auto"/>
              <w:jc w:val="left"/>
            </w:pPr>
            <w:r>
              <w:rPr>
                <w:rFonts w:ascii="Times New Roman" w:hAnsi="Times New Roman" w:eastAsia="Times New Roman" w:cs="Times New Roman"/>
                <w:sz w:val="20"/>
                <w:szCs w:val="20"/>
              </w:rPr>
              <w:t>Arquitectura de sistemas de información</w:t>
            </w:r>
          </w:p>
        </w:tc>
        <w:tc>
          <w:tcPr>
            <w:tcW w:w="3900" w:type="dxa"/>
            <w:tcMar>
              <w:top w:w="80" w:type="dxa"/>
              <w:left w:w="110" w:type="dxa"/>
              <w:bottom w:w="80" w:type="dxa"/>
              <w:right w:w="110" w:type="dxa"/>
            </w:tcMar>
          </w:tcPr>
          <w:p w14:paraId="29720010">
            <w:pPr>
              <w:spacing w:after="0" w:line="260" w:lineRule="auto"/>
              <w:jc w:val="left"/>
            </w:pPr>
            <w:r>
              <w:rPr>
                <w:rFonts w:ascii="Times New Roman" w:hAnsi="Times New Roman" w:eastAsia="Times New Roman" w:cs="Times New Roman"/>
                <w:sz w:val="20"/>
                <w:szCs w:val="20"/>
              </w:rPr>
              <w:t>Definir la arquitectura de datos (MDM, dueño único) y de aplicación (microservicios y APIs).</w:t>
            </w:r>
          </w:p>
        </w:tc>
      </w:tr>
      <w:tr w14:paraId="5BCF7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10" w:type="dxa"/>
              <w:bottom w:w="80" w:type="dxa"/>
              <w:right w:w="110" w:type="dxa"/>
            </w:tcMar>
          </w:tcPr>
          <w:p w14:paraId="291AB2AF">
            <w:pPr>
              <w:spacing w:after="0" w:line="260" w:lineRule="auto"/>
              <w:jc w:val="left"/>
            </w:pPr>
            <w:r>
              <w:rPr>
                <w:rFonts w:ascii="Times New Roman" w:hAnsi="Times New Roman" w:eastAsia="Times New Roman" w:cs="Times New Roman"/>
                <w:sz w:val="20"/>
                <w:szCs w:val="20"/>
              </w:rPr>
              <w:t>D</w:t>
            </w:r>
          </w:p>
        </w:tc>
        <w:tc>
          <w:tcPr>
            <w:tcW w:w="3200" w:type="dxa"/>
            <w:tcMar>
              <w:top w:w="80" w:type="dxa"/>
              <w:left w:w="110" w:type="dxa"/>
              <w:bottom w:w="80" w:type="dxa"/>
              <w:right w:w="110" w:type="dxa"/>
            </w:tcMar>
          </w:tcPr>
          <w:p w14:paraId="7F669EBF">
            <w:pPr>
              <w:spacing w:after="0" w:line="260" w:lineRule="auto"/>
              <w:jc w:val="left"/>
            </w:pPr>
            <w:r>
              <w:rPr>
                <w:rFonts w:ascii="Times New Roman" w:hAnsi="Times New Roman" w:eastAsia="Times New Roman" w:cs="Times New Roman"/>
                <w:sz w:val="20"/>
                <w:szCs w:val="20"/>
              </w:rPr>
              <w:t>Arquitectura tecnológica</w:t>
            </w:r>
          </w:p>
        </w:tc>
        <w:tc>
          <w:tcPr>
            <w:tcW w:w="3900" w:type="dxa"/>
            <w:tcMar>
              <w:top w:w="80" w:type="dxa"/>
              <w:left w:w="110" w:type="dxa"/>
              <w:bottom w:w="80" w:type="dxa"/>
              <w:right w:w="110" w:type="dxa"/>
            </w:tcMar>
          </w:tcPr>
          <w:p w14:paraId="03B57B77">
            <w:pPr>
              <w:spacing w:after="0" w:line="260" w:lineRule="auto"/>
              <w:jc w:val="left"/>
            </w:pPr>
            <w:r>
              <w:rPr>
                <w:rFonts w:ascii="Times New Roman" w:hAnsi="Times New Roman" w:eastAsia="Times New Roman" w:cs="Times New Roman"/>
                <w:sz w:val="20"/>
                <w:szCs w:val="20"/>
              </w:rPr>
              <w:t>Definir la plataforma en la nube, contenedores, bus de eventos y componentes de seguridad.</w:t>
            </w:r>
          </w:p>
        </w:tc>
      </w:tr>
      <w:tr w14:paraId="3A87A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10" w:type="dxa"/>
              <w:bottom w:w="80" w:type="dxa"/>
              <w:right w:w="110" w:type="dxa"/>
            </w:tcMar>
          </w:tcPr>
          <w:p w14:paraId="7203651C">
            <w:pPr>
              <w:spacing w:after="0" w:line="260" w:lineRule="auto"/>
              <w:jc w:val="left"/>
            </w:pPr>
            <w:r>
              <w:rPr>
                <w:rFonts w:ascii="Times New Roman" w:hAnsi="Times New Roman" w:eastAsia="Times New Roman" w:cs="Times New Roman"/>
                <w:sz w:val="20"/>
                <w:szCs w:val="20"/>
              </w:rPr>
              <w:t>E</w:t>
            </w:r>
          </w:p>
        </w:tc>
        <w:tc>
          <w:tcPr>
            <w:tcW w:w="3200" w:type="dxa"/>
            <w:tcMar>
              <w:top w:w="80" w:type="dxa"/>
              <w:left w:w="110" w:type="dxa"/>
              <w:bottom w:w="80" w:type="dxa"/>
              <w:right w:w="110" w:type="dxa"/>
            </w:tcMar>
          </w:tcPr>
          <w:p w14:paraId="29F80BE5">
            <w:pPr>
              <w:spacing w:after="0" w:line="260" w:lineRule="auto"/>
              <w:jc w:val="left"/>
            </w:pPr>
            <w:r>
              <w:rPr>
                <w:rFonts w:ascii="Times New Roman" w:hAnsi="Times New Roman" w:eastAsia="Times New Roman" w:cs="Times New Roman"/>
                <w:sz w:val="20"/>
                <w:szCs w:val="20"/>
              </w:rPr>
              <w:t>Oportunidades y soluciones</w:t>
            </w:r>
          </w:p>
        </w:tc>
        <w:tc>
          <w:tcPr>
            <w:tcW w:w="3900" w:type="dxa"/>
            <w:tcMar>
              <w:top w:w="80" w:type="dxa"/>
              <w:left w:w="110" w:type="dxa"/>
              <w:bottom w:w="80" w:type="dxa"/>
              <w:right w:w="110" w:type="dxa"/>
            </w:tcMar>
          </w:tcPr>
          <w:p w14:paraId="63574F27">
            <w:pPr>
              <w:spacing w:after="0" w:line="260" w:lineRule="auto"/>
              <w:jc w:val="left"/>
            </w:pPr>
            <w:r>
              <w:rPr>
                <w:rFonts w:ascii="Times New Roman" w:hAnsi="Times New Roman" w:eastAsia="Times New Roman" w:cs="Times New Roman"/>
                <w:sz w:val="20"/>
                <w:szCs w:val="20"/>
              </w:rPr>
              <w:t>Agrupar las brechas en paquetes de trabajo priorizados por valor y riesgo.</w:t>
            </w:r>
          </w:p>
        </w:tc>
      </w:tr>
      <w:tr w14:paraId="3ED51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10" w:type="dxa"/>
              <w:bottom w:w="80" w:type="dxa"/>
              <w:right w:w="110" w:type="dxa"/>
            </w:tcMar>
          </w:tcPr>
          <w:p w14:paraId="4189544D">
            <w:pPr>
              <w:spacing w:after="0" w:line="260" w:lineRule="auto"/>
              <w:jc w:val="left"/>
            </w:pPr>
            <w:r>
              <w:rPr>
                <w:rFonts w:ascii="Times New Roman" w:hAnsi="Times New Roman" w:eastAsia="Times New Roman" w:cs="Times New Roman"/>
                <w:sz w:val="20"/>
                <w:szCs w:val="20"/>
              </w:rPr>
              <w:t>F</w:t>
            </w:r>
          </w:p>
        </w:tc>
        <w:tc>
          <w:tcPr>
            <w:tcW w:w="3200" w:type="dxa"/>
            <w:tcMar>
              <w:top w:w="80" w:type="dxa"/>
              <w:left w:w="110" w:type="dxa"/>
              <w:bottom w:w="80" w:type="dxa"/>
              <w:right w:w="110" w:type="dxa"/>
            </w:tcMar>
          </w:tcPr>
          <w:p w14:paraId="3FB26EB1">
            <w:pPr>
              <w:spacing w:after="0" w:line="260" w:lineRule="auto"/>
              <w:jc w:val="left"/>
            </w:pPr>
            <w:r>
              <w:rPr>
                <w:rFonts w:ascii="Times New Roman" w:hAnsi="Times New Roman" w:eastAsia="Times New Roman" w:cs="Times New Roman"/>
                <w:sz w:val="20"/>
                <w:szCs w:val="20"/>
              </w:rPr>
              <w:t>Planeación de la migración</w:t>
            </w:r>
          </w:p>
        </w:tc>
        <w:tc>
          <w:tcPr>
            <w:tcW w:w="3900" w:type="dxa"/>
            <w:tcMar>
              <w:top w:w="80" w:type="dxa"/>
              <w:left w:w="110" w:type="dxa"/>
              <w:bottom w:w="80" w:type="dxa"/>
              <w:right w:w="110" w:type="dxa"/>
            </w:tcMar>
          </w:tcPr>
          <w:p w14:paraId="19D793FC">
            <w:pPr>
              <w:spacing w:after="0" w:line="260" w:lineRule="auto"/>
              <w:jc w:val="left"/>
            </w:pPr>
            <w:r>
              <w:rPr>
                <w:rFonts w:ascii="Times New Roman" w:hAnsi="Times New Roman" w:eastAsia="Times New Roman" w:cs="Times New Roman"/>
                <w:sz w:val="20"/>
                <w:szCs w:val="20"/>
              </w:rPr>
              <w:t>Construir la hoja de ruta por fases descrita en la sección 8.</w:t>
            </w:r>
          </w:p>
        </w:tc>
      </w:tr>
      <w:tr w14:paraId="24B93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10" w:type="dxa"/>
              <w:bottom w:w="80" w:type="dxa"/>
              <w:right w:w="110" w:type="dxa"/>
            </w:tcMar>
          </w:tcPr>
          <w:p w14:paraId="07C385C5">
            <w:pPr>
              <w:spacing w:after="0" w:line="260" w:lineRule="auto"/>
              <w:jc w:val="left"/>
            </w:pPr>
            <w:r>
              <w:rPr>
                <w:rFonts w:ascii="Times New Roman" w:hAnsi="Times New Roman" w:eastAsia="Times New Roman" w:cs="Times New Roman"/>
                <w:sz w:val="20"/>
                <w:szCs w:val="20"/>
              </w:rPr>
              <w:t>G</w:t>
            </w:r>
          </w:p>
        </w:tc>
        <w:tc>
          <w:tcPr>
            <w:tcW w:w="3200" w:type="dxa"/>
            <w:tcMar>
              <w:top w:w="80" w:type="dxa"/>
              <w:left w:w="110" w:type="dxa"/>
              <w:bottom w:w="80" w:type="dxa"/>
              <w:right w:w="110" w:type="dxa"/>
            </w:tcMar>
          </w:tcPr>
          <w:p w14:paraId="0AB0D230">
            <w:pPr>
              <w:spacing w:after="0" w:line="260" w:lineRule="auto"/>
              <w:jc w:val="left"/>
            </w:pPr>
            <w:r>
              <w:rPr>
                <w:rFonts w:ascii="Times New Roman" w:hAnsi="Times New Roman" w:eastAsia="Times New Roman" w:cs="Times New Roman"/>
                <w:sz w:val="20"/>
                <w:szCs w:val="20"/>
              </w:rPr>
              <w:t>Gobierno de la implementación</w:t>
            </w:r>
          </w:p>
        </w:tc>
        <w:tc>
          <w:tcPr>
            <w:tcW w:w="3900" w:type="dxa"/>
            <w:tcMar>
              <w:top w:w="80" w:type="dxa"/>
              <w:left w:w="110" w:type="dxa"/>
              <w:bottom w:w="80" w:type="dxa"/>
              <w:right w:w="110" w:type="dxa"/>
            </w:tcMar>
          </w:tcPr>
          <w:p w14:paraId="4D03F2F0">
            <w:pPr>
              <w:spacing w:after="0" w:line="260" w:lineRule="auto"/>
              <w:jc w:val="left"/>
            </w:pPr>
            <w:r>
              <w:rPr>
                <w:rFonts w:ascii="Times New Roman" w:hAnsi="Times New Roman" w:eastAsia="Times New Roman" w:cs="Times New Roman"/>
                <w:sz w:val="20"/>
                <w:szCs w:val="20"/>
              </w:rPr>
              <w:t>Establecer el comité de arquitectura y el control de cumplimiento de los principios.</w:t>
            </w:r>
          </w:p>
        </w:tc>
      </w:tr>
      <w:tr w14:paraId="769C8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10" w:type="dxa"/>
              <w:bottom w:w="80" w:type="dxa"/>
              <w:right w:w="110" w:type="dxa"/>
            </w:tcMar>
          </w:tcPr>
          <w:p w14:paraId="4DB02EB1">
            <w:pPr>
              <w:spacing w:after="0" w:line="260" w:lineRule="auto"/>
              <w:jc w:val="left"/>
            </w:pPr>
            <w:r>
              <w:rPr>
                <w:rFonts w:ascii="Times New Roman" w:hAnsi="Times New Roman" w:eastAsia="Times New Roman" w:cs="Times New Roman"/>
                <w:sz w:val="20"/>
                <w:szCs w:val="20"/>
              </w:rPr>
              <w:t>H</w:t>
            </w:r>
          </w:p>
        </w:tc>
        <w:tc>
          <w:tcPr>
            <w:tcW w:w="3200" w:type="dxa"/>
            <w:tcMar>
              <w:top w:w="80" w:type="dxa"/>
              <w:left w:w="110" w:type="dxa"/>
              <w:bottom w:w="80" w:type="dxa"/>
              <w:right w:w="110" w:type="dxa"/>
            </w:tcMar>
          </w:tcPr>
          <w:p w14:paraId="62212BC5">
            <w:pPr>
              <w:spacing w:after="0" w:line="260" w:lineRule="auto"/>
              <w:jc w:val="left"/>
            </w:pPr>
            <w:r>
              <w:rPr>
                <w:rFonts w:ascii="Times New Roman" w:hAnsi="Times New Roman" w:eastAsia="Times New Roman" w:cs="Times New Roman"/>
                <w:sz w:val="20"/>
                <w:szCs w:val="20"/>
              </w:rPr>
              <w:t>Gestión del cambio de la arquitectura</w:t>
            </w:r>
          </w:p>
        </w:tc>
        <w:tc>
          <w:tcPr>
            <w:tcW w:w="3900" w:type="dxa"/>
            <w:tcMar>
              <w:top w:w="80" w:type="dxa"/>
              <w:left w:w="110" w:type="dxa"/>
              <w:bottom w:w="80" w:type="dxa"/>
              <w:right w:w="110" w:type="dxa"/>
            </w:tcMar>
          </w:tcPr>
          <w:p w14:paraId="790B7AC2">
            <w:pPr>
              <w:spacing w:after="0" w:line="260" w:lineRule="auto"/>
              <w:jc w:val="left"/>
            </w:pPr>
            <w:r>
              <w:rPr>
                <w:rFonts w:ascii="Times New Roman" w:hAnsi="Times New Roman" w:eastAsia="Times New Roman" w:cs="Times New Roman"/>
                <w:sz w:val="20"/>
                <w:szCs w:val="20"/>
              </w:rPr>
              <w:t>Gestionar la evolución continua de la arquitectura tras la puesta en producción.</w:t>
            </w:r>
          </w:p>
        </w:tc>
      </w:tr>
    </w:tbl>
    <w:p w14:paraId="2BA60AA9">
      <w:pPr>
        <w:spacing w:after="120"/>
      </w:pPr>
    </w:p>
    <w:tbl>
      <w:tblPr>
        <w:tblStyle w:val="9"/>
        <w:tblW w:w="9000" w:type="dxa"/>
        <w:tblInd w:w="0" w:type="dxa"/>
        <w:tblBorders>
          <w:top w:val="dashed" w:color="AAAAAA" w:sz="6" w:space="0"/>
          <w:left w:val="dashed" w:color="AAAAAA" w:sz="6" w:space="0"/>
          <w:bottom w:val="dashed" w:color="AAAAAA" w:sz="6" w:space="0"/>
          <w:right w:val="dashed" w:color="AAAAAA" w:sz="6" w:space="0"/>
          <w:insideH w:val="none" w:color="FFFFFF" w:sz="0" w:space="0"/>
          <w:insideV w:val="none" w:color="FFFFFF" w:sz="0" w:space="0"/>
        </w:tblBorders>
        <w:tblLayout w:type="autofit"/>
        <w:tblCellMar>
          <w:top w:w="0" w:type="dxa"/>
          <w:left w:w="10" w:type="dxa"/>
          <w:bottom w:w="0" w:type="dxa"/>
          <w:right w:w="10" w:type="dxa"/>
        </w:tblCellMar>
      </w:tblPr>
      <w:tblGrid>
        <w:gridCol w:w="9000"/>
      </w:tblGrid>
      <w:tr w14:paraId="5C9DB1B6">
        <w:tblPrEx>
          <w:tblBorders>
            <w:top w:val="dashed" w:color="AAAAAA" w:sz="6" w:space="0"/>
            <w:left w:val="dashed" w:color="AAAAAA" w:sz="6" w:space="0"/>
            <w:bottom w:val="dashed" w:color="AAAAAA" w:sz="6" w:space="0"/>
            <w:right w:val="dashed" w:color="AAAAAA" w:sz="6" w:space="0"/>
            <w:insideH w:val="none" w:color="FFFFFF" w:sz="0" w:space="0"/>
            <w:insideV w:val="none" w:color="FFFFFF" w:sz="0" w:space="0"/>
          </w:tblBorders>
          <w:tblCellMar>
            <w:top w:w="0" w:type="dxa"/>
            <w:left w:w="10" w:type="dxa"/>
            <w:bottom w:w="0" w:type="dxa"/>
            <w:right w:w="10" w:type="dxa"/>
          </w:tblCellMar>
        </w:tblPrEx>
        <w:tc>
          <w:tcPr>
            <w:tcW w:w="9000" w:type="dxa"/>
            <w:tcMar>
              <w:top w:w="400" w:type="dxa"/>
              <w:left w:w="120" w:type="dxa"/>
              <w:bottom w:w="400" w:type="dxa"/>
              <w:right w:w="120" w:type="dxa"/>
            </w:tcMar>
          </w:tcPr>
          <w:p w14:paraId="2282A7C3">
            <w:pPr>
              <w:spacing w:after="0"/>
              <w:jc w:val="center"/>
              <w:rPr>
                <w:rFonts w:hint="default"/>
                <w:lang w:val="es-CO"/>
              </w:rPr>
            </w:pPr>
          </w:p>
          <w:p w14:paraId="09A04DDA">
            <w:pPr>
              <w:spacing w:after="0"/>
              <w:jc w:val="center"/>
              <w:rPr>
                <w:rFonts w:hint="default"/>
                <w:lang w:val="es-CO"/>
              </w:rPr>
            </w:pPr>
            <w:r>
              <w:rPr>
                <w:rFonts w:hint="default"/>
                <w:lang w:val="es-CO"/>
              </w:rPr>
              <w:drawing>
                <wp:inline distT="0" distB="0" distL="114300" distR="114300">
                  <wp:extent cx="2969260" cy="2935605"/>
                  <wp:effectExtent l="0" t="0" r="2540" b="5715"/>
                  <wp:docPr id="2" name="Imagen 2" descr="Client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liente(1)"/>
                          <pic:cNvPicPr>
                            <a:picLocks noChangeAspect="1"/>
                          </pic:cNvPicPr>
                        </pic:nvPicPr>
                        <pic:blipFill>
                          <a:blip r:embed="rId7"/>
                          <a:srcRect l="23290" t="16609" r="29263"/>
                          <a:stretch>
                            <a:fillRect/>
                          </a:stretch>
                        </pic:blipFill>
                        <pic:spPr>
                          <a:xfrm>
                            <a:off x="0" y="0"/>
                            <a:ext cx="2969260" cy="2935605"/>
                          </a:xfrm>
                          <a:prstGeom prst="rect">
                            <a:avLst/>
                          </a:prstGeom>
                        </pic:spPr>
                      </pic:pic>
                    </a:graphicData>
                  </a:graphic>
                </wp:inline>
              </w:drawing>
            </w:r>
          </w:p>
        </w:tc>
      </w:tr>
    </w:tbl>
    <w:p w14:paraId="14314A74">
      <w:pPr>
        <w:spacing w:before="100" w:after="240"/>
        <w:jc w:val="center"/>
      </w:pPr>
      <w:r>
        <w:rPr>
          <w:rFonts w:ascii="Times New Roman" w:hAnsi="Times New Roman" w:eastAsia="Times New Roman" w:cs="Times New Roman"/>
          <w:i/>
          <w:iCs/>
          <w:sz w:val="20"/>
          <w:szCs w:val="20"/>
        </w:rPr>
        <w:t>Ilustración 2. Ciclo del Método de Desarrollo de la Arquitectura (ADM). Fuente: adaptado de [2].</w:t>
      </w:r>
    </w:p>
    <w:p w14:paraId="6BE4F76F">
      <w:pPr>
        <w:spacing w:after="160" w:line="300" w:lineRule="auto"/>
        <w:jc w:val="both"/>
      </w:pPr>
      <w:r>
        <w:rPr>
          <w:rFonts w:ascii="Times New Roman" w:hAnsi="Times New Roman" w:eastAsia="Times New Roman" w:cs="Times New Roman"/>
          <w:b/>
          <w:bCs/>
          <w:sz w:val="22"/>
          <w:szCs w:val="22"/>
        </w:rPr>
        <w:t xml:space="preserve">Justificación de la selección. </w:t>
      </w:r>
      <w:r>
        <w:rPr>
          <w:rFonts w:ascii="Times New Roman" w:hAnsi="Times New Roman" w:eastAsia="Times New Roman" w:cs="Times New Roman"/>
          <w:sz w:val="22"/>
          <w:szCs w:val="22"/>
        </w:rPr>
        <w:t>Para el caso de FinanTech se adopta TOGAF como marco de referencia por tres razones. Primera, es el único de los tres que ofrece un método explícito de transición del estado actual al estado objetivo, que es precisamente lo que la empresa necesita: no está construyendo desde cero, sino migrando cinco sistemas en operación. Segunda, su análisis de brechas entre AS-IS y TO-BE se corresponde directamente con la estructura del problema planteado. Tercera, es el marco de mayor adopción en el sector financiero, lo que facilita la disponibilidad de talento y de referencias de implementación. Zachman se emplea de manera complementaria como esquema de verificación de completitud de la documentación, y E2AF se reserva para la fase posterior de integración con el ecosistema externo.</w:t>
      </w:r>
    </w:p>
    <w:p w14:paraId="59897DC4">
      <w:pPr>
        <w:pStyle w:val="2"/>
        <w:keepNext/>
        <w:spacing w:before="320" w:after="180"/>
      </w:pPr>
      <w:r>
        <w:rPr>
          <w:rFonts w:ascii="Times New Roman" w:hAnsi="Times New Roman" w:eastAsia="Times New Roman" w:cs="Times New Roman"/>
          <w:b/>
          <w:bCs/>
          <w:color w:val="000000"/>
          <w:sz w:val="26"/>
          <w:szCs w:val="26"/>
        </w:rPr>
        <w:t>3. Situación Actual (AS-IS) y Análisis del Problema</w:t>
      </w:r>
    </w:p>
    <w:p w14:paraId="41514605">
      <w:pPr>
        <w:pStyle w:val="3"/>
        <w:keepNext/>
        <w:spacing w:before="260" w:after="140"/>
      </w:pPr>
      <w:r>
        <w:rPr>
          <w:rFonts w:ascii="Times New Roman" w:hAnsi="Times New Roman" w:eastAsia="Times New Roman" w:cs="Times New Roman"/>
          <w:b/>
          <w:bCs/>
          <w:color w:val="000000"/>
          <w:sz w:val="24"/>
          <w:szCs w:val="24"/>
        </w:rPr>
        <w:t>3.1. Descripción de la empresa</w:t>
      </w:r>
    </w:p>
    <w:p w14:paraId="0DF62859">
      <w:pPr>
        <w:spacing w:after="160" w:line="300" w:lineRule="auto"/>
        <w:jc w:val="both"/>
      </w:pPr>
      <w:r>
        <w:rPr>
          <w:rFonts w:ascii="Times New Roman" w:hAnsi="Times New Roman" w:eastAsia="Times New Roman" w:cs="Times New Roman"/>
          <w:sz w:val="22"/>
          <w:szCs w:val="22"/>
        </w:rPr>
        <w:t>FinanTech es una empresa del sector financiero cuyo modelo de negocio consiste en el otorgamiento de créditos y la prestación de servicios digitales asociados. Su intención estratégica declarada es convertirse en una organización cien por ciento digital.</w:t>
      </w:r>
    </w:p>
    <w:p w14:paraId="48679857">
      <w:pPr>
        <w:pStyle w:val="3"/>
        <w:keepNext/>
        <w:spacing w:before="260" w:after="140"/>
      </w:pPr>
      <w:r>
        <w:rPr>
          <w:rFonts w:ascii="Times New Roman" w:hAnsi="Times New Roman" w:eastAsia="Times New Roman" w:cs="Times New Roman"/>
          <w:b/>
          <w:bCs/>
          <w:color w:val="000000"/>
          <w:sz w:val="24"/>
          <w:szCs w:val="24"/>
        </w:rPr>
        <w:t>3.2. Sistemas en operación</w:t>
      </w:r>
    </w:p>
    <w:p w14:paraId="5929362B">
      <w:pPr>
        <w:spacing w:after="160" w:line="300" w:lineRule="auto"/>
        <w:jc w:val="both"/>
      </w:pPr>
      <w:r>
        <w:rPr>
          <w:rFonts w:ascii="Times New Roman" w:hAnsi="Times New Roman" w:eastAsia="Times New Roman" w:cs="Times New Roman"/>
          <w:sz w:val="22"/>
          <w:szCs w:val="22"/>
        </w:rPr>
        <w:t>La organización cuenta actualmente con cinco sistemas, que operan de manera prácticamente independiente:</w:t>
      </w:r>
    </w:p>
    <w:p w14:paraId="2CCDCC51">
      <w:pPr>
        <w:spacing w:after="1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400"/>
        <w:gridCol w:w="3300"/>
      </w:tblGrid>
      <w:tr w14:paraId="4A9D4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D9D9D9"/>
            <w:tcMar>
              <w:top w:w="80" w:type="dxa"/>
              <w:left w:w="110" w:type="dxa"/>
              <w:bottom w:w="80" w:type="dxa"/>
              <w:right w:w="110" w:type="dxa"/>
            </w:tcMar>
          </w:tcPr>
          <w:p w14:paraId="13716BBE">
            <w:pPr>
              <w:spacing w:after="0" w:line="260" w:lineRule="auto"/>
              <w:jc w:val="left"/>
            </w:pPr>
            <w:r>
              <w:rPr>
                <w:rFonts w:ascii="Times New Roman" w:hAnsi="Times New Roman" w:eastAsia="Times New Roman" w:cs="Times New Roman"/>
                <w:b/>
                <w:bCs/>
                <w:sz w:val="20"/>
                <w:szCs w:val="20"/>
              </w:rPr>
              <w:t>Sistema</w:t>
            </w:r>
          </w:p>
        </w:tc>
        <w:tc>
          <w:tcPr>
            <w:tcW w:w="3400" w:type="dxa"/>
            <w:shd w:val="clear" w:color="auto" w:fill="D9D9D9"/>
            <w:tcMar>
              <w:top w:w="80" w:type="dxa"/>
              <w:left w:w="110" w:type="dxa"/>
              <w:bottom w:w="80" w:type="dxa"/>
              <w:right w:w="110" w:type="dxa"/>
            </w:tcMar>
          </w:tcPr>
          <w:p w14:paraId="10EFA929">
            <w:pPr>
              <w:spacing w:after="0" w:line="260" w:lineRule="auto"/>
              <w:jc w:val="left"/>
            </w:pPr>
            <w:r>
              <w:rPr>
                <w:rFonts w:ascii="Times New Roman" w:hAnsi="Times New Roman" w:eastAsia="Times New Roman" w:cs="Times New Roman"/>
                <w:b/>
                <w:bCs/>
                <w:sz w:val="20"/>
                <w:szCs w:val="20"/>
              </w:rPr>
              <w:t>Función que cumple hoy</w:t>
            </w:r>
          </w:p>
        </w:tc>
        <w:tc>
          <w:tcPr>
            <w:tcW w:w="3300" w:type="dxa"/>
            <w:shd w:val="clear" w:color="auto" w:fill="D9D9D9"/>
            <w:tcMar>
              <w:top w:w="80" w:type="dxa"/>
              <w:left w:w="110" w:type="dxa"/>
              <w:bottom w:w="80" w:type="dxa"/>
              <w:right w:w="110" w:type="dxa"/>
            </w:tcMar>
          </w:tcPr>
          <w:p w14:paraId="55E4E174">
            <w:pPr>
              <w:spacing w:after="0" w:line="260" w:lineRule="auto"/>
              <w:jc w:val="left"/>
            </w:pPr>
            <w:r>
              <w:rPr>
                <w:rFonts w:ascii="Times New Roman" w:hAnsi="Times New Roman" w:eastAsia="Times New Roman" w:cs="Times New Roman"/>
                <w:b/>
                <w:bCs/>
                <w:sz w:val="20"/>
                <w:szCs w:val="20"/>
              </w:rPr>
              <w:t>Problema que introduce</w:t>
            </w:r>
          </w:p>
        </w:tc>
      </w:tr>
      <w:tr w14:paraId="10C80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10" w:type="dxa"/>
              <w:bottom w:w="80" w:type="dxa"/>
              <w:right w:w="110" w:type="dxa"/>
            </w:tcMar>
          </w:tcPr>
          <w:p w14:paraId="49EE0D0B">
            <w:pPr>
              <w:spacing w:after="0" w:line="260" w:lineRule="auto"/>
              <w:jc w:val="left"/>
            </w:pPr>
            <w:r>
              <w:rPr>
                <w:rFonts w:ascii="Times New Roman" w:hAnsi="Times New Roman" w:eastAsia="Times New Roman" w:cs="Times New Roman"/>
                <w:sz w:val="20"/>
                <w:szCs w:val="20"/>
              </w:rPr>
              <w:t>Sistema de clientes</w:t>
            </w:r>
          </w:p>
        </w:tc>
        <w:tc>
          <w:tcPr>
            <w:tcW w:w="3400" w:type="dxa"/>
            <w:tcMar>
              <w:top w:w="80" w:type="dxa"/>
              <w:left w:w="110" w:type="dxa"/>
              <w:bottom w:w="80" w:type="dxa"/>
              <w:right w:w="110" w:type="dxa"/>
            </w:tcMar>
          </w:tcPr>
          <w:p w14:paraId="514B9AC5">
            <w:pPr>
              <w:spacing w:after="0" w:line="260" w:lineRule="auto"/>
              <w:jc w:val="left"/>
            </w:pPr>
            <w:r>
              <w:rPr>
                <w:rFonts w:ascii="Times New Roman" w:hAnsi="Times New Roman" w:eastAsia="Times New Roman" w:cs="Times New Roman"/>
                <w:sz w:val="20"/>
                <w:szCs w:val="20"/>
              </w:rPr>
              <w:t>Registro y administración de datos personales y de contacto.</w:t>
            </w:r>
          </w:p>
        </w:tc>
        <w:tc>
          <w:tcPr>
            <w:tcW w:w="3300" w:type="dxa"/>
            <w:tcMar>
              <w:top w:w="80" w:type="dxa"/>
              <w:left w:w="110" w:type="dxa"/>
              <w:bottom w:w="80" w:type="dxa"/>
              <w:right w:w="110" w:type="dxa"/>
            </w:tcMar>
          </w:tcPr>
          <w:p w14:paraId="098A5463">
            <w:pPr>
              <w:spacing w:after="0" w:line="260" w:lineRule="auto"/>
              <w:jc w:val="left"/>
            </w:pPr>
            <w:r>
              <w:rPr>
                <w:rFonts w:ascii="Times New Roman" w:hAnsi="Times New Roman" w:eastAsia="Times New Roman" w:cs="Times New Roman"/>
                <w:sz w:val="20"/>
                <w:szCs w:val="20"/>
              </w:rPr>
              <w:t>No es reconocido como fuente única; los demás sistemas mantienen copias propias.</w:t>
            </w:r>
          </w:p>
        </w:tc>
      </w:tr>
      <w:tr w14:paraId="2F725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10" w:type="dxa"/>
              <w:bottom w:w="80" w:type="dxa"/>
              <w:right w:w="110" w:type="dxa"/>
            </w:tcMar>
          </w:tcPr>
          <w:p w14:paraId="1C51DD5A">
            <w:pPr>
              <w:spacing w:after="0" w:line="260" w:lineRule="auto"/>
              <w:jc w:val="left"/>
            </w:pPr>
            <w:r>
              <w:rPr>
                <w:rFonts w:ascii="Times New Roman" w:hAnsi="Times New Roman" w:eastAsia="Times New Roman" w:cs="Times New Roman"/>
                <w:sz w:val="20"/>
                <w:szCs w:val="20"/>
              </w:rPr>
              <w:t>Sistema de créditos</w:t>
            </w:r>
          </w:p>
        </w:tc>
        <w:tc>
          <w:tcPr>
            <w:tcW w:w="3400" w:type="dxa"/>
            <w:tcMar>
              <w:top w:w="80" w:type="dxa"/>
              <w:left w:w="110" w:type="dxa"/>
              <w:bottom w:w="80" w:type="dxa"/>
              <w:right w:w="110" w:type="dxa"/>
            </w:tcMar>
          </w:tcPr>
          <w:p w14:paraId="18F9D612">
            <w:pPr>
              <w:spacing w:after="0" w:line="260" w:lineRule="auto"/>
              <w:jc w:val="left"/>
            </w:pPr>
            <w:r>
              <w:rPr>
                <w:rFonts w:ascii="Times New Roman" w:hAnsi="Times New Roman" w:eastAsia="Times New Roman" w:cs="Times New Roman"/>
                <w:sz w:val="20"/>
                <w:szCs w:val="20"/>
              </w:rPr>
              <w:t>Registro de solicitudes, contratos y saldos.</w:t>
            </w:r>
          </w:p>
        </w:tc>
        <w:tc>
          <w:tcPr>
            <w:tcW w:w="3300" w:type="dxa"/>
            <w:tcMar>
              <w:top w:w="80" w:type="dxa"/>
              <w:left w:w="110" w:type="dxa"/>
              <w:bottom w:w="80" w:type="dxa"/>
              <w:right w:w="110" w:type="dxa"/>
            </w:tcMar>
          </w:tcPr>
          <w:p w14:paraId="6D012205">
            <w:pPr>
              <w:spacing w:after="0" w:line="260" w:lineRule="auto"/>
              <w:jc w:val="left"/>
            </w:pPr>
            <w:r>
              <w:rPr>
                <w:rFonts w:ascii="Times New Roman" w:hAnsi="Times New Roman" w:eastAsia="Times New Roman" w:cs="Times New Roman"/>
                <w:sz w:val="20"/>
                <w:szCs w:val="20"/>
              </w:rPr>
              <w:t>Mantiene su propia versión de los datos del cliente y su propia lógica de acceso.</w:t>
            </w:r>
          </w:p>
        </w:tc>
      </w:tr>
      <w:tr w14:paraId="061BF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10" w:type="dxa"/>
              <w:bottom w:w="80" w:type="dxa"/>
              <w:right w:w="110" w:type="dxa"/>
            </w:tcMar>
          </w:tcPr>
          <w:p w14:paraId="16428E48">
            <w:pPr>
              <w:spacing w:after="0" w:line="260" w:lineRule="auto"/>
              <w:jc w:val="left"/>
            </w:pPr>
            <w:r>
              <w:rPr>
                <w:rFonts w:ascii="Times New Roman" w:hAnsi="Times New Roman" w:eastAsia="Times New Roman" w:cs="Times New Roman"/>
                <w:sz w:val="20"/>
                <w:szCs w:val="20"/>
              </w:rPr>
              <w:t>Sistema contable</w:t>
            </w:r>
          </w:p>
        </w:tc>
        <w:tc>
          <w:tcPr>
            <w:tcW w:w="3400" w:type="dxa"/>
            <w:tcMar>
              <w:top w:w="80" w:type="dxa"/>
              <w:left w:w="110" w:type="dxa"/>
              <w:bottom w:w="80" w:type="dxa"/>
              <w:right w:w="110" w:type="dxa"/>
            </w:tcMar>
          </w:tcPr>
          <w:p w14:paraId="19CF7002">
            <w:pPr>
              <w:spacing w:after="0" w:line="260" w:lineRule="auto"/>
              <w:jc w:val="left"/>
            </w:pPr>
            <w:r>
              <w:rPr>
                <w:rFonts w:ascii="Times New Roman" w:hAnsi="Times New Roman" w:eastAsia="Times New Roman" w:cs="Times New Roman"/>
                <w:sz w:val="20"/>
                <w:szCs w:val="20"/>
              </w:rPr>
              <w:t>Registro de asientos y estados financieros.</w:t>
            </w:r>
          </w:p>
        </w:tc>
        <w:tc>
          <w:tcPr>
            <w:tcW w:w="3300" w:type="dxa"/>
            <w:tcMar>
              <w:top w:w="80" w:type="dxa"/>
              <w:left w:w="110" w:type="dxa"/>
              <w:bottom w:w="80" w:type="dxa"/>
              <w:right w:w="110" w:type="dxa"/>
            </w:tcMar>
          </w:tcPr>
          <w:p w14:paraId="1137D5FC">
            <w:pPr>
              <w:spacing w:after="0" w:line="260" w:lineRule="auto"/>
              <w:jc w:val="left"/>
            </w:pPr>
            <w:r>
              <w:rPr>
                <w:rFonts w:ascii="Times New Roman" w:hAnsi="Times New Roman" w:eastAsia="Times New Roman" w:cs="Times New Roman"/>
                <w:sz w:val="20"/>
                <w:szCs w:val="20"/>
              </w:rPr>
              <w:t>Recibe información por cargas manuales o archivos planos, con desfase y errores.</w:t>
            </w:r>
          </w:p>
        </w:tc>
      </w:tr>
      <w:tr w14:paraId="19936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10" w:type="dxa"/>
              <w:bottom w:w="80" w:type="dxa"/>
              <w:right w:w="110" w:type="dxa"/>
            </w:tcMar>
          </w:tcPr>
          <w:p w14:paraId="1A5248A7">
            <w:pPr>
              <w:spacing w:after="0" w:line="260" w:lineRule="auto"/>
              <w:jc w:val="left"/>
            </w:pPr>
            <w:r>
              <w:rPr>
                <w:rFonts w:ascii="Times New Roman" w:hAnsi="Times New Roman" w:eastAsia="Times New Roman" w:cs="Times New Roman"/>
                <w:sz w:val="20"/>
                <w:szCs w:val="20"/>
              </w:rPr>
              <w:t>Página web</w:t>
            </w:r>
          </w:p>
        </w:tc>
        <w:tc>
          <w:tcPr>
            <w:tcW w:w="3400" w:type="dxa"/>
            <w:tcMar>
              <w:top w:w="80" w:type="dxa"/>
              <w:left w:w="110" w:type="dxa"/>
              <w:bottom w:w="80" w:type="dxa"/>
              <w:right w:w="110" w:type="dxa"/>
            </w:tcMar>
          </w:tcPr>
          <w:p w14:paraId="22A2B83D">
            <w:pPr>
              <w:spacing w:after="0" w:line="260" w:lineRule="auto"/>
              <w:jc w:val="left"/>
            </w:pPr>
            <w:r>
              <w:rPr>
                <w:rFonts w:ascii="Times New Roman" w:hAnsi="Times New Roman" w:eastAsia="Times New Roman" w:cs="Times New Roman"/>
                <w:sz w:val="20"/>
                <w:szCs w:val="20"/>
              </w:rPr>
              <w:t>Canal de consulta e información al público.</w:t>
            </w:r>
          </w:p>
        </w:tc>
        <w:tc>
          <w:tcPr>
            <w:tcW w:w="3300" w:type="dxa"/>
            <w:tcMar>
              <w:top w:w="80" w:type="dxa"/>
              <w:left w:w="110" w:type="dxa"/>
              <w:bottom w:w="80" w:type="dxa"/>
              <w:right w:w="110" w:type="dxa"/>
            </w:tcMar>
          </w:tcPr>
          <w:p w14:paraId="706B3AEA">
            <w:pPr>
              <w:spacing w:after="0" w:line="260" w:lineRule="auto"/>
              <w:jc w:val="left"/>
            </w:pPr>
            <w:r>
              <w:rPr>
                <w:rFonts w:ascii="Times New Roman" w:hAnsi="Times New Roman" w:eastAsia="Times New Roman" w:cs="Times New Roman"/>
                <w:sz w:val="20"/>
                <w:szCs w:val="20"/>
              </w:rPr>
              <w:t>Consume un backend distinto al de la aplicación móvil, mostrando datos inconsistentes.</w:t>
            </w:r>
          </w:p>
        </w:tc>
      </w:tr>
      <w:tr w14:paraId="77FF3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0" w:type="dxa"/>
            <w:tcMar>
              <w:top w:w="80" w:type="dxa"/>
              <w:left w:w="110" w:type="dxa"/>
              <w:bottom w:w="80" w:type="dxa"/>
              <w:right w:w="110" w:type="dxa"/>
            </w:tcMar>
          </w:tcPr>
          <w:p w14:paraId="0DD15B03">
            <w:pPr>
              <w:spacing w:after="0" w:line="260" w:lineRule="auto"/>
              <w:jc w:val="left"/>
            </w:pPr>
            <w:r>
              <w:rPr>
                <w:rFonts w:ascii="Times New Roman" w:hAnsi="Times New Roman" w:eastAsia="Times New Roman" w:cs="Times New Roman"/>
                <w:sz w:val="20"/>
                <w:szCs w:val="20"/>
              </w:rPr>
              <w:t>Aplicación móvil</w:t>
            </w:r>
          </w:p>
        </w:tc>
        <w:tc>
          <w:tcPr>
            <w:tcW w:w="3400" w:type="dxa"/>
            <w:tcMar>
              <w:top w:w="80" w:type="dxa"/>
              <w:left w:w="110" w:type="dxa"/>
              <w:bottom w:w="80" w:type="dxa"/>
              <w:right w:w="110" w:type="dxa"/>
            </w:tcMar>
          </w:tcPr>
          <w:p w14:paraId="697C695F">
            <w:pPr>
              <w:spacing w:after="0" w:line="260" w:lineRule="auto"/>
              <w:jc w:val="left"/>
            </w:pPr>
            <w:r>
              <w:rPr>
                <w:rFonts w:ascii="Times New Roman" w:hAnsi="Times New Roman" w:eastAsia="Times New Roman" w:cs="Times New Roman"/>
                <w:sz w:val="20"/>
                <w:szCs w:val="20"/>
              </w:rPr>
              <w:t>Canal transaccional para el cliente.</w:t>
            </w:r>
          </w:p>
        </w:tc>
        <w:tc>
          <w:tcPr>
            <w:tcW w:w="3300" w:type="dxa"/>
            <w:tcMar>
              <w:top w:w="80" w:type="dxa"/>
              <w:left w:w="110" w:type="dxa"/>
              <w:bottom w:w="80" w:type="dxa"/>
              <w:right w:w="110" w:type="dxa"/>
            </w:tcMar>
          </w:tcPr>
          <w:p w14:paraId="4862DB37">
            <w:pPr>
              <w:spacing w:after="0" w:line="260" w:lineRule="auto"/>
              <w:jc w:val="left"/>
            </w:pPr>
            <w:r>
              <w:rPr>
                <w:rFonts w:ascii="Times New Roman" w:hAnsi="Times New Roman" w:eastAsia="Times New Roman" w:cs="Times New Roman"/>
                <w:sz w:val="20"/>
                <w:szCs w:val="20"/>
              </w:rPr>
              <w:t>Autenticación propia, independiente de la del portal web.</w:t>
            </w:r>
          </w:p>
        </w:tc>
      </w:tr>
    </w:tbl>
    <w:p w14:paraId="7B9F0D0B">
      <w:pPr>
        <w:spacing w:after="160"/>
      </w:pPr>
    </w:p>
    <w:tbl>
      <w:tblPr>
        <w:tblStyle w:val="9"/>
        <w:tblW w:w="9000" w:type="dxa"/>
        <w:tblInd w:w="0" w:type="dxa"/>
        <w:tblBorders>
          <w:top w:val="dashed" w:color="AAAAAA" w:sz="6" w:space="0"/>
          <w:left w:val="dashed" w:color="AAAAAA" w:sz="6" w:space="0"/>
          <w:bottom w:val="dashed" w:color="AAAAAA" w:sz="6" w:space="0"/>
          <w:right w:val="dashed" w:color="AAAAAA" w:sz="6" w:space="0"/>
          <w:insideH w:val="none" w:color="FFFFFF" w:sz="0" w:space="0"/>
          <w:insideV w:val="none" w:color="FFFFFF" w:sz="0" w:space="0"/>
        </w:tblBorders>
        <w:tblLayout w:type="autofit"/>
        <w:tblCellMar>
          <w:top w:w="0" w:type="dxa"/>
          <w:left w:w="10" w:type="dxa"/>
          <w:bottom w:w="0" w:type="dxa"/>
          <w:right w:w="10" w:type="dxa"/>
        </w:tblCellMar>
      </w:tblPr>
      <w:tblGrid>
        <w:gridCol w:w="9000"/>
      </w:tblGrid>
      <w:tr w14:paraId="33B54FA8">
        <w:tblPrEx>
          <w:tblBorders>
            <w:top w:val="dashed" w:color="AAAAAA" w:sz="6" w:space="0"/>
            <w:left w:val="dashed" w:color="AAAAAA" w:sz="6" w:space="0"/>
            <w:bottom w:val="dashed" w:color="AAAAAA" w:sz="6" w:space="0"/>
            <w:right w:val="dashed" w:color="AAAAAA" w:sz="6" w:space="0"/>
            <w:insideH w:val="none" w:color="FFFFFF" w:sz="0" w:space="0"/>
            <w:insideV w:val="none" w:color="FFFFFF" w:sz="0" w:space="0"/>
          </w:tblBorders>
          <w:tblCellMar>
            <w:top w:w="0" w:type="dxa"/>
            <w:left w:w="10" w:type="dxa"/>
            <w:bottom w:w="0" w:type="dxa"/>
            <w:right w:w="10" w:type="dxa"/>
          </w:tblCellMar>
        </w:tblPrEx>
        <w:tc>
          <w:tcPr>
            <w:tcW w:w="9000" w:type="dxa"/>
            <w:tcMar>
              <w:top w:w="400" w:type="dxa"/>
              <w:left w:w="120" w:type="dxa"/>
              <w:bottom w:w="400" w:type="dxa"/>
              <w:right w:w="120" w:type="dxa"/>
            </w:tcMar>
          </w:tcPr>
          <w:p w14:paraId="28A89100">
            <w:pPr>
              <w:spacing w:after="0"/>
              <w:jc w:val="center"/>
            </w:pPr>
            <w:r>
              <w:rPr>
                <w:rFonts w:ascii="Times New Roman" w:hAnsi="Times New Roman" w:eastAsia="Times New Roman" w:cs="Times New Roman"/>
                <w:i/>
                <w:iCs/>
                <w:color w:val="777777"/>
                <w:sz w:val="20"/>
                <w:szCs w:val="20"/>
              </w:rPr>
              <w:t>[ Insertar aquí la Ilustración 3: diagrama del estado actual (AS-IS) mostrando los cinco sistemas aislados ]</w:t>
            </w:r>
          </w:p>
        </w:tc>
      </w:tr>
    </w:tbl>
    <w:p w14:paraId="10D6963A">
      <w:pPr>
        <w:spacing w:before="100" w:after="240"/>
        <w:jc w:val="center"/>
      </w:pPr>
      <w:r>
        <w:rPr>
          <w:rFonts w:ascii="Times New Roman" w:hAnsi="Times New Roman" w:eastAsia="Times New Roman" w:cs="Times New Roman"/>
          <w:i/>
          <w:iCs/>
          <w:sz w:val="20"/>
          <w:szCs w:val="20"/>
        </w:rPr>
        <w:t>Ilustración 3. Estado actual de los sistemas de FinanTech (AS-IS). Fuente: elaboración propia.</w:t>
      </w:r>
    </w:p>
    <w:p w14:paraId="59982F66">
      <w:pPr>
        <w:pStyle w:val="3"/>
        <w:keepNext/>
        <w:spacing w:before="260" w:after="140"/>
      </w:pPr>
      <w:r>
        <w:rPr>
          <w:rFonts w:ascii="Times New Roman" w:hAnsi="Times New Roman" w:eastAsia="Times New Roman" w:cs="Times New Roman"/>
          <w:b/>
          <w:bCs/>
          <w:color w:val="000000"/>
          <w:sz w:val="24"/>
          <w:szCs w:val="24"/>
        </w:rPr>
        <w:t>3.3. Análisis de causa raíz</w:t>
      </w:r>
    </w:p>
    <w:p w14:paraId="23C019DF">
      <w:pPr>
        <w:spacing w:after="160" w:line="300" w:lineRule="auto"/>
        <w:jc w:val="both"/>
      </w:pPr>
      <w:r>
        <w:rPr>
          <w:rFonts w:ascii="Times New Roman" w:hAnsi="Times New Roman" w:eastAsia="Times New Roman" w:cs="Times New Roman"/>
          <w:sz w:val="22"/>
          <w:szCs w:val="22"/>
        </w:rPr>
        <w:t>Las seis problemáticas reportadas por la empresa —información duplicada, errores en los datos, procesos lentos, problemas de seguridad, dificultad para generar informes y experiencia deficiente para el cliente— no constituyen seis problemas independientes. Son seis manifestaciones de una misma causa raíz.</w:t>
      </w:r>
    </w:p>
    <w:p w14:paraId="3A1DF6B4">
      <w:pPr>
        <w:spacing w:after="160" w:line="300" w:lineRule="auto"/>
        <w:jc w:val="both"/>
      </w:pPr>
      <w:r>
        <w:rPr>
          <w:rFonts w:ascii="Times New Roman" w:hAnsi="Times New Roman" w:eastAsia="Times New Roman" w:cs="Times New Roman"/>
          <w:b/>
          <w:bCs/>
          <w:sz w:val="22"/>
          <w:szCs w:val="22"/>
        </w:rPr>
        <w:t>El problema central de FinanTech no es la tecnología aplicada ni su complejidad: es de integración. Cada sistema mantiene su propia versión del cliente y no existen servicios ni contratos que permitan la comunicación entre ellos. En términos del dominio de arquitectura de datos, la organización carece de una fuente única de verdad por dominio de información.</w:t>
      </w:r>
    </w:p>
    <w:p w14:paraId="17572224">
      <w:pPr>
        <w:spacing w:after="160" w:line="300" w:lineRule="auto"/>
        <w:jc w:val="both"/>
      </w:pPr>
      <w:r>
        <w:rPr>
          <w:rFonts w:ascii="Times New Roman" w:hAnsi="Times New Roman" w:eastAsia="Times New Roman" w:cs="Times New Roman"/>
          <w:sz w:val="22"/>
          <w:szCs w:val="22"/>
        </w:rPr>
        <w:t>La cadena causal se desarrolla de la siguiente manera:</w:t>
      </w:r>
    </w:p>
    <w:p w14:paraId="427AC5BC">
      <w:pPr>
        <w:spacing w:after="1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5700"/>
      </w:tblGrid>
      <w:tr w14:paraId="21942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00" w:type="dxa"/>
            <w:shd w:val="clear" w:color="auto" w:fill="D9D9D9"/>
            <w:tcMar>
              <w:top w:w="80" w:type="dxa"/>
              <w:left w:w="110" w:type="dxa"/>
              <w:bottom w:w="80" w:type="dxa"/>
              <w:right w:w="110" w:type="dxa"/>
            </w:tcMar>
          </w:tcPr>
          <w:p w14:paraId="1B45E0E9">
            <w:pPr>
              <w:spacing w:after="0" w:line="260" w:lineRule="auto"/>
              <w:jc w:val="left"/>
            </w:pPr>
            <w:r>
              <w:rPr>
                <w:rFonts w:ascii="Times New Roman" w:hAnsi="Times New Roman" w:eastAsia="Times New Roman" w:cs="Times New Roman"/>
                <w:b/>
                <w:bCs/>
                <w:sz w:val="20"/>
                <w:szCs w:val="20"/>
              </w:rPr>
              <w:t>Síntoma reportado</w:t>
            </w:r>
          </w:p>
        </w:tc>
        <w:tc>
          <w:tcPr>
            <w:tcW w:w="5700" w:type="dxa"/>
            <w:shd w:val="clear" w:color="auto" w:fill="D9D9D9"/>
            <w:tcMar>
              <w:top w:w="80" w:type="dxa"/>
              <w:left w:w="110" w:type="dxa"/>
              <w:bottom w:w="80" w:type="dxa"/>
              <w:right w:w="110" w:type="dxa"/>
            </w:tcMar>
          </w:tcPr>
          <w:p w14:paraId="728AF362">
            <w:pPr>
              <w:spacing w:after="0" w:line="260" w:lineRule="auto"/>
              <w:jc w:val="left"/>
            </w:pPr>
            <w:r>
              <w:rPr>
                <w:rFonts w:ascii="Times New Roman" w:hAnsi="Times New Roman" w:eastAsia="Times New Roman" w:cs="Times New Roman"/>
                <w:b/>
                <w:bCs/>
                <w:sz w:val="20"/>
                <w:szCs w:val="20"/>
              </w:rPr>
              <w:t>Explicación desde la causa raíz</w:t>
            </w:r>
          </w:p>
        </w:tc>
      </w:tr>
      <w:tr w14:paraId="45B6F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80" w:type="dxa"/>
              <w:left w:w="110" w:type="dxa"/>
              <w:bottom w:w="80" w:type="dxa"/>
              <w:right w:w="110" w:type="dxa"/>
            </w:tcMar>
          </w:tcPr>
          <w:p w14:paraId="6702B7E1">
            <w:pPr>
              <w:spacing w:after="0" w:line="260" w:lineRule="auto"/>
              <w:jc w:val="left"/>
            </w:pPr>
            <w:r>
              <w:rPr>
                <w:rFonts w:ascii="Times New Roman" w:hAnsi="Times New Roman" w:eastAsia="Times New Roman" w:cs="Times New Roman"/>
                <w:sz w:val="20"/>
                <w:szCs w:val="20"/>
              </w:rPr>
              <w:t>Información duplicada</w:t>
            </w:r>
          </w:p>
        </w:tc>
        <w:tc>
          <w:tcPr>
            <w:tcW w:w="5700" w:type="dxa"/>
            <w:tcMar>
              <w:top w:w="80" w:type="dxa"/>
              <w:left w:w="110" w:type="dxa"/>
              <w:bottom w:w="80" w:type="dxa"/>
              <w:right w:w="110" w:type="dxa"/>
            </w:tcMar>
          </w:tcPr>
          <w:p w14:paraId="00CD259D">
            <w:pPr>
              <w:spacing w:after="0" w:line="260" w:lineRule="auto"/>
              <w:jc w:val="left"/>
            </w:pPr>
            <w:r>
              <w:rPr>
                <w:rFonts w:ascii="Times New Roman" w:hAnsi="Times New Roman" w:eastAsia="Times New Roman" w:cs="Times New Roman"/>
                <w:sz w:val="20"/>
                <w:szCs w:val="20"/>
              </w:rPr>
              <w:t>Al no existir un dueño único del dato, cada sistema crea y mantiene su propio registro del mismo cliente.</w:t>
            </w:r>
          </w:p>
        </w:tc>
      </w:tr>
      <w:tr w14:paraId="4DB07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80" w:type="dxa"/>
              <w:left w:w="110" w:type="dxa"/>
              <w:bottom w:w="80" w:type="dxa"/>
              <w:right w:w="110" w:type="dxa"/>
            </w:tcMar>
          </w:tcPr>
          <w:p w14:paraId="7BD0990B">
            <w:pPr>
              <w:spacing w:after="0" w:line="260" w:lineRule="auto"/>
              <w:jc w:val="left"/>
            </w:pPr>
            <w:r>
              <w:rPr>
                <w:rFonts w:ascii="Times New Roman" w:hAnsi="Times New Roman" w:eastAsia="Times New Roman" w:cs="Times New Roman"/>
                <w:sz w:val="20"/>
                <w:szCs w:val="20"/>
              </w:rPr>
              <w:t>Errores en los datos</w:t>
            </w:r>
          </w:p>
        </w:tc>
        <w:tc>
          <w:tcPr>
            <w:tcW w:w="5700" w:type="dxa"/>
            <w:tcMar>
              <w:top w:w="80" w:type="dxa"/>
              <w:left w:w="110" w:type="dxa"/>
              <w:bottom w:w="80" w:type="dxa"/>
              <w:right w:w="110" w:type="dxa"/>
            </w:tcMar>
          </w:tcPr>
          <w:p w14:paraId="2D712D55">
            <w:pPr>
              <w:spacing w:after="0" w:line="260" w:lineRule="auto"/>
              <w:jc w:val="left"/>
            </w:pPr>
            <w:r>
              <w:rPr>
                <w:rFonts w:ascii="Times New Roman" w:hAnsi="Times New Roman" w:eastAsia="Times New Roman" w:cs="Times New Roman"/>
                <w:sz w:val="20"/>
                <w:szCs w:val="20"/>
              </w:rPr>
              <w:t>Cuando existen tres versiones del mismo cliente, ninguna puede considerarse autoritativa; las actualizaciones se aplican en un sistema y no se propagan a los demás.</w:t>
            </w:r>
          </w:p>
        </w:tc>
      </w:tr>
      <w:tr w14:paraId="1BE02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80" w:type="dxa"/>
              <w:left w:w="110" w:type="dxa"/>
              <w:bottom w:w="80" w:type="dxa"/>
              <w:right w:w="110" w:type="dxa"/>
            </w:tcMar>
          </w:tcPr>
          <w:p w14:paraId="13C99407">
            <w:pPr>
              <w:spacing w:after="0" w:line="260" w:lineRule="auto"/>
              <w:jc w:val="left"/>
            </w:pPr>
            <w:r>
              <w:rPr>
                <w:rFonts w:ascii="Times New Roman" w:hAnsi="Times New Roman" w:eastAsia="Times New Roman" w:cs="Times New Roman"/>
                <w:sz w:val="20"/>
                <w:szCs w:val="20"/>
              </w:rPr>
              <w:t>Procesos lentos</w:t>
            </w:r>
          </w:p>
        </w:tc>
        <w:tc>
          <w:tcPr>
            <w:tcW w:w="5700" w:type="dxa"/>
            <w:tcMar>
              <w:top w:w="80" w:type="dxa"/>
              <w:left w:w="110" w:type="dxa"/>
              <w:bottom w:w="80" w:type="dxa"/>
              <w:right w:w="110" w:type="dxa"/>
            </w:tcMar>
          </w:tcPr>
          <w:p w14:paraId="696FDEE6">
            <w:pPr>
              <w:spacing w:after="0" w:line="260" w:lineRule="auto"/>
              <w:jc w:val="left"/>
            </w:pPr>
            <w:r>
              <w:rPr>
                <w:rFonts w:ascii="Times New Roman" w:hAnsi="Times New Roman" w:eastAsia="Times New Roman" w:cs="Times New Roman"/>
                <w:sz w:val="20"/>
                <w:szCs w:val="20"/>
              </w:rPr>
              <w:t>La inconsistencia obliga a intervención humana: conciliaciones, verificaciones y correcciones manuales que insertan días de espera en el proceso de crédito.</w:t>
            </w:r>
          </w:p>
        </w:tc>
      </w:tr>
      <w:tr w14:paraId="10C4D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80" w:type="dxa"/>
              <w:left w:w="110" w:type="dxa"/>
              <w:bottom w:w="80" w:type="dxa"/>
              <w:right w:w="110" w:type="dxa"/>
            </w:tcMar>
          </w:tcPr>
          <w:p w14:paraId="34C31758">
            <w:pPr>
              <w:spacing w:after="0" w:line="260" w:lineRule="auto"/>
              <w:jc w:val="left"/>
            </w:pPr>
            <w:r>
              <w:rPr>
                <w:rFonts w:ascii="Times New Roman" w:hAnsi="Times New Roman" w:eastAsia="Times New Roman" w:cs="Times New Roman"/>
                <w:sz w:val="20"/>
                <w:szCs w:val="20"/>
              </w:rPr>
              <w:t>Problemas de seguridad</w:t>
            </w:r>
          </w:p>
        </w:tc>
        <w:tc>
          <w:tcPr>
            <w:tcW w:w="5700" w:type="dxa"/>
            <w:tcMar>
              <w:top w:w="80" w:type="dxa"/>
              <w:left w:w="110" w:type="dxa"/>
              <w:bottom w:w="80" w:type="dxa"/>
              <w:right w:w="110" w:type="dxa"/>
            </w:tcMar>
          </w:tcPr>
          <w:p w14:paraId="4EAFB13D">
            <w:pPr>
              <w:spacing w:after="0" w:line="260" w:lineRule="auto"/>
              <w:jc w:val="left"/>
            </w:pPr>
            <w:r>
              <w:rPr>
                <w:rFonts w:ascii="Times New Roman" w:hAnsi="Times New Roman" w:eastAsia="Times New Roman" w:cs="Times New Roman"/>
                <w:sz w:val="20"/>
                <w:szCs w:val="20"/>
              </w:rPr>
              <w:t>Cada sistema implementa su propio mecanismo de autenticación y autorización. La seguridad del conjunto equivale a la del componente más débil, y no existe trazabilidad unificada de quién accedió a qué.</w:t>
            </w:r>
          </w:p>
        </w:tc>
      </w:tr>
      <w:tr w14:paraId="1EE9F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80" w:type="dxa"/>
              <w:left w:w="110" w:type="dxa"/>
              <w:bottom w:w="80" w:type="dxa"/>
              <w:right w:w="110" w:type="dxa"/>
            </w:tcMar>
          </w:tcPr>
          <w:p w14:paraId="5C9F11CF">
            <w:pPr>
              <w:spacing w:after="0" w:line="260" w:lineRule="auto"/>
              <w:jc w:val="left"/>
            </w:pPr>
            <w:r>
              <w:rPr>
                <w:rFonts w:ascii="Times New Roman" w:hAnsi="Times New Roman" w:eastAsia="Times New Roman" w:cs="Times New Roman"/>
                <w:sz w:val="20"/>
                <w:szCs w:val="20"/>
              </w:rPr>
              <w:t>Dificultad para generar informes</w:t>
            </w:r>
          </w:p>
        </w:tc>
        <w:tc>
          <w:tcPr>
            <w:tcW w:w="5700" w:type="dxa"/>
            <w:tcMar>
              <w:top w:w="80" w:type="dxa"/>
              <w:left w:w="110" w:type="dxa"/>
              <w:bottom w:w="80" w:type="dxa"/>
              <w:right w:w="110" w:type="dxa"/>
            </w:tcMar>
          </w:tcPr>
          <w:p w14:paraId="5BBB9BEC">
            <w:pPr>
              <w:spacing w:after="0" w:line="260" w:lineRule="auto"/>
              <w:jc w:val="left"/>
            </w:pPr>
            <w:r>
              <w:rPr>
                <w:rFonts w:ascii="Times New Roman" w:hAnsi="Times New Roman" w:eastAsia="Times New Roman" w:cs="Times New Roman"/>
                <w:sz w:val="20"/>
                <w:szCs w:val="20"/>
              </w:rPr>
              <w:t>No existe una vista consolidada. Cada informe requiere extraer y cruzar manualmente datos de cuatro bases distintas, con criterios que varían entre analistas.</w:t>
            </w:r>
          </w:p>
        </w:tc>
      </w:tr>
      <w:tr w14:paraId="54287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80" w:type="dxa"/>
              <w:left w:w="110" w:type="dxa"/>
              <w:bottom w:w="80" w:type="dxa"/>
              <w:right w:w="110" w:type="dxa"/>
            </w:tcMar>
          </w:tcPr>
          <w:p w14:paraId="79F4C111">
            <w:pPr>
              <w:spacing w:after="0" w:line="260" w:lineRule="auto"/>
              <w:jc w:val="left"/>
            </w:pPr>
            <w:r>
              <w:rPr>
                <w:rFonts w:ascii="Times New Roman" w:hAnsi="Times New Roman" w:eastAsia="Times New Roman" w:cs="Times New Roman"/>
                <w:sz w:val="20"/>
                <w:szCs w:val="20"/>
              </w:rPr>
              <w:t>Experiencia deficiente del cliente</w:t>
            </w:r>
          </w:p>
        </w:tc>
        <w:tc>
          <w:tcPr>
            <w:tcW w:w="5700" w:type="dxa"/>
            <w:tcMar>
              <w:top w:w="80" w:type="dxa"/>
              <w:left w:w="110" w:type="dxa"/>
              <w:bottom w:w="80" w:type="dxa"/>
              <w:right w:w="110" w:type="dxa"/>
            </w:tcMar>
          </w:tcPr>
          <w:p w14:paraId="4871D69A">
            <w:pPr>
              <w:spacing w:after="0" w:line="260" w:lineRule="auto"/>
              <w:jc w:val="left"/>
            </w:pPr>
            <w:r>
              <w:rPr>
                <w:rFonts w:ascii="Times New Roman" w:hAnsi="Times New Roman" w:eastAsia="Times New Roman" w:cs="Times New Roman"/>
                <w:sz w:val="20"/>
                <w:szCs w:val="20"/>
              </w:rPr>
              <w:t>El cliente registra sus datos varias veces, observa información distinta según el canal que utilice y espera días por decisiones que deberían ser automáticas.</w:t>
            </w:r>
          </w:p>
        </w:tc>
      </w:tr>
    </w:tbl>
    <w:p w14:paraId="1CFDFC87">
      <w:pPr>
        <w:spacing w:after="160"/>
      </w:pPr>
    </w:p>
    <w:p w14:paraId="290C2D6F">
      <w:pPr>
        <w:spacing w:after="160" w:line="300" w:lineRule="auto"/>
        <w:jc w:val="both"/>
      </w:pPr>
      <w:r>
        <w:rPr>
          <w:rFonts w:ascii="Times New Roman" w:hAnsi="Times New Roman" w:eastAsia="Times New Roman" w:cs="Times New Roman"/>
          <w:b/>
          <w:bCs/>
          <w:sz w:val="22"/>
          <w:szCs w:val="22"/>
        </w:rPr>
        <w:t xml:space="preserve">Implicación para el diseño. </w:t>
      </w:r>
      <w:r>
        <w:rPr>
          <w:rFonts w:ascii="Times New Roman" w:hAnsi="Times New Roman" w:eastAsia="Times New Roman" w:cs="Times New Roman"/>
          <w:sz w:val="22"/>
          <w:szCs w:val="22"/>
        </w:rPr>
        <w:t>Esta conclusión tiene una consecuencia directa sobre la solución. La respuesta no consiste en conectar los cinco sistemas entre sí mediante integraciones punto a punto: cinco sistemas requerirían hasta diez interfaces bidireccionales, y cada nuevo sistema incrementaría ese número de forma cuadrática, agravando el acoplamiento en lugar de resolverlo. La solución consiste en definir un dueño único para cada dato y establecer un mecanismo de integración desacoplado a través del cual los demás sistemas lo consuman.</w:t>
      </w:r>
    </w:p>
    <w:p w14:paraId="73A93358">
      <w:pPr>
        <w:pStyle w:val="3"/>
        <w:keepNext/>
        <w:spacing w:before="260" w:after="140"/>
      </w:pPr>
      <w:r>
        <w:rPr>
          <w:rFonts w:ascii="Times New Roman" w:hAnsi="Times New Roman" w:eastAsia="Times New Roman" w:cs="Times New Roman"/>
          <w:b/>
          <w:bCs/>
          <w:color w:val="000000"/>
          <w:sz w:val="24"/>
          <w:szCs w:val="24"/>
        </w:rPr>
        <w:t>3.4. Objetivos</w:t>
      </w:r>
    </w:p>
    <w:p w14:paraId="0EC44B53">
      <w:pPr>
        <w:pStyle w:val="4"/>
        <w:keepNext/>
        <w:spacing w:before="200" w:after="120"/>
      </w:pPr>
      <w:r>
        <w:rPr>
          <w:rFonts w:ascii="Times New Roman" w:hAnsi="Times New Roman" w:eastAsia="Times New Roman" w:cs="Times New Roman"/>
          <w:b/>
          <w:bCs/>
          <w:i/>
          <w:iCs/>
          <w:color w:val="000000"/>
          <w:sz w:val="22"/>
          <w:szCs w:val="22"/>
        </w:rPr>
        <w:t>3.4.1. Objetivo general</w:t>
      </w:r>
    </w:p>
    <w:p w14:paraId="7F4EE5DB">
      <w:pPr>
        <w:spacing w:after="160" w:line="300" w:lineRule="auto"/>
        <w:jc w:val="both"/>
      </w:pPr>
      <w:r>
        <w:rPr>
          <w:rFonts w:ascii="Times New Roman" w:hAnsi="Times New Roman" w:eastAsia="Times New Roman" w:cs="Times New Roman"/>
          <w:sz w:val="22"/>
          <w:szCs w:val="22"/>
        </w:rPr>
        <w:t>Diseñar una arquitectura de integración para FinanTech que conecte sus sistemas actuales, con el fin de resolver las problemáticas identificadas y habilitar la conversión de la empresa en una organización cien por ciento digital.</w:t>
      </w:r>
    </w:p>
    <w:p w14:paraId="30C00168">
      <w:pPr>
        <w:pStyle w:val="4"/>
        <w:keepNext/>
        <w:spacing w:before="200" w:after="120"/>
      </w:pPr>
      <w:r>
        <w:rPr>
          <w:rFonts w:ascii="Times New Roman" w:hAnsi="Times New Roman" w:eastAsia="Times New Roman" w:cs="Times New Roman"/>
          <w:b/>
          <w:bCs/>
          <w:i/>
          <w:iCs/>
          <w:color w:val="000000"/>
          <w:sz w:val="22"/>
          <w:szCs w:val="22"/>
        </w:rPr>
        <w:t>3.4.2. Objetivos específicos</w:t>
      </w:r>
    </w:p>
    <w:p w14:paraId="001F2C69">
      <w:pPr>
        <w:pStyle w:val="16"/>
        <w:numPr>
          <w:ilvl w:val="0"/>
          <w:numId w:val="1"/>
        </w:numPr>
        <w:spacing w:after="90" w:line="300" w:lineRule="auto"/>
        <w:jc w:val="both"/>
      </w:pPr>
      <w:r>
        <w:rPr>
          <w:rFonts w:ascii="Times New Roman" w:hAnsi="Times New Roman" w:eastAsia="Times New Roman" w:cs="Times New Roman"/>
          <w:sz w:val="22"/>
          <w:szCs w:val="22"/>
        </w:rPr>
        <w:t>Identificar las causas de la duplicación de información entre los sistemas actuales.</w:t>
      </w:r>
    </w:p>
    <w:p w14:paraId="0B754552">
      <w:pPr>
        <w:pStyle w:val="16"/>
        <w:numPr>
          <w:ilvl w:val="0"/>
          <w:numId w:val="1"/>
        </w:numPr>
        <w:spacing w:after="90" w:line="300" w:lineRule="auto"/>
        <w:jc w:val="both"/>
      </w:pPr>
      <w:r>
        <w:rPr>
          <w:rFonts w:ascii="Times New Roman" w:hAnsi="Times New Roman" w:eastAsia="Times New Roman" w:cs="Times New Roman"/>
          <w:sz w:val="22"/>
          <w:szCs w:val="22"/>
        </w:rPr>
        <w:t>Proponer un modelo de integración entre los sistemas de clientes, créditos y contabilidad.</w:t>
      </w:r>
    </w:p>
    <w:p w14:paraId="030FA378">
      <w:pPr>
        <w:pStyle w:val="16"/>
        <w:numPr>
          <w:ilvl w:val="0"/>
          <w:numId w:val="1"/>
        </w:numPr>
        <w:spacing w:after="90" w:line="300" w:lineRule="auto"/>
        <w:jc w:val="both"/>
      </w:pPr>
      <w:r>
        <w:rPr>
          <w:rFonts w:ascii="Times New Roman" w:hAnsi="Times New Roman" w:eastAsia="Times New Roman" w:cs="Times New Roman"/>
          <w:sz w:val="22"/>
          <w:szCs w:val="22"/>
        </w:rPr>
        <w:t>Definir un mecanismo centralizado de autenticación y control de acceso.</w:t>
      </w:r>
    </w:p>
    <w:p w14:paraId="5EB50328">
      <w:pPr>
        <w:pStyle w:val="16"/>
        <w:numPr>
          <w:ilvl w:val="0"/>
          <w:numId w:val="1"/>
        </w:numPr>
        <w:spacing w:after="90" w:line="300" w:lineRule="auto"/>
        <w:jc w:val="both"/>
      </w:pPr>
      <w:r>
        <w:rPr>
          <w:rFonts w:ascii="Times New Roman" w:hAnsi="Times New Roman" w:eastAsia="Times New Roman" w:cs="Times New Roman"/>
          <w:sz w:val="22"/>
          <w:szCs w:val="22"/>
        </w:rPr>
        <w:t>Establecer una estrategia de datos que permita generar reportes consolidados.</w:t>
      </w:r>
    </w:p>
    <w:p w14:paraId="6AC05CE0">
      <w:pPr>
        <w:pStyle w:val="16"/>
        <w:numPr>
          <w:ilvl w:val="0"/>
          <w:numId w:val="1"/>
        </w:numPr>
        <w:spacing w:after="90" w:line="300" w:lineRule="auto"/>
        <w:jc w:val="both"/>
      </w:pPr>
      <w:r>
        <w:rPr>
          <w:rFonts w:ascii="Times New Roman" w:hAnsi="Times New Roman" w:eastAsia="Times New Roman" w:cs="Times New Roman"/>
          <w:sz w:val="22"/>
          <w:szCs w:val="22"/>
        </w:rPr>
        <w:t>Plantear una hoja de ruta de implementación por fases.</w:t>
      </w:r>
    </w:p>
    <w:p w14:paraId="5BD9D092">
      <w:pPr>
        <w:pStyle w:val="2"/>
        <w:keepNext/>
        <w:spacing w:before="320" w:after="180"/>
      </w:pPr>
      <w:r>
        <w:rPr>
          <w:rFonts w:ascii="Times New Roman" w:hAnsi="Times New Roman" w:eastAsia="Times New Roman" w:cs="Times New Roman"/>
          <w:b/>
          <w:bCs/>
          <w:color w:val="000000"/>
          <w:sz w:val="26"/>
          <w:szCs w:val="26"/>
        </w:rPr>
        <w:t>4. Arquitectura Propuesta (TO-BE)</w:t>
      </w:r>
    </w:p>
    <w:p w14:paraId="57D82C48">
      <w:pPr>
        <w:pStyle w:val="3"/>
        <w:keepNext/>
        <w:spacing w:before="260" w:after="140"/>
      </w:pPr>
      <w:r>
        <w:rPr>
          <w:rFonts w:ascii="Times New Roman" w:hAnsi="Times New Roman" w:eastAsia="Times New Roman" w:cs="Times New Roman"/>
          <w:b/>
          <w:bCs/>
          <w:color w:val="000000"/>
          <w:sz w:val="24"/>
          <w:szCs w:val="24"/>
        </w:rPr>
        <w:t>4.1. Principios arquitectónicos</w:t>
      </w:r>
    </w:p>
    <w:p w14:paraId="28E40174">
      <w:pPr>
        <w:spacing w:after="160" w:line="300" w:lineRule="auto"/>
        <w:jc w:val="both"/>
      </w:pPr>
      <w:r>
        <w:rPr>
          <w:rFonts w:ascii="Times New Roman" w:hAnsi="Times New Roman" w:eastAsia="Times New Roman" w:cs="Times New Roman"/>
          <w:sz w:val="22"/>
          <w:szCs w:val="22"/>
        </w:rPr>
        <w:t>Antes de describir los componentes, se establecen los principios que gobiernan todas las decisiones de diseño. Estos principios corresponden a la fase preliminar del ADM y constituyen el criterio contra el cual se evalúa cualquier cambio futuro:</w:t>
      </w:r>
    </w:p>
    <w:p w14:paraId="0F1B9BF9">
      <w:pPr>
        <w:pStyle w:val="16"/>
        <w:numPr>
          <w:ilvl w:val="0"/>
          <w:numId w:val="1"/>
        </w:numPr>
        <w:spacing w:after="90" w:line="300" w:lineRule="auto"/>
        <w:jc w:val="both"/>
      </w:pPr>
      <w:r>
        <w:rPr>
          <w:rFonts w:ascii="Times New Roman" w:hAnsi="Times New Roman" w:eastAsia="Times New Roman" w:cs="Times New Roman"/>
          <w:b/>
          <w:bCs/>
          <w:sz w:val="22"/>
          <w:szCs w:val="22"/>
        </w:rPr>
        <w:t xml:space="preserve">Dueño único del dato. </w:t>
      </w:r>
      <w:r>
        <w:rPr>
          <w:rFonts w:ascii="Times New Roman" w:hAnsi="Times New Roman" w:eastAsia="Times New Roman" w:cs="Times New Roman"/>
          <w:sz w:val="22"/>
          <w:szCs w:val="22"/>
        </w:rPr>
        <w:t>Cada entidad de información tiene un y solo un servicio responsable de crearla y modificarla. Los demás la consumen, no la copian.</w:t>
      </w:r>
    </w:p>
    <w:p w14:paraId="738DC11F">
      <w:pPr>
        <w:pStyle w:val="16"/>
        <w:numPr>
          <w:ilvl w:val="0"/>
          <w:numId w:val="1"/>
        </w:numPr>
        <w:spacing w:after="90" w:line="300" w:lineRule="auto"/>
        <w:jc w:val="both"/>
      </w:pPr>
      <w:r>
        <w:rPr>
          <w:rFonts w:ascii="Times New Roman" w:hAnsi="Times New Roman" w:eastAsia="Times New Roman" w:cs="Times New Roman"/>
          <w:b/>
          <w:bCs/>
          <w:sz w:val="22"/>
          <w:szCs w:val="22"/>
        </w:rPr>
        <w:t xml:space="preserve">API primero. </w:t>
      </w:r>
      <w:r>
        <w:rPr>
          <w:rFonts w:ascii="Times New Roman" w:hAnsi="Times New Roman" w:eastAsia="Times New Roman" w:cs="Times New Roman"/>
          <w:sz w:val="22"/>
          <w:szCs w:val="22"/>
        </w:rPr>
        <w:t>Toda capacidad de negocio se expone como un servicio con un contrato explícito y versionado. No se permite el acceso directo a la base de datos de otro sistema.</w:t>
      </w:r>
    </w:p>
    <w:p w14:paraId="0D5F8E95">
      <w:pPr>
        <w:pStyle w:val="16"/>
        <w:numPr>
          <w:ilvl w:val="0"/>
          <w:numId w:val="1"/>
        </w:numPr>
        <w:spacing w:after="90" w:line="300" w:lineRule="auto"/>
        <w:jc w:val="both"/>
      </w:pPr>
      <w:r>
        <w:rPr>
          <w:rFonts w:ascii="Times New Roman" w:hAnsi="Times New Roman" w:eastAsia="Times New Roman" w:cs="Times New Roman"/>
          <w:b/>
          <w:bCs/>
          <w:sz w:val="22"/>
          <w:szCs w:val="22"/>
        </w:rPr>
        <w:t xml:space="preserve">Seguridad por diseño. </w:t>
      </w:r>
      <w:r>
        <w:rPr>
          <w:rFonts w:ascii="Times New Roman" w:hAnsi="Times New Roman" w:eastAsia="Times New Roman" w:cs="Times New Roman"/>
          <w:sz w:val="22"/>
          <w:szCs w:val="22"/>
        </w:rPr>
        <w:t>La autenticación, la autorización y el registro de auditoría se resuelven en la arquitectura, no en cada aplicación de forma individual.</w:t>
      </w:r>
    </w:p>
    <w:p w14:paraId="72D3E1C6">
      <w:pPr>
        <w:pStyle w:val="16"/>
        <w:numPr>
          <w:ilvl w:val="0"/>
          <w:numId w:val="1"/>
        </w:numPr>
        <w:spacing w:after="90" w:line="300" w:lineRule="auto"/>
        <w:jc w:val="both"/>
      </w:pPr>
      <w:r>
        <w:rPr>
          <w:rFonts w:ascii="Times New Roman" w:hAnsi="Times New Roman" w:eastAsia="Times New Roman" w:cs="Times New Roman"/>
          <w:b/>
          <w:bCs/>
          <w:sz w:val="22"/>
          <w:szCs w:val="22"/>
        </w:rPr>
        <w:t xml:space="preserve">Desacoplamiento por eventos. </w:t>
      </w:r>
      <w:r>
        <w:rPr>
          <w:rFonts w:ascii="Times New Roman" w:hAnsi="Times New Roman" w:eastAsia="Times New Roman" w:cs="Times New Roman"/>
          <w:sz w:val="22"/>
          <w:szCs w:val="22"/>
        </w:rPr>
        <w:t>Los servicios se comunican de forma asíncrona siempre que el proceso lo permita, de modo que la indisponibilidad de uno no bloquee a los demás.</w:t>
      </w:r>
    </w:p>
    <w:p w14:paraId="1049EAE5">
      <w:pPr>
        <w:pStyle w:val="16"/>
        <w:numPr>
          <w:ilvl w:val="0"/>
          <w:numId w:val="1"/>
        </w:numPr>
        <w:spacing w:after="90" w:line="300" w:lineRule="auto"/>
        <w:jc w:val="both"/>
      </w:pPr>
      <w:r>
        <w:rPr>
          <w:rFonts w:ascii="Times New Roman" w:hAnsi="Times New Roman" w:eastAsia="Times New Roman" w:cs="Times New Roman"/>
          <w:b/>
          <w:bCs/>
          <w:sz w:val="22"/>
          <w:szCs w:val="22"/>
        </w:rPr>
        <w:t xml:space="preserve">Evolución sin ruptura. </w:t>
      </w:r>
      <w:r>
        <w:rPr>
          <w:rFonts w:ascii="Times New Roman" w:hAnsi="Times New Roman" w:eastAsia="Times New Roman" w:cs="Times New Roman"/>
          <w:sz w:val="22"/>
          <w:szCs w:val="22"/>
        </w:rPr>
        <w:t>Los sistemas legados se encapsulan y migran progresivamente; no se apagan de manera simultánea.</w:t>
      </w:r>
    </w:p>
    <w:p w14:paraId="7EC31C94">
      <w:pPr>
        <w:pStyle w:val="3"/>
        <w:keepNext/>
        <w:spacing w:before="260" w:after="140"/>
      </w:pPr>
      <w:r>
        <w:rPr>
          <w:rFonts w:ascii="Times New Roman" w:hAnsi="Times New Roman" w:eastAsia="Times New Roman" w:cs="Times New Roman"/>
          <w:b/>
          <w:bCs/>
          <w:color w:val="000000"/>
          <w:sz w:val="24"/>
          <w:szCs w:val="24"/>
        </w:rPr>
        <w:t>4.2. Visión general de las capas</w:t>
      </w:r>
    </w:p>
    <w:p w14:paraId="428187ED">
      <w:pPr>
        <w:spacing w:after="160" w:line="300" w:lineRule="auto"/>
        <w:jc w:val="both"/>
      </w:pPr>
      <w:r>
        <w:rPr>
          <w:rFonts w:ascii="Times New Roman" w:hAnsi="Times New Roman" w:eastAsia="Times New Roman" w:cs="Times New Roman"/>
          <w:sz w:val="22"/>
          <w:szCs w:val="22"/>
        </w:rPr>
        <w:t>La arquitectura propuesta corresponde a un modelo orientado a servicios con integración vía API Gateway y bus de eventos, donde cada sistema legado se convierte en un microservicio que expone y consume información a través de contratos claros, en lugar de duplicar datos. Se organiza en cinco capas:</w:t>
      </w:r>
    </w:p>
    <w:p w14:paraId="589903DF">
      <w:pPr>
        <w:spacing w:after="1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6300"/>
      </w:tblGrid>
      <w:tr w14:paraId="35793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shd w:val="clear" w:color="auto" w:fill="D9D9D9"/>
            <w:tcMar>
              <w:top w:w="80" w:type="dxa"/>
              <w:left w:w="110" w:type="dxa"/>
              <w:bottom w:w="80" w:type="dxa"/>
              <w:right w:w="110" w:type="dxa"/>
            </w:tcMar>
          </w:tcPr>
          <w:p w14:paraId="0A9ABBFA">
            <w:pPr>
              <w:spacing w:after="0" w:line="260" w:lineRule="auto"/>
              <w:jc w:val="left"/>
            </w:pPr>
            <w:r>
              <w:rPr>
                <w:rFonts w:ascii="Times New Roman" w:hAnsi="Times New Roman" w:eastAsia="Times New Roman" w:cs="Times New Roman"/>
                <w:b/>
                <w:bCs/>
                <w:sz w:val="20"/>
                <w:szCs w:val="20"/>
              </w:rPr>
              <w:t>Capa</w:t>
            </w:r>
          </w:p>
        </w:tc>
        <w:tc>
          <w:tcPr>
            <w:tcW w:w="6300" w:type="dxa"/>
            <w:shd w:val="clear" w:color="auto" w:fill="D9D9D9"/>
            <w:tcMar>
              <w:top w:w="80" w:type="dxa"/>
              <w:left w:w="110" w:type="dxa"/>
              <w:bottom w:w="80" w:type="dxa"/>
              <w:right w:w="110" w:type="dxa"/>
            </w:tcMar>
          </w:tcPr>
          <w:p w14:paraId="30AAE470">
            <w:pPr>
              <w:spacing w:after="0" w:line="260" w:lineRule="auto"/>
              <w:jc w:val="left"/>
            </w:pPr>
            <w:r>
              <w:rPr>
                <w:rFonts w:ascii="Times New Roman" w:hAnsi="Times New Roman" w:eastAsia="Times New Roman" w:cs="Times New Roman"/>
                <w:b/>
                <w:bCs/>
                <w:sz w:val="20"/>
                <w:szCs w:val="20"/>
              </w:rPr>
              <w:t>Responsabilidad</w:t>
            </w:r>
          </w:p>
        </w:tc>
      </w:tr>
      <w:tr w14:paraId="08F85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Mar>
              <w:top w:w="80" w:type="dxa"/>
              <w:left w:w="110" w:type="dxa"/>
              <w:bottom w:w="80" w:type="dxa"/>
              <w:right w:w="110" w:type="dxa"/>
            </w:tcMar>
          </w:tcPr>
          <w:p w14:paraId="435486B5">
            <w:pPr>
              <w:spacing w:after="0" w:line="260" w:lineRule="auto"/>
              <w:jc w:val="left"/>
            </w:pPr>
            <w:r>
              <w:rPr>
                <w:rFonts w:ascii="Times New Roman" w:hAnsi="Times New Roman" w:eastAsia="Times New Roman" w:cs="Times New Roman"/>
                <w:sz w:val="20"/>
                <w:szCs w:val="20"/>
              </w:rPr>
              <w:t>Canales (App móvil y Web)</w:t>
            </w:r>
          </w:p>
        </w:tc>
        <w:tc>
          <w:tcPr>
            <w:tcW w:w="6300" w:type="dxa"/>
            <w:tcMar>
              <w:top w:w="80" w:type="dxa"/>
              <w:left w:w="110" w:type="dxa"/>
              <w:bottom w:w="80" w:type="dxa"/>
              <w:right w:w="110" w:type="dxa"/>
            </w:tcMar>
          </w:tcPr>
          <w:p w14:paraId="710DDD84">
            <w:pPr>
              <w:spacing w:after="0" w:line="260" w:lineRule="auto"/>
              <w:jc w:val="left"/>
            </w:pPr>
            <w:r>
              <w:rPr>
                <w:rFonts w:ascii="Times New Roman" w:hAnsi="Times New Roman" w:eastAsia="Times New Roman" w:cs="Times New Roman"/>
                <w:sz w:val="20"/>
                <w:szCs w:val="20"/>
              </w:rPr>
              <w:t>La experiencia del cliente, unificada. Ambos canales consumen exactamente los mismos servicios.</w:t>
            </w:r>
          </w:p>
        </w:tc>
      </w:tr>
      <w:tr w14:paraId="70A4F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Mar>
              <w:top w:w="80" w:type="dxa"/>
              <w:left w:w="110" w:type="dxa"/>
              <w:bottom w:w="80" w:type="dxa"/>
              <w:right w:w="110" w:type="dxa"/>
            </w:tcMar>
          </w:tcPr>
          <w:p w14:paraId="204C374A">
            <w:pPr>
              <w:spacing w:after="0" w:line="260" w:lineRule="auto"/>
              <w:jc w:val="left"/>
            </w:pPr>
            <w:r>
              <w:rPr>
                <w:rFonts w:ascii="Times New Roman" w:hAnsi="Times New Roman" w:eastAsia="Times New Roman" w:cs="Times New Roman"/>
                <w:sz w:val="20"/>
                <w:szCs w:val="20"/>
              </w:rPr>
              <w:t>API Gateway</w:t>
            </w:r>
          </w:p>
        </w:tc>
        <w:tc>
          <w:tcPr>
            <w:tcW w:w="6300" w:type="dxa"/>
            <w:tcMar>
              <w:top w:w="80" w:type="dxa"/>
              <w:left w:w="110" w:type="dxa"/>
              <w:bottom w:w="80" w:type="dxa"/>
              <w:right w:w="110" w:type="dxa"/>
            </w:tcMar>
          </w:tcPr>
          <w:p w14:paraId="7BD96A78">
            <w:pPr>
              <w:spacing w:after="0" w:line="260" w:lineRule="auto"/>
              <w:jc w:val="left"/>
            </w:pPr>
            <w:r>
              <w:rPr>
                <w:rFonts w:ascii="Times New Roman" w:hAnsi="Times New Roman" w:eastAsia="Times New Roman" w:cs="Times New Roman"/>
                <w:sz w:val="20"/>
                <w:szCs w:val="20"/>
              </w:rPr>
              <w:t>Punto único de entrada. Autenticación, autorización, enrutamiento, límites de uso y trazabilidad.</w:t>
            </w:r>
          </w:p>
        </w:tc>
      </w:tr>
      <w:tr w14:paraId="1E3B4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Mar>
              <w:top w:w="80" w:type="dxa"/>
              <w:left w:w="110" w:type="dxa"/>
              <w:bottom w:w="80" w:type="dxa"/>
              <w:right w:w="110" w:type="dxa"/>
            </w:tcMar>
          </w:tcPr>
          <w:p w14:paraId="1EFF61E6">
            <w:pPr>
              <w:spacing w:after="0" w:line="260" w:lineRule="auto"/>
              <w:jc w:val="left"/>
            </w:pPr>
            <w:r>
              <w:rPr>
                <w:rFonts w:ascii="Times New Roman" w:hAnsi="Times New Roman" w:eastAsia="Times New Roman" w:cs="Times New Roman"/>
                <w:sz w:val="20"/>
                <w:szCs w:val="20"/>
              </w:rPr>
              <w:t>Microservicios de negocio</w:t>
            </w:r>
          </w:p>
        </w:tc>
        <w:tc>
          <w:tcPr>
            <w:tcW w:w="6300" w:type="dxa"/>
            <w:tcMar>
              <w:top w:w="80" w:type="dxa"/>
              <w:left w:w="110" w:type="dxa"/>
              <w:bottom w:w="80" w:type="dxa"/>
              <w:right w:w="110" w:type="dxa"/>
            </w:tcMar>
          </w:tcPr>
          <w:p w14:paraId="217B11E5">
            <w:pPr>
              <w:spacing w:after="0" w:line="260" w:lineRule="auto"/>
              <w:jc w:val="left"/>
            </w:pPr>
            <w:r>
              <w:rPr>
                <w:rFonts w:ascii="Times New Roman" w:hAnsi="Times New Roman" w:eastAsia="Times New Roman" w:cs="Times New Roman"/>
                <w:sz w:val="20"/>
                <w:szCs w:val="20"/>
              </w:rPr>
              <w:t>Clientes, Créditos, Evaluación, Aprobación, Desembolso y Contabilidad. Cada uno dueño de su dominio.</w:t>
            </w:r>
          </w:p>
        </w:tc>
      </w:tr>
      <w:tr w14:paraId="21CA9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Mar>
              <w:top w:w="80" w:type="dxa"/>
              <w:left w:w="110" w:type="dxa"/>
              <w:bottom w:w="80" w:type="dxa"/>
              <w:right w:w="110" w:type="dxa"/>
            </w:tcMar>
          </w:tcPr>
          <w:p w14:paraId="26D26516">
            <w:pPr>
              <w:spacing w:after="0" w:line="260" w:lineRule="auto"/>
              <w:jc w:val="left"/>
            </w:pPr>
            <w:r>
              <w:rPr>
                <w:rFonts w:ascii="Times New Roman" w:hAnsi="Times New Roman" w:eastAsia="Times New Roman" w:cs="Times New Roman"/>
                <w:sz w:val="20"/>
                <w:szCs w:val="20"/>
              </w:rPr>
              <w:t>Bus de eventos e integración</w:t>
            </w:r>
          </w:p>
        </w:tc>
        <w:tc>
          <w:tcPr>
            <w:tcW w:w="6300" w:type="dxa"/>
            <w:tcMar>
              <w:top w:w="80" w:type="dxa"/>
              <w:left w:w="110" w:type="dxa"/>
              <w:bottom w:w="80" w:type="dxa"/>
              <w:right w:w="110" w:type="dxa"/>
            </w:tcMar>
          </w:tcPr>
          <w:p w14:paraId="424066C3">
            <w:pPr>
              <w:spacing w:after="0" w:line="260" w:lineRule="auto"/>
              <w:jc w:val="left"/>
            </w:pPr>
            <w:r>
              <w:rPr>
                <w:rFonts w:ascii="Times New Roman" w:hAnsi="Times New Roman" w:eastAsia="Times New Roman" w:cs="Times New Roman"/>
                <w:sz w:val="20"/>
                <w:szCs w:val="20"/>
              </w:rPr>
              <w:t>Los servicios publican los hechos de negocio y los interesados se suscriben, sin acoplamiento directo entre ellos.</w:t>
            </w:r>
          </w:p>
        </w:tc>
      </w:tr>
      <w:tr w14:paraId="07ED7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Mar>
              <w:top w:w="80" w:type="dxa"/>
              <w:left w:w="110" w:type="dxa"/>
              <w:bottom w:w="80" w:type="dxa"/>
              <w:right w:w="110" w:type="dxa"/>
            </w:tcMar>
          </w:tcPr>
          <w:p w14:paraId="7D4040D4">
            <w:pPr>
              <w:spacing w:after="0" w:line="260" w:lineRule="auto"/>
              <w:jc w:val="left"/>
            </w:pPr>
            <w:r>
              <w:rPr>
                <w:rFonts w:ascii="Times New Roman" w:hAnsi="Times New Roman" w:eastAsia="Times New Roman" w:cs="Times New Roman"/>
                <w:sz w:val="20"/>
                <w:szCs w:val="20"/>
              </w:rPr>
              <w:t>Datos</w:t>
            </w:r>
          </w:p>
        </w:tc>
        <w:tc>
          <w:tcPr>
            <w:tcW w:w="6300" w:type="dxa"/>
            <w:tcMar>
              <w:top w:w="80" w:type="dxa"/>
              <w:left w:w="110" w:type="dxa"/>
              <w:bottom w:w="80" w:type="dxa"/>
              <w:right w:w="110" w:type="dxa"/>
            </w:tcMar>
          </w:tcPr>
          <w:p w14:paraId="7ADE67D6">
            <w:pPr>
              <w:spacing w:after="0" w:line="260" w:lineRule="auto"/>
              <w:jc w:val="left"/>
            </w:pPr>
            <w:r>
              <w:rPr>
                <w:rFonts w:ascii="Times New Roman" w:hAnsi="Times New Roman" w:eastAsia="Times New Roman" w:cs="Times New Roman"/>
                <w:sz w:val="20"/>
                <w:szCs w:val="20"/>
              </w:rPr>
              <w:t>Una fuente única y consistente por dominio, gestión de datos maestros y una bodega de datos para la analítica y los informes.</w:t>
            </w:r>
          </w:p>
        </w:tc>
      </w:tr>
    </w:tbl>
    <w:p w14:paraId="68EF5665">
      <w:pPr>
        <w:spacing w:after="160"/>
      </w:pPr>
    </w:p>
    <w:tbl>
      <w:tblPr>
        <w:tblStyle w:val="9"/>
        <w:tblW w:w="9000" w:type="dxa"/>
        <w:tblInd w:w="0" w:type="dxa"/>
        <w:tblBorders>
          <w:top w:val="dashed" w:color="AAAAAA" w:sz="6" w:space="0"/>
          <w:left w:val="dashed" w:color="AAAAAA" w:sz="6" w:space="0"/>
          <w:bottom w:val="dashed" w:color="AAAAAA" w:sz="6" w:space="0"/>
          <w:right w:val="dashed" w:color="AAAAAA" w:sz="6" w:space="0"/>
          <w:insideH w:val="none" w:color="FFFFFF" w:sz="0" w:space="0"/>
          <w:insideV w:val="none" w:color="FFFFFF" w:sz="0" w:space="0"/>
        </w:tblBorders>
        <w:tblLayout w:type="autofit"/>
        <w:tblCellMar>
          <w:top w:w="0" w:type="dxa"/>
          <w:left w:w="10" w:type="dxa"/>
          <w:bottom w:w="0" w:type="dxa"/>
          <w:right w:w="10" w:type="dxa"/>
        </w:tblCellMar>
      </w:tblPr>
      <w:tblGrid>
        <w:gridCol w:w="9000"/>
      </w:tblGrid>
      <w:tr w14:paraId="45C4971F">
        <w:tblPrEx>
          <w:tblBorders>
            <w:top w:val="dashed" w:color="AAAAAA" w:sz="6" w:space="0"/>
            <w:left w:val="dashed" w:color="AAAAAA" w:sz="6" w:space="0"/>
            <w:bottom w:val="dashed" w:color="AAAAAA" w:sz="6" w:space="0"/>
            <w:right w:val="dashed" w:color="AAAAAA" w:sz="6" w:space="0"/>
            <w:insideH w:val="none" w:color="FFFFFF" w:sz="0" w:space="0"/>
            <w:insideV w:val="none" w:color="FFFFFF" w:sz="0" w:space="0"/>
          </w:tblBorders>
          <w:tblCellMar>
            <w:top w:w="0" w:type="dxa"/>
            <w:left w:w="10" w:type="dxa"/>
            <w:bottom w:w="0" w:type="dxa"/>
            <w:right w:w="10" w:type="dxa"/>
          </w:tblCellMar>
        </w:tblPrEx>
        <w:tc>
          <w:tcPr>
            <w:tcW w:w="9000" w:type="dxa"/>
            <w:tcMar>
              <w:top w:w="400" w:type="dxa"/>
              <w:left w:w="120" w:type="dxa"/>
              <w:bottom w:w="400" w:type="dxa"/>
              <w:right w:w="120" w:type="dxa"/>
            </w:tcMar>
          </w:tcPr>
          <w:p w14:paraId="4AE652F5">
            <w:pPr>
              <w:spacing w:after="0"/>
              <w:jc w:val="center"/>
            </w:pPr>
            <w:r>
              <w:rPr>
                <w:rFonts w:ascii="Times New Roman" w:hAnsi="Times New Roman" w:eastAsia="Times New Roman" w:cs="Times New Roman"/>
                <w:i/>
                <w:iCs/>
                <w:color w:val="777777"/>
                <w:sz w:val="20"/>
                <w:szCs w:val="20"/>
              </w:rPr>
              <w:t>[ Insertar aquí la Ilustración 4: diagrama de las cinco capas de la arquitectura propuesta ]</w:t>
            </w:r>
          </w:p>
        </w:tc>
      </w:tr>
    </w:tbl>
    <w:p w14:paraId="6E1B41FF">
      <w:pPr>
        <w:spacing w:before="100" w:after="240"/>
        <w:jc w:val="center"/>
      </w:pPr>
      <w:r>
        <w:rPr>
          <w:rFonts w:ascii="Times New Roman" w:hAnsi="Times New Roman" w:eastAsia="Times New Roman" w:cs="Times New Roman"/>
          <w:i/>
          <w:iCs/>
          <w:sz w:val="20"/>
          <w:szCs w:val="20"/>
        </w:rPr>
        <w:t>Ilustración 4. Arquitectura objetivo de FinanTech por capas (TO-BE). Fuente: elaboración propia.</w:t>
      </w:r>
    </w:p>
    <w:p w14:paraId="58F339ED">
      <w:pPr>
        <w:pStyle w:val="3"/>
        <w:keepNext/>
        <w:spacing w:before="260" w:after="140"/>
      </w:pPr>
      <w:r>
        <w:rPr>
          <w:rFonts w:ascii="Times New Roman" w:hAnsi="Times New Roman" w:eastAsia="Times New Roman" w:cs="Times New Roman"/>
          <w:b/>
          <w:bCs/>
          <w:color w:val="000000"/>
          <w:sz w:val="24"/>
          <w:szCs w:val="24"/>
        </w:rPr>
        <w:t>4.3. Funcionamiento de las capas</w:t>
      </w:r>
    </w:p>
    <w:p w14:paraId="41F63201">
      <w:pPr>
        <w:pStyle w:val="4"/>
        <w:keepNext/>
        <w:spacing w:before="200" w:after="120"/>
      </w:pPr>
      <w:r>
        <w:rPr>
          <w:rFonts w:ascii="Times New Roman" w:hAnsi="Times New Roman" w:eastAsia="Times New Roman" w:cs="Times New Roman"/>
          <w:b/>
          <w:bCs/>
          <w:i/>
          <w:iCs/>
          <w:color w:val="000000"/>
          <w:sz w:val="22"/>
          <w:szCs w:val="22"/>
        </w:rPr>
        <w:t>4.3.1. Canales: una sola experiencia</w:t>
      </w:r>
    </w:p>
    <w:p w14:paraId="6A030682">
      <w:pPr>
        <w:spacing w:after="160" w:line="300" w:lineRule="auto"/>
        <w:jc w:val="both"/>
      </w:pPr>
      <w:r>
        <w:rPr>
          <w:rFonts w:ascii="Times New Roman" w:hAnsi="Times New Roman" w:eastAsia="Times New Roman" w:cs="Times New Roman"/>
          <w:sz w:val="22"/>
          <w:szCs w:val="22"/>
        </w:rPr>
        <w:t>En el estado actual la aplicación móvil y la página web se comunican con sistemas distintos por el lado del backend, lo que explica que el cliente observe información diferente según el canal que utilice. En el estado objetivo, ambos canales pasan a consumir los mismos servicios a través del API Gateway. La lógica de negocio no reside en el canal: el canal únicamente presenta la información y captura las interacciones del usuario. Esta separación tiene una consecuencia práctica importante: cuando FinanTech quiera habilitar un nuevo canal —un portal para aliados comerciales, un asistente conversacional o una integración con un marketplace—, no será necesario reconstruir la lógica de negocio, solo construir una nueva interfaz sobre los servicios existentes.</w:t>
      </w:r>
    </w:p>
    <w:p w14:paraId="6E1922CB">
      <w:pPr>
        <w:pStyle w:val="4"/>
        <w:keepNext/>
        <w:spacing w:before="200" w:after="120"/>
      </w:pPr>
      <w:r>
        <w:rPr>
          <w:rFonts w:ascii="Times New Roman" w:hAnsi="Times New Roman" w:eastAsia="Times New Roman" w:cs="Times New Roman"/>
          <w:b/>
          <w:bCs/>
          <w:i/>
          <w:iCs/>
          <w:color w:val="000000"/>
          <w:sz w:val="22"/>
          <w:szCs w:val="22"/>
        </w:rPr>
        <w:t>4.3.2. API Gateway: el guardián único</w:t>
      </w:r>
    </w:p>
    <w:p w14:paraId="2B6E1006">
      <w:pPr>
        <w:spacing w:after="160" w:line="300" w:lineRule="auto"/>
        <w:jc w:val="both"/>
      </w:pPr>
      <w:r>
        <w:rPr>
          <w:rFonts w:ascii="Times New Roman" w:hAnsi="Times New Roman" w:eastAsia="Times New Roman" w:cs="Times New Roman"/>
          <w:sz w:val="22"/>
          <w:szCs w:val="22"/>
        </w:rPr>
        <w:t>Todo el tráfico externo debe pasar por este punto: validación de tokens de autenticación, control de acceso basado en roles, límites de uso por consumidor, enrutamiento hacia el microservicio correspondiente y registro centralizado de cada llamada. Esta capa resuelve de manera directa el problema de la seguridad fragmentada, ya que hoy cada sistema gestiona su propia seguridad de forma distinta e inconsistente. Los microservicios no se exponen nunca de manera directa a internet.</w:t>
      </w:r>
    </w:p>
    <w:p w14:paraId="1B384720">
      <w:pPr>
        <w:spacing w:after="160" w:line="300" w:lineRule="auto"/>
        <w:jc w:val="both"/>
      </w:pPr>
      <w:r>
        <w:rPr>
          <w:rFonts w:ascii="Times New Roman" w:hAnsi="Times New Roman" w:eastAsia="Times New Roman" w:cs="Times New Roman"/>
          <w:sz w:val="22"/>
          <w:szCs w:val="22"/>
        </w:rPr>
        <w:t>El API Gateway aporta además un beneficio de trazabilidad que resulta crítico en el sector financiero: al concentrar todas las llamadas en un único punto, la organización obtiene un registro completo y homogéneo de quién accedió a qué información y en qué momento, requisito habitual en los procesos de auditoría y supervisión.</w:t>
      </w:r>
    </w:p>
    <w:p w14:paraId="123A251A">
      <w:pPr>
        <w:pStyle w:val="4"/>
        <w:keepNext/>
        <w:spacing w:before="200" w:after="120"/>
      </w:pPr>
      <w:r>
        <w:rPr>
          <w:rFonts w:ascii="Times New Roman" w:hAnsi="Times New Roman" w:eastAsia="Times New Roman" w:cs="Times New Roman"/>
          <w:b/>
          <w:bCs/>
          <w:i/>
          <w:iCs/>
          <w:color w:val="000000"/>
          <w:sz w:val="22"/>
          <w:szCs w:val="22"/>
        </w:rPr>
        <w:t>4.3.3. Microservicios de negocio: cada servicio es dueño de su dominio</w:t>
      </w:r>
    </w:p>
    <w:p w14:paraId="5196CB44">
      <w:pPr>
        <w:spacing w:after="160" w:line="300" w:lineRule="auto"/>
        <w:jc w:val="both"/>
      </w:pPr>
      <w:r>
        <w:rPr>
          <w:rFonts w:ascii="Times New Roman" w:hAnsi="Times New Roman" w:eastAsia="Times New Roman" w:cs="Times New Roman"/>
          <w:sz w:val="22"/>
          <w:szCs w:val="22"/>
        </w:rPr>
        <w:t>Cada sistema legado —clientes, créditos, contabilidad— se encapsula o migra hacia un microservicio con una API bien definida. El principio rector es que cada dato tiene un solo dueño: el servicio de Clientes es la única fuente de información sobre un cliente y ningún otro componente guarda su propia copia. Esto elimina de raíz la duplicación y los errores de datos. La siguiente tabla delimita las responsabilidades:</w:t>
      </w:r>
    </w:p>
    <w:p w14:paraId="74B9BC54">
      <w:pPr>
        <w:spacing w:after="1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600"/>
        <w:gridCol w:w="3200"/>
      </w:tblGrid>
      <w:tr w14:paraId="3E2FD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D9D9D9"/>
            <w:tcMar>
              <w:top w:w="80" w:type="dxa"/>
              <w:left w:w="110" w:type="dxa"/>
              <w:bottom w:w="80" w:type="dxa"/>
              <w:right w:w="110" w:type="dxa"/>
            </w:tcMar>
          </w:tcPr>
          <w:p w14:paraId="1778E0E4">
            <w:pPr>
              <w:spacing w:after="0" w:line="260" w:lineRule="auto"/>
              <w:jc w:val="left"/>
            </w:pPr>
            <w:r>
              <w:rPr>
                <w:rFonts w:ascii="Times New Roman" w:hAnsi="Times New Roman" w:eastAsia="Times New Roman" w:cs="Times New Roman"/>
                <w:b/>
                <w:bCs/>
                <w:sz w:val="20"/>
                <w:szCs w:val="20"/>
              </w:rPr>
              <w:t>Microservicio</w:t>
            </w:r>
          </w:p>
        </w:tc>
        <w:tc>
          <w:tcPr>
            <w:tcW w:w="3600" w:type="dxa"/>
            <w:shd w:val="clear" w:color="auto" w:fill="D9D9D9"/>
            <w:tcMar>
              <w:top w:w="80" w:type="dxa"/>
              <w:left w:w="110" w:type="dxa"/>
              <w:bottom w:w="80" w:type="dxa"/>
              <w:right w:w="110" w:type="dxa"/>
            </w:tcMar>
          </w:tcPr>
          <w:p w14:paraId="427AB4AB">
            <w:pPr>
              <w:spacing w:after="0" w:line="260" w:lineRule="auto"/>
              <w:jc w:val="left"/>
            </w:pPr>
            <w:r>
              <w:rPr>
                <w:rFonts w:ascii="Times New Roman" w:hAnsi="Times New Roman" w:eastAsia="Times New Roman" w:cs="Times New Roman"/>
                <w:b/>
                <w:bCs/>
                <w:sz w:val="20"/>
                <w:szCs w:val="20"/>
              </w:rPr>
              <w:t>Es dueño de</w:t>
            </w:r>
          </w:p>
        </w:tc>
        <w:tc>
          <w:tcPr>
            <w:tcW w:w="3200" w:type="dxa"/>
            <w:shd w:val="clear" w:color="auto" w:fill="D9D9D9"/>
            <w:tcMar>
              <w:top w:w="80" w:type="dxa"/>
              <w:left w:w="110" w:type="dxa"/>
              <w:bottom w:w="80" w:type="dxa"/>
              <w:right w:w="110" w:type="dxa"/>
            </w:tcMar>
          </w:tcPr>
          <w:p w14:paraId="7E644DEB">
            <w:pPr>
              <w:spacing w:after="0" w:line="260" w:lineRule="auto"/>
              <w:jc w:val="left"/>
            </w:pPr>
            <w:r>
              <w:rPr>
                <w:rFonts w:ascii="Times New Roman" w:hAnsi="Times New Roman" w:eastAsia="Times New Roman" w:cs="Times New Roman"/>
                <w:b/>
                <w:bCs/>
                <w:sz w:val="20"/>
                <w:szCs w:val="20"/>
              </w:rPr>
              <w:t>Lo que no le corresponde</w:t>
            </w:r>
          </w:p>
        </w:tc>
      </w:tr>
      <w:tr w14:paraId="2DE4E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10" w:type="dxa"/>
              <w:bottom w:w="80" w:type="dxa"/>
              <w:right w:w="110" w:type="dxa"/>
            </w:tcMar>
          </w:tcPr>
          <w:p w14:paraId="011FAE65">
            <w:pPr>
              <w:spacing w:after="0" w:line="260" w:lineRule="auto"/>
              <w:jc w:val="left"/>
            </w:pPr>
            <w:r>
              <w:rPr>
                <w:rFonts w:ascii="Times New Roman" w:hAnsi="Times New Roman" w:eastAsia="Times New Roman" w:cs="Times New Roman"/>
                <w:sz w:val="20"/>
                <w:szCs w:val="20"/>
              </w:rPr>
              <w:t>Clientes</w:t>
            </w:r>
          </w:p>
        </w:tc>
        <w:tc>
          <w:tcPr>
            <w:tcW w:w="3600" w:type="dxa"/>
            <w:tcMar>
              <w:top w:w="80" w:type="dxa"/>
              <w:left w:w="110" w:type="dxa"/>
              <w:bottom w:w="80" w:type="dxa"/>
              <w:right w:w="110" w:type="dxa"/>
            </w:tcMar>
          </w:tcPr>
          <w:p w14:paraId="23721F0B">
            <w:pPr>
              <w:spacing w:after="0" w:line="260" w:lineRule="auto"/>
              <w:jc w:val="left"/>
            </w:pPr>
            <w:r>
              <w:rPr>
                <w:rFonts w:ascii="Times New Roman" w:hAnsi="Times New Roman" w:eastAsia="Times New Roman" w:cs="Times New Roman"/>
                <w:sz w:val="20"/>
                <w:szCs w:val="20"/>
              </w:rPr>
              <w:t>Identidad del cliente, datos personales y de contacto, resultado del proceso de conocimiento del cliente (KYC).</w:t>
            </w:r>
          </w:p>
        </w:tc>
        <w:tc>
          <w:tcPr>
            <w:tcW w:w="3200" w:type="dxa"/>
            <w:tcMar>
              <w:top w:w="80" w:type="dxa"/>
              <w:left w:w="110" w:type="dxa"/>
              <w:bottom w:w="80" w:type="dxa"/>
              <w:right w:w="110" w:type="dxa"/>
            </w:tcMar>
          </w:tcPr>
          <w:p w14:paraId="0CC7CE1D">
            <w:pPr>
              <w:spacing w:after="0" w:line="260" w:lineRule="auto"/>
              <w:jc w:val="left"/>
            </w:pPr>
            <w:r>
              <w:rPr>
                <w:rFonts w:ascii="Times New Roman" w:hAnsi="Times New Roman" w:eastAsia="Times New Roman" w:cs="Times New Roman"/>
                <w:sz w:val="20"/>
                <w:szCs w:val="20"/>
              </w:rPr>
              <w:t>No calcula riesgo ni evalúa capacidad de pago.</w:t>
            </w:r>
          </w:p>
        </w:tc>
      </w:tr>
      <w:tr w14:paraId="7F554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10" w:type="dxa"/>
              <w:bottom w:w="80" w:type="dxa"/>
              <w:right w:w="110" w:type="dxa"/>
            </w:tcMar>
          </w:tcPr>
          <w:p w14:paraId="4E5C9570">
            <w:pPr>
              <w:spacing w:after="0" w:line="260" w:lineRule="auto"/>
              <w:jc w:val="left"/>
            </w:pPr>
            <w:r>
              <w:rPr>
                <w:rFonts w:ascii="Times New Roman" w:hAnsi="Times New Roman" w:eastAsia="Times New Roman" w:cs="Times New Roman"/>
                <w:sz w:val="20"/>
                <w:szCs w:val="20"/>
              </w:rPr>
              <w:t>Identidad y acceso</w:t>
            </w:r>
          </w:p>
        </w:tc>
        <w:tc>
          <w:tcPr>
            <w:tcW w:w="3600" w:type="dxa"/>
            <w:tcMar>
              <w:top w:w="80" w:type="dxa"/>
              <w:left w:w="110" w:type="dxa"/>
              <w:bottom w:w="80" w:type="dxa"/>
              <w:right w:w="110" w:type="dxa"/>
            </w:tcMar>
          </w:tcPr>
          <w:p w14:paraId="6A4C1886">
            <w:pPr>
              <w:spacing w:after="0" w:line="260" w:lineRule="auto"/>
              <w:jc w:val="left"/>
            </w:pPr>
            <w:r>
              <w:rPr>
                <w:rFonts w:ascii="Times New Roman" w:hAnsi="Times New Roman" w:eastAsia="Times New Roman" w:cs="Times New Roman"/>
                <w:sz w:val="20"/>
                <w:szCs w:val="20"/>
              </w:rPr>
              <w:t>Credenciales, sesiones, factores de autenticación, roles y permisos.</w:t>
            </w:r>
          </w:p>
        </w:tc>
        <w:tc>
          <w:tcPr>
            <w:tcW w:w="3200" w:type="dxa"/>
            <w:tcMar>
              <w:top w:w="80" w:type="dxa"/>
              <w:left w:w="110" w:type="dxa"/>
              <w:bottom w:w="80" w:type="dxa"/>
              <w:right w:w="110" w:type="dxa"/>
            </w:tcMar>
          </w:tcPr>
          <w:p w14:paraId="1D60D339">
            <w:pPr>
              <w:spacing w:after="0" w:line="260" w:lineRule="auto"/>
              <w:jc w:val="left"/>
            </w:pPr>
            <w:r>
              <w:rPr>
                <w:rFonts w:ascii="Times New Roman" w:hAnsi="Times New Roman" w:eastAsia="Times New Roman" w:cs="Times New Roman"/>
                <w:sz w:val="20"/>
                <w:szCs w:val="20"/>
              </w:rPr>
              <w:t>No almacena datos personales del cliente.</w:t>
            </w:r>
          </w:p>
        </w:tc>
      </w:tr>
      <w:tr w14:paraId="034BA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10" w:type="dxa"/>
              <w:bottom w:w="80" w:type="dxa"/>
              <w:right w:w="110" w:type="dxa"/>
            </w:tcMar>
          </w:tcPr>
          <w:p w14:paraId="1F4CB659">
            <w:pPr>
              <w:spacing w:after="0" w:line="260" w:lineRule="auto"/>
              <w:jc w:val="left"/>
            </w:pPr>
            <w:r>
              <w:rPr>
                <w:rFonts w:ascii="Times New Roman" w:hAnsi="Times New Roman" w:eastAsia="Times New Roman" w:cs="Times New Roman"/>
                <w:sz w:val="20"/>
                <w:szCs w:val="20"/>
              </w:rPr>
              <w:t>Créditos</w:t>
            </w:r>
          </w:p>
        </w:tc>
        <w:tc>
          <w:tcPr>
            <w:tcW w:w="3600" w:type="dxa"/>
            <w:tcMar>
              <w:top w:w="80" w:type="dxa"/>
              <w:left w:w="110" w:type="dxa"/>
              <w:bottom w:w="80" w:type="dxa"/>
              <w:right w:w="110" w:type="dxa"/>
            </w:tcMar>
          </w:tcPr>
          <w:p w14:paraId="0D94F524">
            <w:pPr>
              <w:spacing w:after="0" w:line="260" w:lineRule="auto"/>
              <w:jc w:val="left"/>
            </w:pPr>
            <w:r>
              <w:rPr>
                <w:rFonts w:ascii="Times New Roman" w:hAnsi="Times New Roman" w:eastAsia="Times New Roman" w:cs="Times New Roman"/>
                <w:sz w:val="20"/>
                <w:szCs w:val="20"/>
              </w:rPr>
              <w:t>Solicitudes, contratos, planes de amortización y saldos.</w:t>
            </w:r>
          </w:p>
        </w:tc>
        <w:tc>
          <w:tcPr>
            <w:tcW w:w="3200" w:type="dxa"/>
            <w:tcMar>
              <w:top w:w="80" w:type="dxa"/>
              <w:left w:w="110" w:type="dxa"/>
              <w:bottom w:w="80" w:type="dxa"/>
              <w:right w:w="110" w:type="dxa"/>
            </w:tcMar>
          </w:tcPr>
          <w:p w14:paraId="02398AA5">
            <w:pPr>
              <w:spacing w:after="0" w:line="260" w:lineRule="auto"/>
              <w:jc w:val="left"/>
            </w:pPr>
            <w:r>
              <w:rPr>
                <w:rFonts w:ascii="Times New Roman" w:hAnsi="Times New Roman" w:eastAsia="Times New Roman" w:cs="Times New Roman"/>
                <w:sz w:val="20"/>
                <w:szCs w:val="20"/>
              </w:rPr>
              <w:t>No decide aprobaciones ni ejecuta pagos.</w:t>
            </w:r>
          </w:p>
        </w:tc>
      </w:tr>
      <w:tr w14:paraId="047FC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10" w:type="dxa"/>
              <w:bottom w:w="80" w:type="dxa"/>
              <w:right w:w="110" w:type="dxa"/>
            </w:tcMar>
          </w:tcPr>
          <w:p w14:paraId="77C85D97">
            <w:pPr>
              <w:spacing w:after="0" w:line="260" w:lineRule="auto"/>
              <w:jc w:val="left"/>
            </w:pPr>
            <w:r>
              <w:rPr>
                <w:rFonts w:ascii="Times New Roman" w:hAnsi="Times New Roman" w:eastAsia="Times New Roman" w:cs="Times New Roman"/>
                <w:sz w:val="20"/>
                <w:szCs w:val="20"/>
              </w:rPr>
              <w:t>Evaluación y decisión</w:t>
            </w:r>
          </w:p>
        </w:tc>
        <w:tc>
          <w:tcPr>
            <w:tcW w:w="3600" w:type="dxa"/>
            <w:tcMar>
              <w:top w:w="80" w:type="dxa"/>
              <w:left w:w="110" w:type="dxa"/>
              <w:bottom w:w="80" w:type="dxa"/>
              <w:right w:w="110" w:type="dxa"/>
            </w:tcMar>
          </w:tcPr>
          <w:p w14:paraId="38CEDDB3">
            <w:pPr>
              <w:spacing w:after="0" w:line="260" w:lineRule="auto"/>
              <w:jc w:val="left"/>
            </w:pPr>
            <w:r>
              <w:rPr>
                <w:rFonts w:ascii="Times New Roman" w:hAnsi="Times New Roman" w:eastAsia="Times New Roman" w:cs="Times New Roman"/>
                <w:sz w:val="20"/>
                <w:szCs w:val="20"/>
              </w:rPr>
              <w:t>Reglas de negocio, modelos de scoring y políticas de riesgo.</w:t>
            </w:r>
          </w:p>
        </w:tc>
        <w:tc>
          <w:tcPr>
            <w:tcW w:w="3200" w:type="dxa"/>
            <w:tcMar>
              <w:top w:w="80" w:type="dxa"/>
              <w:left w:w="110" w:type="dxa"/>
              <w:bottom w:w="80" w:type="dxa"/>
              <w:right w:w="110" w:type="dxa"/>
            </w:tcMar>
          </w:tcPr>
          <w:p w14:paraId="227E8016">
            <w:pPr>
              <w:spacing w:after="0" w:line="260" w:lineRule="auto"/>
              <w:jc w:val="left"/>
            </w:pPr>
            <w:r>
              <w:rPr>
                <w:rFonts w:ascii="Times New Roman" w:hAnsi="Times New Roman" w:eastAsia="Times New Roman" w:cs="Times New Roman"/>
                <w:sz w:val="20"/>
                <w:szCs w:val="20"/>
              </w:rPr>
              <w:t>No desembolsa ni registra contablemente.</w:t>
            </w:r>
          </w:p>
        </w:tc>
      </w:tr>
      <w:tr w14:paraId="4D040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10" w:type="dxa"/>
              <w:bottom w:w="80" w:type="dxa"/>
              <w:right w:w="110" w:type="dxa"/>
            </w:tcMar>
          </w:tcPr>
          <w:p w14:paraId="71BD4D19">
            <w:pPr>
              <w:spacing w:after="0" w:line="260" w:lineRule="auto"/>
              <w:jc w:val="left"/>
            </w:pPr>
            <w:r>
              <w:rPr>
                <w:rFonts w:ascii="Times New Roman" w:hAnsi="Times New Roman" w:eastAsia="Times New Roman" w:cs="Times New Roman"/>
                <w:sz w:val="20"/>
                <w:szCs w:val="20"/>
              </w:rPr>
              <w:t>Desembolso y pagos</w:t>
            </w:r>
          </w:p>
        </w:tc>
        <w:tc>
          <w:tcPr>
            <w:tcW w:w="3600" w:type="dxa"/>
            <w:tcMar>
              <w:top w:w="80" w:type="dxa"/>
              <w:left w:w="110" w:type="dxa"/>
              <w:bottom w:w="80" w:type="dxa"/>
              <w:right w:w="110" w:type="dxa"/>
            </w:tcMar>
          </w:tcPr>
          <w:p w14:paraId="53B3231B">
            <w:pPr>
              <w:spacing w:after="0" w:line="260" w:lineRule="auto"/>
              <w:jc w:val="left"/>
            </w:pPr>
            <w:r>
              <w:rPr>
                <w:rFonts w:ascii="Times New Roman" w:hAnsi="Times New Roman" w:eastAsia="Times New Roman" w:cs="Times New Roman"/>
                <w:sz w:val="20"/>
                <w:szCs w:val="20"/>
              </w:rPr>
              <w:t>Órdenes de desembolso, recaudo y conciliación con entidades externas.</w:t>
            </w:r>
          </w:p>
        </w:tc>
        <w:tc>
          <w:tcPr>
            <w:tcW w:w="3200" w:type="dxa"/>
            <w:tcMar>
              <w:top w:w="80" w:type="dxa"/>
              <w:left w:w="110" w:type="dxa"/>
              <w:bottom w:w="80" w:type="dxa"/>
              <w:right w:w="110" w:type="dxa"/>
            </w:tcMar>
          </w:tcPr>
          <w:p w14:paraId="2472BA5F">
            <w:pPr>
              <w:spacing w:after="0" w:line="260" w:lineRule="auto"/>
              <w:jc w:val="left"/>
            </w:pPr>
            <w:r>
              <w:rPr>
                <w:rFonts w:ascii="Times New Roman" w:hAnsi="Times New Roman" w:eastAsia="Times New Roman" w:cs="Times New Roman"/>
                <w:sz w:val="20"/>
                <w:szCs w:val="20"/>
              </w:rPr>
              <w:t>No lleva los libros contables.</w:t>
            </w:r>
          </w:p>
        </w:tc>
      </w:tr>
      <w:tr w14:paraId="7D07B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10" w:type="dxa"/>
              <w:bottom w:w="80" w:type="dxa"/>
              <w:right w:w="110" w:type="dxa"/>
            </w:tcMar>
          </w:tcPr>
          <w:p w14:paraId="3707CDC4">
            <w:pPr>
              <w:spacing w:after="0" w:line="260" w:lineRule="auto"/>
              <w:jc w:val="left"/>
            </w:pPr>
            <w:r>
              <w:rPr>
                <w:rFonts w:ascii="Times New Roman" w:hAnsi="Times New Roman" w:eastAsia="Times New Roman" w:cs="Times New Roman"/>
                <w:sz w:val="20"/>
                <w:szCs w:val="20"/>
              </w:rPr>
              <w:t>Contabilidad</w:t>
            </w:r>
          </w:p>
        </w:tc>
        <w:tc>
          <w:tcPr>
            <w:tcW w:w="3600" w:type="dxa"/>
            <w:tcMar>
              <w:top w:w="80" w:type="dxa"/>
              <w:left w:w="110" w:type="dxa"/>
              <w:bottom w:w="80" w:type="dxa"/>
              <w:right w:w="110" w:type="dxa"/>
            </w:tcMar>
          </w:tcPr>
          <w:p w14:paraId="4609598C">
            <w:pPr>
              <w:spacing w:after="0" w:line="260" w:lineRule="auto"/>
              <w:jc w:val="left"/>
            </w:pPr>
            <w:r>
              <w:rPr>
                <w:rFonts w:ascii="Times New Roman" w:hAnsi="Times New Roman" w:eastAsia="Times New Roman" w:cs="Times New Roman"/>
                <w:sz w:val="20"/>
                <w:szCs w:val="20"/>
              </w:rPr>
              <w:t>Asientos contables, partida doble, cierres y estados financieros.</w:t>
            </w:r>
          </w:p>
        </w:tc>
        <w:tc>
          <w:tcPr>
            <w:tcW w:w="3200" w:type="dxa"/>
            <w:tcMar>
              <w:top w:w="80" w:type="dxa"/>
              <w:left w:w="110" w:type="dxa"/>
              <w:bottom w:w="80" w:type="dxa"/>
              <w:right w:w="110" w:type="dxa"/>
            </w:tcMar>
          </w:tcPr>
          <w:p w14:paraId="25BAC85E">
            <w:pPr>
              <w:spacing w:after="0" w:line="260" w:lineRule="auto"/>
              <w:jc w:val="left"/>
            </w:pPr>
            <w:r>
              <w:rPr>
                <w:rFonts w:ascii="Times New Roman" w:hAnsi="Times New Roman" w:eastAsia="Times New Roman" w:cs="Times New Roman"/>
                <w:sz w:val="20"/>
                <w:szCs w:val="20"/>
              </w:rPr>
              <w:t>No es fuente de datos del cliente ni del crédito.</w:t>
            </w:r>
          </w:p>
        </w:tc>
      </w:tr>
      <w:tr w14:paraId="4B26E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10" w:type="dxa"/>
              <w:bottom w:w="80" w:type="dxa"/>
              <w:right w:w="110" w:type="dxa"/>
            </w:tcMar>
          </w:tcPr>
          <w:p w14:paraId="3B1E7818">
            <w:pPr>
              <w:spacing w:after="0" w:line="260" w:lineRule="auto"/>
              <w:jc w:val="left"/>
            </w:pPr>
            <w:r>
              <w:rPr>
                <w:rFonts w:ascii="Times New Roman" w:hAnsi="Times New Roman" w:eastAsia="Times New Roman" w:cs="Times New Roman"/>
                <w:sz w:val="20"/>
                <w:szCs w:val="20"/>
              </w:rPr>
              <w:t>Notificaciones</w:t>
            </w:r>
          </w:p>
        </w:tc>
        <w:tc>
          <w:tcPr>
            <w:tcW w:w="3600" w:type="dxa"/>
            <w:tcMar>
              <w:top w:w="80" w:type="dxa"/>
              <w:left w:w="110" w:type="dxa"/>
              <w:bottom w:w="80" w:type="dxa"/>
              <w:right w:w="110" w:type="dxa"/>
            </w:tcMar>
          </w:tcPr>
          <w:p w14:paraId="4A7F4381">
            <w:pPr>
              <w:spacing w:after="0" w:line="260" w:lineRule="auto"/>
              <w:jc w:val="left"/>
            </w:pPr>
            <w:r>
              <w:rPr>
                <w:rFonts w:ascii="Times New Roman" w:hAnsi="Times New Roman" w:eastAsia="Times New Roman" w:cs="Times New Roman"/>
                <w:sz w:val="20"/>
                <w:szCs w:val="20"/>
              </w:rPr>
              <w:t>Envío de correos, mensajes de texto y notificaciones push.</w:t>
            </w:r>
          </w:p>
        </w:tc>
        <w:tc>
          <w:tcPr>
            <w:tcW w:w="3200" w:type="dxa"/>
            <w:tcMar>
              <w:top w:w="80" w:type="dxa"/>
              <w:left w:w="110" w:type="dxa"/>
              <w:bottom w:w="80" w:type="dxa"/>
              <w:right w:w="110" w:type="dxa"/>
            </w:tcMar>
          </w:tcPr>
          <w:p w14:paraId="41B73BB6">
            <w:pPr>
              <w:spacing w:after="0" w:line="260" w:lineRule="auto"/>
              <w:jc w:val="left"/>
            </w:pPr>
            <w:r>
              <w:rPr>
                <w:rFonts w:ascii="Times New Roman" w:hAnsi="Times New Roman" w:eastAsia="Times New Roman" w:cs="Times New Roman"/>
                <w:sz w:val="20"/>
                <w:szCs w:val="20"/>
              </w:rPr>
              <w:t>No decide el contenido de negocio, solo lo entrega.</w:t>
            </w:r>
          </w:p>
        </w:tc>
      </w:tr>
    </w:tbl>
    <w:p w14:paraId="0AB7B81E">
      <w:pPr>
        <w:spacing w:after="160"/>
      </w:pPr>
    </w:p>
    <w:p w14:paraId="6AFD2862">
      <w:pPr>
        <w:pStyle w:val="4"/>
        <w:keepNext/>
        <w:spacing w:before="200" w:after="120"/>
      </w:pPr>
      <w:r>
        <w:rPr>
          <w:rFonts w:ascii="Times New Roman" w:hAnsi="Times New Roman" w:eastAsia="Times New Roman" w:cs="Times New Roman"/>
          <w:b/>
          <w:bCs/>
          <w:i/>
          <w:iCs/>
          <w:color w:val="000000"/>
          <w:sz w:val="22"/>
          <w:szCs w:val="22"/>
        </w:rPr>
        <w:t>4.3.4. Bus de eventos: desacoplamiento de los servicios</w:t>
      </w:r>
    </w:p>
    <w:p w14:paraId="0847E58D">
      <w:pPr>
        <w:spacing w:after="160" w:line="300" w:lineRule="auto"/>
        <w:jc w:val="both"/>
      </w:pPr>
      <w:r>
        <w:rPr>
          <w:rFonts w:ascii="Times New Roman" w:hAnsi="Times New Roman" w:eastAsia="Times New Roman" w:cs="Times New Roman"/>
          <w:sz w:val="22"/>
          <w:szCs w:val="22"/>
        </w:rPr>
        <w:t>En lugar de que el servicio de Créditos invoque de forma directa y síncrona al de Contabilidad —lo cual genera acoplamiento fuerte y produce lentitud y errores en los datos—, cada servicio publica eventos de negocio y los demás se suscriben a los que les interesan. Cuando se aprueba un crédito, el servicio de Créditos publica el evento correspondiente; el servicio de Desembolso lo consume y ejecuta el pago, el de Contabilidad lo consume y genera el asiento, y el de Notificaciones lo consume e informa al cliente. Ninguno de ellos necesita conocer la existencia de los demás.</w:t>
      </w:r>
    </w:p>
    <w:p w14:paraId="7C49CA41">
      <w:pPr>
        <w:spacing w:after="160" w:line="300" w:lineRule="auto"/>
        <w:jc w:val="both"/>
      </w:pPr>
      <w:r>
        <w:rPr>
          <w:rFonts w:ascii="Times New Roman" w:hAnsi="Times New Roman" w:eastAsia="Times New Roman" w:cs="Times New Roman"/>
          <w:sz w:val="22"/>
          <w:szCs w:val="22"/>
        </w:rPr>
        <w:t>Este mecanismo permite que el flujo Cliente → App/Web → Autenticación → Crédito → Evaluación → Aprobación → Desembolso → Contabilidad funcione de forma fluida, sin que cada paso dependa de que el anterior esté disponible en ese instante exacto, lo que ahorra recursos del sistema y tiempo para los usuarios.</w:t>
      </w:r>
    </w:p>
    <w:p w14:paraId="5B0849B6">
      <w:pPr>
        <w:spacing w:after="160" w:line="300" w:lineRule="auto"/>
        <w:jc w:val="both"/>
      </w:pPr>
      <w:r>
        <w:rPr>
          <w:rFonts w:ascii="Times New Roman" w:hAnsi="Times New Roman" w:eastAsia="Times New Roman" w:cs="Times New Roman"/>
          <w:sz w:val="22"/>
          <w:szCs w:val="22"/>
        </w:rPr>
        <w:t>El bus de eventos es también el mecanismo que finalmente elimina la duplicación en el sistema contable. Hoy la contabilidad mantiene su propia copia de los datos del cliente porque no tiene otra forma de obtenerlos; en el estado objetivo recibe el evento con la información que necesita en el momento en que el hecho de negocio ocurre.</w:t>
      </w:r>
    </w:p>
    <w:p w14:paraId="69DEEE5E">
      <w:pPr>
        <w:spacing w:after="160" w:line="300" w:lineRule="auto"/>
        <w:jc w:val="both"/>
      </w:pPr>
      <w:r>
        <w:rPr>
          <w:rFonts w:ascii="Times New Roman" w:hAnsi="Times New Roman" w:eastAsia="Times New Roman" w:cs="Times New Roman"/>
          <w:b/>
          <w:bCs/>
          <w:sz w:val="22"/>
          <w:szCs w:val="22"/>
        </w:rPr>
        <w:t xml:space="preserve">Consistencia y compensación. </w:t>
      </w:r>
      <w:r>
        <w:rPr>
          <w:rFonts w:ascii="Times New Roman" w:hAnsi="Times New Roman" w:eastAsia="Times New Roman" w:cs="Times New Roman"/>
          <w:sz w:val="22"/>
          <w:szCs w:val="22"/>
        </w:rPr>
        <w:t>La comunicación asíncrona introduce un reto: la consistencia entre servicios deja de ser inmediata. Para procesos que involucran varios servicios se aplica el patrón saga, en el cual cada paso publica su resultado y, si un paso falla, se emiten eventos de compensación que revierten los anteriores. Por ejemplo, si el desembolso no puede ejecutarse, se publica un evento que devuelve la solicitud de crédito a un estado pendiente y genera el asiento contable de reversión.</w:t>
      </w:r>
    </w:p>
    <w:p w14:paraId="0523EB8C">
      <w:pPr>
        <w:pStyle w:val="4"/>
        <w:keepNext/>
        <w:spacing w:before="200" w:after="120"/>
      </w:pPr>
      <w:r>
        <w:rPr>
          <w:rFonts w:ascii="Times New Roman" w:hAnsi="Times New Roman" w:eastAsia="Times New Roman" w:cs="Times New Roman"/>
          <w:b/>
          <w:bCs/>
          <w:i/>
          <w:iCs/>
          <w:color w:val="000000"/>
          <w:sz w:val="22"/>
          <w:szCs w:val="22"/>
        </w:rPr>
        <w:t>4.3.5. Datos: gestión de datos maestros y bodega analítica</w:t>
      </w:r>
    </w:p>
    <w:p w14:paraId="3D4B5DFD">
      <w:pPr>
        <w:spacing w:after="160" w:line="300" w:lineRule="auto"/>
        <w:jc w:val="both"/>
      </w:pPr>
      <w:r>
        <w:rPr>
          <w:rFonts w:ascii="Times New Roman" w:hAnsi="Times New Roman" w:eastAsia="Times New Roman" w:cs="Times New Roman"/>
          <w:sz w:val="22"/>
          <w:szCs w:val="22"/>
        </w:rPr>
        <w:t>Un sistema de gestión de datos maestros (MDM) evita los problemas de duplicación, como el hecho de que un mismo cliente exista tres veces en tres sistemas distintos. El MDM cumple dos funciones: durante la transición, ejecuta el proceso de deduplicación y consolidación de los registros existentes en los tres sistemas actuales; en régimen permanente, actúa como el árbitro que garantiza que exista un único identificador maestro por cliente en toda la organización.</w:t>
      </w:r>
    </w:p>
    <w:p w14:paraId="6B0A8177">
      <w:pPr>
        <w:spacing w:after="160" w:line="300" w:lineRule="auto"/>
        <w:jc w:val="both"/>
      </w:pPr>
      <w:r>
        <w:rPr>
          <w:rFonts w:ascii="Times New Roman" w:hAnsi="Times New Roman" w:eastAsia="Times New Roman" w:cs="Times New Roman"/>
          <w:sz w:val="22"/>
          <w:szCs w:val="22"/>
        </w:rPr>
        <w:t>De manera complementaria, una bodega de datos recibe los eventos del bus y consolida la información histórica. Esto resuelve el problema reportado de dificultad para generar informes, porque los reportes dejan de requerir el cruce manual de cuatro bases de datos distintas. Un principio importante de esta capa es que las consultas analíticas nunca se ejecutan contra las bases de datos transaccionales: un informe pesado de cierre de mes no debe degradar el tiempo de respuesta de la aplicación móvil de un cliente que está solicitando un crédito.</w:t>
      </w:r>
    </w:p>
    <w:p w14:paraId="02286228">
      <w:pPr>
        <w:pStyle w:val="2"/>
        <w:keepNext/>
        <w:spacing w:before="320" w:after="180"/>
      </w:pPr>
      <w:r>
        <w:rPr>
          <w:rFonts w:ascii="Times New Roman" w:hAnsi="Times New Roman" w:eastAsia="Times New Roman" w:cs="Times New Roman"/>
          <w:b/>
          <w:bCs/>
          <w:color w:val="000000"/>
          <w:sz w:val="26"/>
          <w:szCs w:val="26"/>
        </w:rPr>
        <w:t>5. Desarrollo de la Propuesta por Dominios de Arquitectura</w:t>
      </w:r>
    </w:p>
    <w:p w14:paraId="65D9DB27">
      <w:pPr>
        <w:spacing w:after="160" w:line="300" w:lineRule="auto"/>
        <w:jc w:val="both"/>
      </w:pPr>
      <w:r>
        <w:rPr>
          <w:rFonts w:ascii="Times New Roman" w:hAnsi="Times New Roman" w:eastAsia="Times New Roman" w:cs="Times New Roman"/>
          <w:sz w:val="22"/>
          <w:szCs w:val="22"/>
        </w:rPr>
        <w:t>Esta sección desarrolla la arquitectura objetivo a través de los cuatro dominios definidos en la sección 2.2, siguiendo las fases B, C y D del ADM de TOGAF.</w:t>
      </w:r>
    </w:p>
    <w:p w14:paraId="4157FB2E">
      <w:pPr>
        <w:pStyle w:val="3"/>
        <w:keepNext/>
        <w:spacing w:before="260" w:after="140"/>
      </w:pPr>
      <w:r>
        <w:rPr>
          <w:rFonts w:ascii="Times New Roman" w:hAnsi="Times New Roman" w:eastAsia="Times New Roman" w:cs="Times New Roman"/>
          <w:b/>
          <w:bCs/>
          <w:color w:val="000000"/>
          <w:sz w:val="24"/>
          <w:szCs w:val="24"/>
        </w:rPr>
        <w:t>5.1. Arquitectura de Negocio</w:t>
      </w:r>
    </w:p>
    <w:p w14:paraId="1B33066D">
      <w:pPr>
        <w:spacing w:after="160" w:line="300" w:lineRule="auto"/>
        <w:jc w:val="both"/>
      </w:pPr>
      <w:r>
        <w:rPr>
          <w:rFonts w:ascii="Times New Roman" w:hAnsi="Times New Roman" w:eastAsia="Times New Roman" w:cs="Times New Roman"/>
          <w:sz w:val="22"/>
          <w:szCs w:val="22"/>
        </w:rPr>
        <w:t>El proceso central de FinanTech es la originación y gestión del crédito. En el estado actual este proceso atraviesa los cinco sistemas y contiene puntos de intervención manual en cada frontera entre ellos. El rediseño del proceso persigue eliminar esos puntos de intervención, no automatizarlos.</w:t>
      </w:r>
    </w:p>
    <w:p w14:paraId="46894A4F">
      <w:pPr>
        <w:spacing w:after="160" w:line="300" w:lineRule="auto"/>
        <w:jc w:val="both"/>
      </w:pPr>
      <w:r>
        <w:rPr>
          <w:rFonts w:ascii="Times New Roman" w:hAnsi="Times New Roman" w:eastAsia="Times New Roman" w:cs="Times New Roman"/>
          <w:sz w:val="22"/>
          <w:szCs w:val="22"/>
        </w:rPr>
        <w:t>Las capacidades de negocio que la arquitectura debe habilitar son las siguientes:</w:t>
      </w:r>
    </w:p>
    <w:p w14:paraId="4E16E2E9">
      <w:pPr>
        <w:pStyle w:val="16"/>
        <w:numPr>
          <w:ilvl w:val="0"/>
          <w:numId w:val="1"/>
        </w:numPr>
        <w:spacing w:after="90" w:line="300" w:lineRule="auto"/>
        <w:jc w:val="both"/>
      </w:pPr>
      <w:r>
        <w:rPr>
          <w:rFonts w:ascii="Times New Roman" w:hAnsi="Times New Roman" w:eastAsia="Times New Roman" w:cs="Times New Roman"/>
          <w:sz w:val="22"/>
          <w:szCs w:val="22"/>
        </w:rPr>
        <w:t>Vinculación digital del cliente, con validación de identidad remota y sin presencia física.</w:t>
      </w:r>
    </w:p>
    <w:p w14:paraId="2F568B4D">
      <w:pPr>
        <w:pStyle w:val="16"/>
        <w:numPr>
          <w:ilvl w:val="0"/>
          <w:numId w:val="1"/>
        </w:numPr>
        <w:spacing w:after="90" w:line="300" w:lineRule="auto"/>
        <w:jc w:val="both"/>
      </w:pPr>
      <w:r>
        <w:rPr>
          <w:rFonts w:ascii="Times New Roman" w:hAnsi="Times New Roman" w:eastAsia="Times New Roman" w:cs="Times New Roman"/>
          <w:sz w:val="22"/>
          <w:szCs w:val="22"/>
        </w:rPr>
        <w:t>Originación de crédito de extremo a extremo desde cualquier canal.</w:t>
      </w:r>
    </w:p>
    <w:p w14:paraId="02E81AF1">
      <w:pPr>
        <w:pStyle w:val="16"/>
        <w:numPr>
          <w:ilvl w:val="0"/>
          <w:numId w:val="1"/>
        </w:numPr>
        <w:spacing w:after="90" w:line="300" w:lineRule="auto"/>
        <w:jc w:val="both"/>
      </w:pPr>
      <w:r>
        <w:rPr>
          <w:rFonts w:ascii="Times New Roman" w:hAnsi="Times New Roman" w:eastAsia="Times New Roman" w:cs="Times New Roman"/>
          <w:sz w:val="22"/>
          <w:szCs w:val="22"/>
        </w:rPr>
        <w:t>Evaluación de riesgo automatizada con decisión en línea para los montos y perfiles que la política permita.</w:t>
      </w:r>
    </w:p>
    <w:p w14:paraId="0E92DC8D">
      <w:pPr>
        <w:pStyle w:val="16"/>
        <w:numPr>
          <w:ilvl w:val="0"/>
          <w:numId w:val="1"/>
        </w:numPr>
        <w:spacing w:after="90" w:line="300" w:lineRule="auto"/>
        <w:jc w:val="both"/>
      </w:pPr>
      <w:r>
        <w:rPr>
          <w:rFonts w:ascii="Times New Roman" w:hAnsi="Times New Roman" w:eastAsia="Times New Roman" w:cs="Times New Roman"/>
          <w:sz w:val="22"/>
          <w:szCs w:val="22"/>
        </w:rPr>
        <w:t>Desembolso automático una vez aprobada la solicitud y firmado el contrato.</w:t>
      </w:r>
    </w:p>
    <w:p w14:paraId="7D6AD6B3">
      <w:pPr>
        <w:pStyle w:val="16"/>
        <w:numPr>
          <w:ilvl w:val="0"/>
          <w:numId w:val="1"/>
        </w:numPr>
        <w:spacing w:after="90" w:line="300" w:lineRule="auto"/>
        <w:jc w:val="both"/>
      </w:pPr>
      <w:r>
        <w:rPr>
          <w:rFonts w:ascii="Times New Roman" w:hAnsi="Times New Roman" w:eastAsia="Times New Roman" w:cs="Times New Roman"/>
          <w:sz w:val="22"/>
          <w:szCs w:val="22"/>
        </w:rPr>
        <w:t>Registro contable automático y en el momento en que ocurre el hecho económico.</w:t>
      </w:r>
    </w:p>
    <w:p w14:paraId="70614694">
      <w:pPr>
        <w:pStyle w:val="16"/>
        <w:numPr>
          <w:ilvl w:val="0"/>
          <w:numId w:val="1"/>
        </w:numPr>
        <w:spacing w:after="90" w:line="300" w:lineRule="auto"/>
        <w:jc w:val="both"/>
      </w:pPr>
      <w:r>
        <w:rPr>
          <w:rFonts w:ascii="Times New Roman" w:hAnsi="Times New Roman" w:eastAsia="Times New Roman" w:cs="Times New Roman"/>
          <w:sz w:val="22"/>
          <w:szCs w:val="22"/>
        </w:rPr>
        <w:t>Gestión del ciclo de vida del crédito: recaudo, cobranza y cierre.</w:t>
      </w:r>
    </w:p>
    <w:p w14:paraId="724FE6BD">
      <w:pPr>
        <w:spacing w:after="160" w:line="300" w:lineRule="auto"/>
        <w:jc w:val="both"/>
      </w:pPr>
      <w:r>
        <w:rPr>
          <w:rFonts w:ascii="Times New Roman" w:hAnsi="Times New Roman" w:eastAsia="Times New Roman" w:cs="Times New Roman"/>
          <w:sz w:val="22"/>
          <w:szCs w:val="22"/>
        </w:rPr>
        <w:t>El rediseño implica también un cambio en los roles. El analista que hoy dedica su jornada a conciliar registros entre sistemas pasa a ocuparse de los casos que la decisión automática deriva a revisión manual, es decir, aquellos que están fuera de la política automatizada o que presentan alertas de riesgo. Esta consecuencia organizacional debe gestionarse explícitamente, porque la resistencia al cambio es una de las causas más frecuentes de fracaso en los proyectos de arquitectura empresarial.</w:t>
      </w:r>
    </w:p>
    <w:p w14:paraId="36AD6FF5">
      <w:pPr>
        <w:pStyle w:val="3"/>
        <w:keepNext/>
        <w:spacing w:before="260" w:after="140"/>
      </w:pPr>
      <w:r>
        <w:rPr>
          <w:rFonts w:ascii="Times New Roman" w:hAnsi="Times New Roman" w:eastAsia="Times New Roman" w:cs="Times New Roman"/>
          <w:b/>
          <w:bCs/>
          <w:color w:val="000000"/>
          <w:sz w:val="24"/>
          <w:szCs w:val="24"/>
        </w:rPr>
        <w:t>5.2. Arquitectura de Datos</w:t>
      </w:r>
    </w:p>
    <w:p w14:paraId="4FD052D8">
      <w:pPr>
        <w:spacing w:after="160" w:line="300" w:lineRule="auto"/>
        <w:jc w:val="both"/>
      </w:pPr>
      <w:r>
        <w:rPr>
          <w:rFonts w:ascii="Times New Roman" w:hAnsi="Times New Roman" w:eastAsia="Times New Roman" w:cs="Times New Roman"/>
          <w:sz w:val="22"/>
          <w:szCs w:val="22"/>
        </w:rPr>
        <w:t>Este es el dominio donde reside la causa raíz del problema y, por lo tanto, donde la propuesta debe ser más precisa. Se define un modelo de dominios de información con un dueño único para cada uno:</w:t>
      </w:r>
    </w:p>
    <w:p w14:paraId="19651040">
      <w:pPr>
        <w:spacing w:after="1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500"/>
        <w:gridCol w:w="4100"/>
      </w:tblGrid>
      <w:tr w14:paraId="60870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D9D9"/>
            <w:tcMar>
              <w:top w:w="80" w:type="dxa"/>
              <w:left w:w="110" w:type="dxa"/>
              <w:bottom w:w="80" w:type="dxa"/>
              <w:right w:w="110" w:type="dxa"/>
            </w:tcMar>
          </w:tcPr>
          <w:p w14:paraId="75D1111E">
            <w:pPr>
              <w:spacing w:after="0" w:line="260" w:lineRule="auto"/>
              <w:jc w:val="left"/>
            </w:pPr>
            <w:r>
              <w:rPr>
                <w:rFonts w:ascii="Times New Roman" w:hAnsi="Times New Roman" w:eastAsia="Times New Roman" w:cs="Times New Roman"/>
                <w:b/>
                <w:bCs/>
                <w:sz w:val="20"/>
                <w:szCs w:val="20"/>
              </w:rPr>
              <w:t>Dominio de información</w:t>
            </w:r>
          </w:p>
        </w:tc>
        <w:tc>
          <w:tcPr>
            <w:tcW w:w="2500" w:type="dxa"/>
            <w:shd w:val="clear" w:color="auto" w:fill="D9D9D9"/>
            <w:tcMar>
              <w:top w:w="80" w:type="dxa"/>
              <w:left w:w="110" w:type="dxa"/>
              <w:bottom w:w="80" w:type="dxa"/>
              <w:right w:w="110" w:type="dxa"/>
            </w:tcMar>
          </w:tcPr>
          <w:p w14:paraId="6053C465">
            <w:pPr>
              <w:spacing w:after="0" w:line="260" w:lineRule="auto"/>
              <w:jc w:val="left"/>
            </w:pPr>
            <w:r>
              <w:rPr>
                <w:rFonts w:ascii="Times New Roman" w:hAnsi="Times New Roman" w:eastAsia="Times New Roman" w:cs="Times New Roman"/>
                <w:b/>
                <w:bCs/>
                <w:sz w:val="20"/>
                <w:szCs w:val="20"/>
              </w:rPr>
              <w:t>Sistema dueño</w:t>
            </w:r>
          </w:p>
        </w:tc>
        <w:tc>
          <w:tcPr>
            <w:tcW w:w="4100" w:type="dxa"/>
            <w:shd w:val="clear" w:color="auto" w:fill="D9D9D9"/>
            <w:tcMar>
              <w:top w:w="80" w:type="dxa"/>
              <w:left w:w="110" w:type="dxa"/>
              <w:bottom w:w="80" w:type="dxa"/>
              <w:right w:w="110" w:type="dxa"/>
            </w:tcMar>
          </w:tcPr>
          <w:p w14:paraId="6C195B70">
            <w:pPr>
              <w:spacing w:after="0" w:line="260" w:lineRule="auto"/>
              <w:jc w:val="left"/>
            </w:pPr>
            <w:r>
              <w:rPr>
                <w:rFonts w:ascii="Times New Roman" w:hAnsi="Times New Roman" w:eastAsia="Times New Roman" w:cs="Times New Roman"/>
                <w:b/>
                <w:bCs/>
                <w:sz w:val="20"/>
                <w:szCs w:val="20"/>
              </w:rPr>
              <w:t>Consumidores y forma de acceso</w:t>
            </w:r>
          </w:p>
        </w:tc>
      </w:tr>
      <w:tr w14:paraId="680A8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10" w:type="dxa"/>
              <w:bottom w:w="80" w:type="dxa"/>
              <w:right w:w="110" w:type="dxa"/>
            </w:tcMar>
          </w:tcPr>
          <w:p w14:paraId="3E7767DD">
            <w:pPr>
              <w:spacing w:after="0" w:line="260" w:lineRule="auto"/>
              <w:jc w:val="left"/>
            </w:pPr>
            <w:r>
              <w:rPr>
                <w:rFonts w:ascii="Times New Roman" w:hAnsi="Times New Roman" w:eastAsia="Times New Roman" w:cs="Times New Roman"/>
                <w:sz w:val="20"/>
                <w:szCs w:val="20"/>
              </w:rPr>
              <w:t>Cliente</w:t>
            </w:r>
          </w:p>
        </w:tc>
        <w:tc>
          <w:tcPr>
            <w:tcW w:w="2500" w:type="dxa"/>
            <w:tcMar>
              <w:top w:w="80" w:type="dxa"/>
              <w:left w:w="110" w:type="dxa"/>
              <w:bottom w:w="80" w:type="dxa"/>
              <w:right w:w="110" w:type="dxa"/>
            </w:tcMar>
          </w:tcPr>
          <w:p w14:paraId="326B9EE2">
            <w:pPr>
              <w:spacing w:after="0" w:line="260" w:lineRule="auto"/>
              <w:jc w:val="left"/>
            </w:pPr>
            <w:r>
              <w:rPr>
                <w:rFonts w:ascii="Times New Roman" w:hAnsi="Times New Roman" w:eastAsia="Times New Roman" w:cs="Times New Roman"/>
                <w:sz w:val="20"/>
                <w:szCs w:val="20"/>
              </w:rPr>
              <w:t>Servicio de Clientes</w:t>
            </w:r>
          </w:p>
        </w:tc>
        <w:tc>
          <w:tcPr>
            <w:tcW w:w="4100" w:type="dxa"/>
            <w:tcMar>
              <w:top w:w="80" w:type="dxa"/>
              <w:left w:w="110" w:type="dxa"/>
              <w:bottom w:w="80" w:type="dxa"/>
              <w:right w:w="110" w:type="dxa"/>
            </w:tcMar>
          </w:tcPr>
          <w:p w14:paraId="2033840A">
            <w:pPr>
              <w:spacing w:after="0" w:line="260" w:lineRule="auto"/>
              <w:jc w:val="left"/>
            </w:pPr>
            <w:r>
              <w:rPr>
                <w:rFonts w:ascii="Times New Roman" w:hAnsi="Times New Roman" w:eastAsia="Times New Roman" w:cs="Times New Roman"/>
                <w:sz w:val="20"/>
                <w:szCs w:val="20"/>
              </w:rPr>
              <w:t>Créditos, Evaluación y Contabilidad, mediante API o eventos. Nunca por copia.</w:t>
            </w:r>
          </w:p>
        </w:tc>
      </w:tr>
      <w:tr w14:paraId="50C6F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10" w:type="dxa"/>
              <w:bottom w:w="80" w:type="dxa"/>
              <w:right w:w="110" w:type="dxa"/>
            </w:tcMar>
          </w:tcPr>
          <w:p w14:paraId="07DF8834">
            <w:pPr>
              <w:spacing w:after="0" w:line="260" w:lineRule="auto"/>
              <w:jc w:val="left"/>
            </w:pPr>
            <w:r>
              <w:rPr>
                <w:rFonts w:ascii="Times New Roman" w:hAnsi="Times New Roman" w:eastAsia="Times New Roman" w:cs="Times New Roman"/>
                <w:sz w:val="20"/>
                <w:szCs w:val="20"/>
              </w:rPr>
              <w:t>Crédito</w:t>
            </w:r>
          </w:p>
        </w:tc>
        <w:tc>
          <w:tcPr>
            <w:tcW w:w="2500" w:type="dxa"/>
            <w:tcMar>
              <w:top w:w="80" w:type="dxa"/>
              <w:left w:w="110" w:type="dxa"/>
              <w:bottom w:w="80" w:type="dxa"/>
              <w:right w:w="110" w:type="dxa"/>
            </w:tcMar>
          </w:tcPr>
          <w:p w14:paraId="5E45D3B9">
            <w:pPr>
              <w:spacing w:after="0" w:line="260" w:lineRule="auto"/>
              <w:jc w:val="left"/>
            </w:pPr>
            <w:r>
              <w:rPr>
                <w:rFonts w:ascii="Times New Roman" w:hAnsi="Times New Roman" w:eastAsia="Times New Roman" w:cs="Times New Roman"/>
                <w:sz w:val="20"/>
                <w:szCs w:val="20"/>
              </w:rPr>
              <w:t>Servicio de Créditos</w:t>
            </w:r>
          </w:p>
        </w:tc>
        <w:tc>
          <w:tcPr>
            <w:tcW w:w="4100" w:type="dxa"/>
            <w:tcMar>
              <w:top w:w="80" w:type="dxa"/>
              <w:left w:w="110" w:type="dxa"/>
              <w:bottom w:w="80" w:type="dxa"/>
              <w:right w:w="110" w:type="dxa"/>
            </w:tcMar>
          </w:tcPr>
          <w:p w14:paraId="09A2066B">
            <w:pPr>
              <w:spacing w:after="0" w:line="260" w:lineRule="auto"/>
              <w:jc w:val="left"/>
            </w:pPr>
            <w:r>
              <w:rPr>
                <w:rFonts w:ascii="Times New Roman" w:hAnsi="Times New Roman" w:eastAsia="Times New Roman" w:cs="Times New Roman"/>
                <w:sz w:val="20"/>
                <w:szCs w:val="20"/>
              </w:rPr>
              <w:t>Desembolso, Contabilidad y Analítica, mediante eventos de cambio de estado.</w:t>
            </w:r>
          </w:p>
        </w:tc>
      </w:tr>
      <w:tr w14:paraId="6826C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10" w:type="dxa"/>
              <w:bottom w:w="80" w:type="dxa"/>
              <w:right w:w="110" w:type="dxa"/>
            </w:tcMar>
          </w:tcPr>
          <w:p w14:paraId="14C517BD">
            <w:pPr>
              <w:spacing w:after="0" w:line="260" w:lineRule="auto"/>
              <w:jc w:val="left"/>
            </w:pPr>
            <w:r>
              <w:rPr>
                <w:rFonts w:ascii="Times New Roman" w:hAnsi="Times New Roman" w:eastAsia="Times New Roman" w:cs="Times New Roman"/>
                <w:sz w:val="20"/>
                <w:szCs w:val="20"/>
              </w:rPr>
              <w:t>Decisión de riesgo</w:t>
            </w:r>
          </w:p>
        </w:tc>
        <w:tc>
          <w:tcPr>
            <w:tcW w:w="2500" w:type="dxa"/>
            <w:tcMar>
              <w:top w:w="80" w:type="dxa"/>
              <w:left w:w="110" w:type="dxa"/>
              <w:bottom w:w="80" w:type="dxa"/>
              <w:right w:w="110" w:type="dxa"/>
            </w:tcMar>
          </w:tcPr>
          <w:p w14:paraId="3E254714">
            <w:pPr>
              <w:spacing w:after="0" w:line="260" w:lineRule="auto"/>
              <w:jc w:val="left"/>
            </w:pPr>
            <w:r>
              <w:rPr>
                <w:rFonts w:ascii="Times New Roman" w:hAnsi="Times New Roman" w:eastAsia="Times New Roman" w:cs="Times New Roman"/>
                <w:sz w:val="20"/>
                <w:szCs w:val="20"/>
              </w:rPr>
              <w:t>Servicio de Evaluación</w:t>
            </w:r>
          </w:p>
        </w:tc>
        <w:tc>
          <w:tcPr>
            <w:tcW w:w="4100" w:type="dxa"/>
            <w:tcMar>
              <w:top w:w="80" w:type="dxa"/>
              <w:left w:w="110" w:type="dxa"/>
              <w:bottom w:w="80" w:type="dxa"/>
              <w:right w:w="110" w:type="dxa"/>
            </w:tcMar>
          </w:tcPr>
          <w:p w14:paraId="2599ECF5">
            <w:pPr>
              <w:spacing w:after="0" w:line="260" w:lineRule="auto"/>
              <w:jc w:val="left"/>
            </w:pPr>
            <w:r>
              <w:rPr>
                <w:rFonts w:ascii="Times New Roman" w:hAnsi="Times New Roman" w:eastAsia="Times New Roman" w:cs="Times New Roman"/>
                <w:sz w:val="20"/>
                <w:szCs w:val="20"/>
              </w:rPr>
              <w:t>Créditos consume el resultado; la trazabilidad del modelo se conserva para auditoría.</w:t>
            </w:r>
          </w:p>
        </w:tc>
      </w:tr>
      <w:tr w14:paraId="73C5E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10" w:type="dxa"/>
              <w:bottom w:w="80" w:type="dxa"/>
              <w:right w:w="110" w:type="dxa"/>
            </w:tcMar>
          </w:tcPr>
          <w:p w14:paraId="2DE9EBD7">
            <w:pPr>
              <w:spacing w:after="0" w:line="260" w:lineRule="auto"/>
              <w:jc w:val="left"/>
            </w:pPr>
            <w:r>
              <w:rPr>
                <w:rFonts w:ascii="Times New Roman" w:hAnsi="Times New Roman" w:eastAsia="Times New Roman" w:cs="Times New Roman"/>
                <w:sz w:val="20"/>
                <w:szCs w:val="20"/>
              </w:rPr>
              <w:t>Movimiento de dinero</w:t>
            </w:r>
          </w:p>
        </w:tc>
        <w:tc>
          <w:tcPr>
            <w:tcW w:w="2500" w:type="dxa"/>
            <w:tcMar>
              <w:top w:w="80" w:type="dxa"/>
              <w:left w:w="110" w:type="dxa"/>
              <w:bottom w:w="80" w:type="dxa"/>
              <w:right w:w="110" w:type="dxa"/>
            </w:tcMar>
          </w:tcPr>
          <w:p w14:paraId="3D88D142">
            <w:pPr>
              <w:spacing w:after="0" w:line="260" w:lineRule="auto"/>
              <w:jc w:val="left"/>
            </w:pPr>
            <w:r>
              <w:rPr>
                <w:rFonts w:ascii="Times New Roman" w:hAnsi="Times New Roman" w:eastAsia="Times New Roman" w:cs="Times New Roman"/>
                <w:sz w:val="20"/>
                <w:szCs w:val="20"/>
              </w:rPr>
              <w:t>Servicio de Desembolso y Pagos</w:t>
            </w:r>
          </w:p>
        </w:tc>
        <w:tc>
          <w:tcPr>
            <w:tcW w:w="4100" w:type="dxa"/>
            <w:tcMar>
              <w:top w:w="80" w:type="dxa"/>
              <w:left w:w="110" w:type="dxa"/>
              <w:bottom w:w="80" w:type="dxa"/>
              <w:right w:w="110" w:type="dxa"/>
            </w:tcMar>
          </w:tcPr>
          <w:p w14:paraId="5A1EF6AB">
            <w:pPr>
              <w:spacing w:after="0" w:line="260" w:lineRule="auto"/>
              <w:jc w:val="left"/>
            </w:pPr>
            <w:r>
              <w:rPr>
                <w:rFonts w:ascii="Times New Roman" w:hAnsi="Times New Roman" w:eastAsia="Times New Roman" w:cs="Times New Roman"/>
                <w:sz w:val="20"/>
                <w:szCs w:val="20"/>
              </w:rPr>
              <w:t>Contabilidad consume los eventos y genera los asientos correspondientes.</w:t>
            </w:r>
          </w:p>
        </w:tc>
      </w:tr>
      <w:tr w14:paraId="638F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10" w:type="dxa"/>
              <w:bottom w:w="80" w:type="dxa"/>
              <w:right w:w="110" w:type="dxa"/>
            </w:tcMar>
          </w:tcPr>
          <w:p w14:paraId="6877075E">
            <w:pPr>
              <w:spacing w:after="0" w:line="260" w:lineRule="auto"/>
              <w:jc w:val="left"/>
            </w:pPr>
            <w:r>
              <w:rPr>
                <w:rFonts w:ascii="Times New Roman" w:hAnsi="Times New Roman" w:eastAsia="Times New Roman" w:cs="Times New Roman"/>
                <w:sz w:val="20"/>
                <w:szCs w:val="20"/>
              </w:rPr>
              <w:t>Asiento contable</w:t>
            </w:r>
          </w:p>
        </w:tc>
        <w:tc>
          <w:tcPr>
            <w:tcW w:w="2500" w:type="dxa"/>
            <w:tcMar>
              <w:top w:w="80" w:type="dxa"/>
              <w:left w:w="110" w:type="dxa"/>
              <w:bottom w:w="80" w:type="dxa"/>
              <w:right w:w="110" w:type="dxa"/>
            </w:tcMar>
          </w:tcPr>
          <w:p w14:paraId="79CE3A41">
            <w:pPr>
              <w:spacing w:after="0" w:line="260" w:lineRule="auto"/>
              <w:jc w:val="left"/>
            </w:pPr>
            <w:r>
              <w:rPr>
                <w:rFonts w:ascii="Times New Roman" w:hAnsi="Times New Roman" w:eastAsia="Times New Roman" w:cs="Times New Roman"/>
                <w:sz w:val="20"/>
                <w:szCs w:val="20"/>
              </w:rPr>
              <w:t>Servicio de Contabilidad</w:t>
            </w:r>
          </w:p>
        </w:tc>
        <w:tc>
          <w:tcPr>
            <w:tcW w:w="4100" w:type="dxa"/>
            <w:tcMar>
              <w:top w:w="80" w:type="dxa"/>
              <w:left w:w="110" w:type="dxa"/>
              <w:bottom w:w="80" w:type="dxa"/>
              <w:right w:w="110" w:type="dxa"/>
            </w:tcMar>
          </w:tcPr>
          <w:p w14:paraId="4F820230">
            <w:pPr>
              <w:spacing w:after="0" w:line="260" w:lineRule="auto"/>
              <w:jc w:val="left"/>
            </w:pPr>
            <w:r>
              <w:rPr>
                <w:rFonts w:ascii="Times New Roman" w:hAnsi="Times New Roman" w:eastAsia="Times New Roman" w:cs="Times New Roman"/>
                <w:sz w:val="20"/>
                <w:szCs w:val="20"/>
              </w:rPr>
              <w:t>Reportería regulatoria y estados financieros.</w:t>
            </w:r>
          </w:p>
        </w:tc>
      </w:tr>
      <w:tr w14:paraId="616DF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10" w:type="dxa"/>
              <w:bottom w:w="80" w:type="dxa"/>
              <w:right w:w="110" w:type="dxa"/>
            </w:tcMar>
          </w:tcPr>
          <w:p w14:paraId="1913E819">
            <w:pPr>
              <w:spacing w:after="0" w:line="260" w:lineRule="auto"/>
              <w:jc w:val="left"/>
            </w:pPr>
            <w:r>
              <w:rPr>
                <w:rFonts w:ascii="Times New Roman" w:hAnsi="Times New Roman" w:eastAsia="Times New Roman" w:cs="Times New Roman"/>
                <w:sz w:val="20"/>
                <w:szCs w:val="20"/>
              </w:rPr>
              <w:t>Identidad y credenciales</w:t>
            </w:r>
          </w:p>
        </w:tc>
        <w:tc>
          <w:tcPr>
            <w:tcW w:w="2500" w:type="dxa"/>
            <w:tcMar>
              <w:top w:w="80" w:type="dxa"/>
              <w:left w:w="110" w:type="dxa"/>
              <w:bottom w:w="80" w:type="dxa"/>
              <w:right w:w="110" w:type="dxa"/>
            </w:tcMar>
          </w:tcPr>
          <w:p w14:paraId="6252EE03">
            <w:pPr>
              <w:spacing w:after="0" w:line="260" w:lineRule="auto"/>
              <w:jc w:val="left"/>
            </w:pPr>
            <w:r>
              <w:rPr>
                <w:rFonts w:ascii="Times New Roman" w:hAnsi="Times New Roman" w:eastAsia="Times New Roman" w:cs="Times New Roman"/>
                <w:sz w:val="20"/>
                <w:szCs w:val="20"/>
              </w:rPr>
              <w:t>Servicio de Identidad</w:t>
            </w:r>
          </w:p>
        </w:tc>
        <w:tc>
          <w:tcPr>
            <w:tcW w:w="4100" w:type="dxa"/>
            <w:tcMar>
              <w:top w:w="80" w:type="dxa"/>
              <w:left w:w="110" w:type="dxa"/>
              <w:bottom w:w="80" w:type="dxa"/>
              <w:right w:w="110" w:type="dxa"/>
            </w:tcMar>
          </w:tcPr>
          <w:p w14:paraId="25A75BB8">
            <w:pPr>
              <w:spacing w:after="0" w:line="260" w:lineRule="auto"/>
              <w:jc w:val="left"/>
            </w:pPr>
            <w:r>
              <w:rPr>
                <w:rFonts w:ascii="Times New Roman" w:hAnsi="Times New Roman" w:eastAsia="Times New Roman" w:cs="Times New Roman"/>
                <w:sz w:val="20"/>
                <w:szCs w:val="20"/>
              </w:rPr>
              <w:t>API Gateway y todos los microservicios, mediante validación de token.</w:t>
            </w:r>
          </w:p>
        </w:tc>
      </w:tr>
    </w:tbl>
    <w:p w14:paraId="2777A949">
      <w:pPr>
        <w:spacing w:after="160"/>
      </w:pPr>
    </w:p>
    <w:p w14:paraId="05FF8F7D">
      <w:pPr>
        <w:spacing w:after="160" w:line="300" w:lineRule="auto"/>
        <w:jc w:val="both"/>
      </w:pPr>
      <w:r>
        <w:rPr>
          <w:rFonts w:ascii="Times New Roman" w:hAnsi="Times New Roman" w:eastAsia="Times New Roman" w:cs="Times New Roman"/>
          <w:b/>
          <w:bCs/>
          <w:sz w:val="22"/>
          <w:szCs w:val="22"/>
        </w:rPr>
        <w:t xml:space="preserve">Base de datos por servicio. </w:t>
      </w:r>
      <w:r>
        <w:rPr>
          <w:rFonts w:ascii="Times New Roman" w:hAnsi="Times New Roman" w:eastAsia="Times New Roman" w:cs="Times New Roman"/>
          <w:sz w:val="22"/>
          <w:szCs w:val="22"/>
        </w:rPr>
        <w:t>Cada microservicio administra su propio almacenamiento. Esta decisión suele generar objeciones por resultar contraintuitiva —parecería que multiplica las bases de datos—, pero es precisamente lo contrario de la situación actual: hoy los sistemas están acoplados porque comparten o replican datos sin gobierno. El aislamiento del almacenamiento es lo que permite que cada servicio evolucione, escale y se despliegue de forma independiente. La coherencia entre servicios se logra mediante eventos y el patrón saga, no mediante una base de datos compartida.</w:t>
      </w:r>
    </w:p>
    <w:p w14:paraId="41EC22CE">
      <w:pPr>
        <w:spacing w:after="160" w:line="300" w:lineRule="auto"/>
        <w:jc w:val="both"/>
      </w:pPr>
      <w:r>
        <w:rPr>
          <w:rFonts w:ascii="Times New Roman" w:hAnsi="Times New Roman" w:eastAsia="Times New Roman" w:cs="Times New Roman"/>
          <w:sz w:val="22"/>
          <w:szCs w:val="22"/>
        </w:rPr>
        <w:t>Complementan este dominio tres elementos de gobierno de datos: un catálogo de datos que documente el significado y el origen de cada campo; un conjunto de reglas de calidad aplicadas en el momento de la captura y no en la corrección posterior; y una política de retención y clasificación que distinga los datos sensibles sujetos a protección reforzada.</w:t>
      </w:r>
    </w:p>
    <w:p w14:paraId="0A5F6506">
      <w:pPr>
        <w:pStyle w:val="3"/>
        <w:keepNext/>
        <w:spacing w:before="260" w:after="140"/>
      </w:pPr>
      <w:r>
        <w:rPr>
          <w:rFonts w:ascii="Times New Roman" w:hAnsi="Times New Roman" w:eastAsia="Times New Roman" w:cs="Times New Roman"/>
          <w:b/>
          <w:bCs/>
          <w:color w:val="000000"/>
          <w:sz w:val="24"/>
          <w:szCs w:val="24"/>
        </w:rPr>
        <w:t>5.3. Arquitectura de Aplicación</w:t>
      </w:r>
    </w:p>
    <w:p w14:paraId="21B4AD4A">
      <w:pPr>
        <w:spacing w:after="160" w:line="300" w:lineRule="auto"/>
        <w:jc w:val="both"/>
      </w:pPr>
      <w:r>
        <w:rPr>
          <w:rFonts w:ascii="Times New Roman" w:hAnsi="Times New Roman" w:eastAsia="Times New Roman" w:cs="Times New Roman"/>
          <w:sz w:val="22"/>
          <w:szCs w:val="22"/>
        </w:rPr>
        <w:t>El paso desde los cinco sistemas actuales hacia el conjunto de microservicios no se realiza mediante una reescritura simultánea. Se emplea el patrón de encapsulamiento progresivo: cada sistema legado se recubre inicialmente con una capa de servicios que expone su funcionalidad mediante una API moderna, mientras el sistema original continúa operando por detrás. Posteriormente, y de manera individual, cada uno se reemplaza por una implementación nueva sin que los consumidores perciban el cambio, porque el contrato de la API permanece estable.</w:t>
      </w:r>
    </w:p>
    <w:p w14:paraId="78DCAEE3">
      <w:pPr>
        <w:spacing w:after="160" w:line="300" w:lineRule="auto"/>
        <w:jc w:val="both"/>
      </w:pPr>
      <w:r>
        <w:rPr>
          <w:rFonts w:ascii="Times New Roman" w:hAnsi="Times New Roman" w:eastAsia="Times New Roman" w:cs="Times New Roman"/>
          <w:sz w:val="22"/>
          <w:szCs w:val="22"/>
        </w:rPr>
        <w:t>Los componentes de la arquitectura de aplicación son:</w:t>
      </w:r>
    </w:p>
    <w:p w14:paraId="47BBF999">
      <w:pPr>
        <w:pStyle w:val="16"/>
        <w:numPr>
          <w:ilvl w:val="0"/>
          <w:numId w:val="1"/>
        </w:numPr>
        <w:spacing w:after="90" w:line="300" w:lineRule="auto"/>
        <w:jc w:val="both"/>
      </w:pPr>
      <w:r>
        <w:rPr>
          <w:rFonts w:ascii="Times New Roman" w:hAnsi="Times New Roman" w:eastAsia="Times New Roman" w:cs="Times New Roman"/>
          <w:sz w:val="22"/>
          <w:szCs w:val="22"/>
        </w:rPr>
        <w:t>Aplicaciones de canal: aplicación móvil y portal web, construidas sobre los mismos servicios.</w:t>
      </w:r>
    </w:p>
    <w:p w14:paraId="721BB83A">
      <w:pPr>
        <w:pStyle w:val="16"/>
        <w:numPr>
          <w:ilvl w:val="0"/>
          <w:numId w:val="1"/>
        </w:numPr>
        <w:spacing w:after="90" w:line="300" w:lineRule="auto"/>
        <w:jc w:val="both"/>
      </w:pPr>
      <w:r>
        <w:rPr>
          <w:rFonts w:ascii="Times New Roman" w:hAnsi="Times New Roman" w:eastAsia="Times New Roman" w:cs="Times New Roman"/>
          <w:sz w:val="22"/>
          <w:szCs w:val="22"/>
        </w:rPr>
        <w:t>API Gateway como punto único de entrada y control.</w:t>
      </w:r>
    </w:p>
    <w:p w14:paraId="253377FC">
      <w:pPr>
        <w:pStyle w:val="16"/>
        <w:numPr>
          <w:ilvl w:val="0"/>
          <w:numId w:val="1"/>
        </w:numPr>
        <w:spacing w:after="90" w:line="300" w:lineRule="auto"/>
        <w:jc w:val="both"/>
      </w:pPr>
      <w:r>
        <w:rPr>
          <w:rFonts w:ascii="Times New Roman" w:hAnsi="Times New Roman" w:eastAsia="Times New Roman" w:cs="Times New Roman"/>
          <w:sz w:val="22"/>
          <w:szCs w:val="22"/>
        </w:rPr>
        <w:t>Proveedor de identidad centralizado, descrito en la sección 6.</w:t>
      </w:r>
    </w:p>
    <w:p w14:paraId="3929237E">
      <w:pPr>
        <w:pStyle w:val="16"/>
        <w:numPr>
          <w:ilvl w:val="0"/>
          <w:numId w:val="1"/>
        </w:numPr>
        <w:spacing w:after="90" w:line="300" w:lineRule="auto"/>
        <w:jc w:val="both"/>
      </w:pPr>
      <w:r>
        <w:rPr>
          <w:rFonts w:ascii="Times New Roman" w:hAnsi="Times New Roman" w:eastAsia="Times New Roman" w:cs="Times New Roman"/>
          <w:sz w:val="22"/>
          <w:szCs w:val="22"/>
        </w:rPr>
        <w:t>Microservicios de negocio: Clientes, Créditos, Evaluación, Desembolso, Contabilidad y Notificaciones.</w:t>
      </w:r>
    </w:p>
    <w:p w14:paraId="2C0844CF">
      <w:pPr>
        <w:pStyle w:val="16"/>
        <w:numPr>
          <w:ilvl w:val="0"/>
          <w:numId w:val="1"/>
        </w:numPr>
        <w:spacing w:after="90" w:line="300" w:lineRule="auto"/>
        <w:jc w:val="both"/>
      </w:pPr>
      <w:r>
        <w:rPr>
          <w:rFonts w:ascii="Times New Roman" w:hAnsi="Times New Roman" w:eastAsia="Times New Roman" w:cs="Times New Roman"/>
          <w:sz w:val="22"/>
          <w:szCs w:val="22"/>
        </w:rPr>
        <w:t>Bus de eventos como columna vertebral de la integración asíncrona.</w:t>
      </w:r>
    </w:p>
    <w:p w14:paraId="0CF19375">
      <w:pPr>
        <w:pStyle w:val="16"/>
        <w:numPr>
          <w:ilvl w:val="0"/>
          <w:numId w:val="1"/>
        </w:numPr>
        <w:spacing w:after="90" w:line="300" w:lineRule="auto"/>
        <w:jc w:val="both"/>
      </w:pPr>
      <w:r>
        <w:rPr>
          <w:rFonts w:ascii="Times New Roman" w:hAnsi="Times New Roman" w:eastAsia="Times New Roman" w:cs="Times New Roman"/>
          <w:sz w:val="22"/>
          <w:szCs w:val="22"/>
        </w:rPr>
        <w:t>Capas de encapsulamiento sobre los sistemas legados durante el periodo de transición.</w:t>
      </w:r>
    </w:p>
    <w:p w14:paraId="6C2D4869">
      <w:pPr>
        <w:pStyle w:val="16"/>
        <w:numPr>
          <w:ilvl w:val="0"/>
          <w:numId w:val="1"/>
        </w:numPr>
        <w:spacing w:after="90" w:line="300" w:lineRule="auto"/>
        <w:jc w:val="both"/>
      </w:pPr>
      <w:r>
        <w:rPr>
          <w:rFonts w:ascii="Times New Roman" w:hAnsi="Times New Roman" w:eastAsia="Times New Roman" w:cs="Times New Roman"/>
          <w:sz w:val="22"/>
          <w:szCs w:val="22"/>
        </w:rPr>
        <w:t>Plataforma analítica: bodega de datos, herramientas de visualización y motor de modelos de scoring.</w:t>
      </w:r>
    </w:p>
    <w:p w14:paraId="4CC2934D">
      <w:pPr>
        <w:pStyle w:val="3"/>
        <w:keepNext/>
        <w:spacing w:before="260" w:after="140"/>
      </w:pPr>
      <w:r>
        <w:rPr>
          <w:rFonts w:ascii="Times New Roman" w:hAnsi="Times New Roman" w:eastAsia="Times New Roman" w:cs="Times New Roman"/>
          <w:b/>
          <w:bCs/>
          <w:color w:val="000000"/>
          <w:sz w:val="24"/>
          <w:szCs w:val="24"/>
        </w:rPr>
        <w:t>5.4. Arquitectura Tecnológica</w:t>
      </w:r>
    </w:p>
    <w:p w14:paraId="446DD354">
      <w:pPr>
        <w:spacing w:after="160" w:line="300" w:lineRule="auto"/>
        <w:jc w:val="both"/>
      </w:pPr>
      <w:r>
        <w:rPr>
          <w:rFonts w:ascii="Times New Roman" w:hAnsi="Times New Roman" w:eastAsia="Times New Roman" w:cs="Times New Roman"/>
          <w:sz w:val="22"/>
          <w:szCs w:val="22"/>
        </w:rPr>
        <w:t>La plataforma tecnológica que soporta los dominios anteriores se define sobre los siguientes componentes:</w:t>
      </w:r>
    </w:p>
    <w:p w14:paraId="7FF0B282">
      <w:pPr>
        <w:pStyle w:val="16"/>
        <w:numPr>
          <w:ilvl w:val="0"/>
          <w:numId w:val="1"/>
        </w:numPr>
        <w:spacing w:after="90" w:line="300" w:lineRule="auto"/>
        <w:jc w:val="both"/>
      </w:pPr>
      <w:r>
        <w:rPr>
          <w:rFonts w:ascii="Times New Roman" w:hAnsi="Times New Roman" w:eastAsia="Times New Roman" w:cs="Times New Roman"/>
          <w:b/>
          <w:bCs/>
          <w:sz w:val="22"/>
          <w:szCs w:val="22"/>
        </w:rPr>
        <w:t xml:space="preserve">Nube. </w:t>
      </w:r>
      <w:r>
        <w:rPr>
          <w:rFonts w:ascii="Times New Roman" w:hAnsi="Times New Roman" w:eastAsia="Times New Roman" w:cs="Times New Roman"/>
          <w:sz w:val="22"/>
          <w:szCs w:val="22"/>
        </w:rPr>
        <w:t>Se propone una plataforma en la nube bajo un modelo híbrido durante la transición. El argumento determinante para una entidad financiera no es el ahorro en costos, sino la elasticidad: si la empresa lanza una campaña comercial y recibe un volumen de solicitudes varias veces superior al habitual, la infraestructura debe crecer automáticamente sin degradación del servicio ni aprovisionamiento anticipado de hardware.</w:t>
      </w:r>
    </w:p>
    <w:p w14:paraId="3EA09B54">
      <w:pPr>
        <w:pStyle w:val="16"/>
        <w:numPr>
          <w:ilvl w:val="0"/>
          <w:numId w:val="1"/>
        </w:numPr>
        <w:spacing w:after="90" w:line="300" w:lineRule="auto"/>
        <w:jc w:val="both"/>
      </w:pPr>
      <w:r>
        <w:rPr>
          <w:rFonts w:ascii="Times New Roman" w:hAnsi="Times New Roman" w:eastAsia="Times New Roman" w:cs="Times New Roman"/>
          <w:b/>
          <w:bCs/>
          <w:sz w:val="22"/>
          <w:szCs w:val="22"/>
        </w:rPr>
        <w:t xml:space="preserve">Contenedores y orquestación. </w:t>
      </w:r>
      <w:r>
        <w:rPr>
          <w:rFonts w:ascii="Times New Roman" w:hAnsi="Times New Roman" w:eastAsia="Times New Roman" w:cs="Times New Roman"/>
          <w:sz w:val="22"/>
          <w:szCs w:val="22"/>
        </w:rPr>
        <w:t>Los microservicios se despliegan en contenedores gestionados por un orquestador, lo que permite el escalamiento automático por servicio, el despliegue independiente y la recuperación ante fallos.</w:t>
      </w:r>
    </w:p>
    <w:p w14:paraId="7C629A71">
      <w:pPr>
        <w:pStyle w:val="16"/>
        <w:numPr>
          <w:ilvl w:val="0"/>
          <w:numId w:val="1"/>
        </w:numPr>
        <w:spacing w:after="90" w:line="300" w:lineRule="auto"/>
        <w:jc w:val="both"/>
      </w:pPr>
      <w:r>
        <w:rPr>
          <w:rFonts w:ascii="Times New Roman" w:hAnsi="Times New Roman" w:eastAsia="Times New Roman" w:cs="Times New Roman"/>
          <w:b/>
          <w:bCs/>
          <w:sz w:val="22"/>
          <w:szCs w:val="22"/>
        </w:rPr>
        <w:t xml:space="preserve">Alta disponibilidad. </w:t>
      </w:r>
      <w:r>
        <w:rPr>
          <w:rFonts w:ascii="Times New Roman" w:hAnsi="Times New Roman" w:eastAsia="Times New Roman" w:cs="Times New Roman"/>
          <w:sz w:val="22"/>
          <w:szCs w:val="22"/>
        </w:rPr>
        <w:t>Distribución en múltiples zonas de disponibilidad, con objetivos definidos de tiempo de recuperación y de punto de recuperación acordes con la criticidad de cada servicio.</w:t>
      </w:r>
    </w:p>
    <w:p w14:paraId="52D9E955">
      <w:pPr>
        <w:pStyle w:val="16"/>
        <w:numPr>
          <w:ilvl w:val="0"/>
          <w:numId w:val="1"/>
        </w:numPr>
        <w:spacing w:after="90" w:line="300" w:lineRule="auto"/>
        <w:jc w:val="both"/>
      </w:pPr>
      <w:r>
        <w:rPr>
          <w:rFonts w:ascii="Times New Roman" w:hAnsi="Times New Roman" w:eastAsia="Times New Roman" w:cs="Times New Roman"/>
          <w:b/>
          <w:bCs/>
          <w:sz w:val="22"/>
          <w:szCs w:val="22"/>
        </w:rPr>
        <w:t xml:space="preserve">Automatización del despliegue. </w:t>
      </w:r>
      <w:r>
        <w:rPr>
          <w:rFonts w:ascii="Times New Roman" w:hAnsi="Times New Roman" w:eastAsia="Times New Roman" w:cs="Times New Roman"/>
          <w:sz w:val="22"/>
          <w:szCs w:val="22"/>
        </w:rPr>
        <w:t>Canalizaciones de integración y entrega continuas con pruebas automatizadas y controles de seguridad incorporados, e infraestructura definida como código para garantizar la reproducibilidad de los ambientes.</w:t>
      </w:r>
    </w:p>
    <w:p w14:paraId="5B983531">
      <w:pPr>
        <w:pStyle w:val="16"/>
        <w:numPr>
          <w:ilvl w:val="0"/>
          <w:numId w:val="1"/>
        </w:numPr>
        <w:spacing w:after="90" w:line="300" w:lineRule="auto"/>
        <w:jc w:val="both"/>
      </w:pPr>
      <w:r>
        <w:rPr>
          <w:rFonts w:ascii="Times New Roman" w:hAnsi="Times New Roman" w:eastAsia="Times New Roman" w:cs="Times New Roman"/>
          <w:b/>
          <w:bCs/>
          <w:sz w:val="22"/>
          <w:szCs w:val="22"/>
        </w:rPr>
        <w:t xml:space="preserve">Observabilidad. </w:t>
      </w:r>
      <w:r>
        <w:rPr>
          <w:rFonts w:ascii="Times New Roman" w:hAnsi="Times New Roman" w:eastAsia="Times New Roman" w:cs="Times New Roman"/>
          <w:sz w:val="22"/>
          <w:szCs w:val="22"/>
        </w:rPr>
        <w:t>Registro centralizado de eventos, métricas y trazas distribuidas. En una arquitectura de microservicios la capacidad de seguir una transacción a lo largo de todos los servicios que atraviesa deja de ser opcional y se convierte en un requisito operativo.</w:t>
      </w:r>
    </w:p>
    <w:p w14:paraId="6FDD9838">
      <w:pPr>
        <w:pStyle w:val="2"/>
        <w:keepNext/>
        <w:spacing w:before="320" w:after="180"/>
      </w:pPr>
      <w:r>
        <w:rPr>
          <w:rFonts w:ascii="Times New Roman" w:hAnsi="Times New Roman" w:eastAsia="Times New Roman" w:cs="Times New Roman"/>
          <w:b/>
          <w:bCs/>
          <w:color w:val="000000"/>
          <w:sz w:val="26"/>
          <w:szCs w:val="26"/>
        </w:rPr>
        <w:t>6. Ciberseguridad e Identidad Digital</w:t>
      </w:r>
    </w:p>
    <w:p w14:paraId="1EFC5590">
      <w:pPr>
        <w:spacing w:after="160" w:line="300" w:lineRule="auto"/>
        <w:jc w:val="both"/>
      </w:pPr>
      <w:r>
        <w:rPr>
          <w:rFonts w:ascii="Times New Roman" w:hAnsi="Times New Roman" w:eastAsia="Times New Roman" w:cs="Times New Roman"/>
          <w:sz w:val="22"/>
          <w:szCs w:val="22"/>
        </w:rPr>
        <w:t>La seguridad constituye un requisito transversal a los cuatro dominios y, en el caso de una entidad financiera, un requisito habilitante: sin su cumplimiento la organización sencillamente no puede operar. Esta sección desarrolla los dos ejes que el caso plantea de manera explícita.</w:t>
      </w:r>
    </w:p>
    <w:p w14:paraId="77ABEE19">
      <w:pPr>
        <w:pStyle w:val="3"/>
        <w:keepNext/>
        <w:spacing w:before="260" w:after="140"/>
      </w:pPr>
      <w:r>
        <w:rPr>
          <w:rFonts w:ascii="Times New Roman" w:hAnsi="Times New Roman" w:eastAsia="Times New Roman" w:cs="Times New Roman"/>
          <w:b/>
          <w:bCs/>
          <w:color w:val="000000"/>
          <w:sz w:val="24"/>
          <w:szCs w:val="24"/>
        </w:rPr>
        <w:t>6.1. Identidad digital</w:t>
      </w:r>
    </w:p>
    <w:p w14:paraId="0E39174B">
      <w:pPr>
        <w:spacing w:after="160" w:line="300" w:lineRule="auto"/>
        <w:jc w:val="both"/>
      </w:pPr>
      <w:r>
        <w:rPr>
          <w:rFonts w:ascii="Times New Roman" w:hAnsi="Times New Roman" w:eastAsia="Times New Roman" w:cs="Times New Roman"/>
          <w:sz w:val="22"/>
          <w:szCs w:val="22"/>
        </w:rPr>
        <w:t>Se propone la implementación de un proveedor de identidad centralizado basado en los estándares OAuth 2.0 para la autorización y OpenID Connect para la autenticación [15][16]. El cliente realiza un único proceso de autenticación y obtiene un token que resulta válido para todos los canales y servicios, lo que elimina la fragmentación actual en la que la aplicación móvil y el portal web mantienen mecanismos independientes.</w:t>
      </w:r>
    </w:p>
    <w:p w14:paraId="24BDA141">
      <w:pPr>
        <w:spacing w:after="160" w:line="300" w:lineRule="auto"/>
        <w:jc w:val="both"/>
      </w:pPr>
      <w:r>
        <w:rPr>
          <w:rFonts w:ascii="Times New Roman" w:hAnsi="Times New Roman" w:eastAsia="Times New Roman" w:cs="Times New Roman"/>
          <w:sz w:val="22"/>
          <w:szCs w:val="22"/>
        </w:rPr>
        <w:t>Los componentes de la identidad digital para FinanTech son:</w:t>
      </w:r>
    </w:p>
    <w:p w14:paraId="0F141D33">
      <w:pPr>
        <w:pStyle w:val="16"/>
        <w:numPr>
          <w:ilvl w:val="0"/>
          <w:numId w:val="1"/>
        </w:numPr>
        <w:spacing w:after="90" w:line="300" w:lineRule="auto"/>
        <w:jc w:val="both"/>
      </w:pPr>
      <w:r>
        <w:rPr>
          <w:rFonts w:ascii="Times New Roman" w:hAnsi="Times New Roman" w:eastAsia="Times New Roman" w:cs="Times New Roman"/>
          <w:sz w:val="22"/>
          <w:szCs w:val="22"/>
        </w:rPr>
        <w:t>Autenticación multifactor, con exigencia obligatoria para las operaciones de mayor riesgo.</w:t>
      </w:r>
    </w:p>
    <w:p w14:paraId="1DC4AA5B">
      <w:pPr>
        <w:pStyle w:val="16"/>
        <w:numPr>
          <w:ilvl w:val="0"/>
          <w:numId w:val="1"/>
        </w:numPr>
        <w:spacing w:after="90" w:line="300" w:lineRule="auto"/>
        <w:jc w:val="both"/>
      </w:pPr>
      <w:r>
        <w:rPr>
          <w:rFonts w:ascii="Times New Roman" w:hAnsi="Times New Roman" w:eastAsia="Times New Roman" w:cs="Times New Roman"/>
          <w:sz w:val="22"/>
          <w:szCs w:val="22"/>
        </w:rPr>
        <w:t>Vinculación digital con validación documental y verificación biométrica con prueba de vida, que sustituye la presencia física en el proceso de conocimiento del cliente.</w:t>
      </w:r>
    </w:p>
    <w:p w14:paraId="2ED8A546">
      <w:pPr>
        <w:pStyle w:val="16"/>
        <w:numPr>
          <w:ilvl w:val="0"/>
          <w:numId w:val="1"/>
        </w:numPr>
        <w:spacing w:after="90" w:line="300" w:lineRule="auto"/>
        <w:jc w:val="both"/>
      </w:pPr>
      <w:r>
        <w:rPr>
          <w:rFonts w:ascii="Times New Roman" w:hAnsi="Times New Roman" w:eastAsia="Times New Roman" w:cs="Times New Roman"/>
          <w:sz w:val="22"/>
          <w:szCs w:val="22"/>
        </w:rPr>
        <w:t>Firma electrónica del contrato de crédito, con evidencia de la manifestación de voluntad y sello de tiempo.</w:t>
      </w:r>
    </w:p>
    <w:p w14:paraId="2B85406B">
      <w:pPr>
        <w:pStyle w:val="16"/>
        <w:numPr>
          <w:ilvl w:val="0"/>
          <w:numId w:val="1"/>
        </w:numPr>
        <w:spacing w:after="90" w:line="300" w:lineRule="auto"/>
        <w:jc w:val="both"/>
      </w:pPr>
      <w:r>
        <w:rPr>
          <w:rFonts w:ascii="Times New Roman" w:hAnsi="Times New Roman" w:eastAsia="Times New Roman" w:cs="Times New Roman"/>
          <w:sz w:val="22"/>
          <w:szCs w:val="22"/>
        </w:rPr>
        <w:t>Control de acceso basado en roles para los usuarios internos, bajo el principio de mínimo privilegio.</w:t>
      </w:r>
    </w:p>
    <w:p w14:paraId="4BF0815E">
      <w:pPr>
        <w:pStyle w:val="16"/>
        <w:numPr>
          <w:ilvl w:val="0"/>
          <w:numId w:val="1"/>
        </w:numPr>
        <w:spacing w:after="90" w:line="300" w:lineRule="auto"/>
        <w:jc w:val="both"/>
      </w:pPr>
      <w:r>
        <w:rPr>
          <w:rFonts w:ascii="Times New Roman" w:hAnsi="Times New Roman" w:eastAsia="Times New Roman" w:cs="Times New Roman"/>
          <w:sz w:val="22"/>
          <w:szCs w:val="22"/>
        </w:rPr>
        <w:t>Registro de auditoría inmutable de las operaciones de autenticación y de acceso a información sensible.</w:t>
      </w:r>
    </w:p>
    <w:p w14:paraId="66BF5787">
      <w:pPr>
        <w:pStyle w:val="3"/>
        <w:keepNext/>
        <w:spacing w:before="260" w:after="140"/>
      </w:pPr>
      <w:r>
        <w:rPr>
          <w:rFonts w:ascii="Times New Roman" w:hAnsi="Times New Roman" w:eastAsia="Times New Roman" w:cs="Times New Roman"/>
          <w:b/>
          <w:bCs/>
          <w:color w:val="000000"/>
          <w:sz w:val="24"/>
          <w:szCs w:val="24"/>
        </w:rPr>
        <w:t>6.2. Ciberseguridad</w:t>
      </w:r>
    </w:p>
    <w:p w14:paraId="6530A9E2">
      <w:pPr>
        <w:spacing w:after="160" w:line="300" w:lineRule="auto"/>
        <w:jc w:val="both"/>
      </w:pPr>
      <w:r>
        <w:rPr>
          <w:rFonts w:ascii="Times New Roman" w:hAnsi="Times New Roman" w:eastAsia="Times New Roman" w:cs="Times New Roman"/>
          <w:sz w:val="22"/>
          <w:szCs w:val="22"/>
        </w:rPr>
        <w:t>El modelo de seguridad se estructura bajo el enfoque de confianza cero, según el cual la ubicación de un componente dentro de la red no constituye por sí sola una razón para confiar en él; cada solicitud entre servicios se autentica y autoriza de manera independiente [17]. Los controles principales son:</w:t>
      </w:r>
    </w:p>
    <w:p w14:paraId="5DCBDF02">
      <w:pPr>
        <w:spacing w:after="1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2D3F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D9D9D9"/>
            <w:tcMar>
              <w:top w:w="80" w:type="dxa"/>
              <w:left w:w="110" w:type="dxa"/>
              <w:bottom w:w="80" w:type="dxa"/>
              <w:right w:w="110" w:type="dxa"/>
            </w:tcMar>
          </w:tcPr>
          <w:p w14:paraId="7CED2BFF">
            <w:pPr>
              <w:spacing w:after="0" w:line="260" w:lineRule="auto"/>
              <w:jc w:val="left"/>
            </w:pPr>
            <w:r>
              <w:rPr>
                <w:rFonts w:ascii="Times New Roman" w:hAnsi="Times New Roman" w:eastAsia="Times New Roman" w:cs="Times New Roman"/>
                <w:b/>
                <w:bCs/>
                <w:sz w:val="20"/>
                <w:szCs w:val="20"/>
              </w:rPr>
              <w:t>Ámbito</w:t>
            </w:r>
          </w:p>
        </w:tc>
        <w:tc>
          <w:tcPr>
            <w:tcW w:w="6400" w:type="dxa"/>
            <w:shd w:val="clear" w:color="auto" w:fill="D9D9D9"/>
            <w:tcMar>
              <w:top w:w="80" w:type="dxa"/>
              <w:left w:w="110" w:type="dxa"/>
              <w:bottom w:w="80" w:type="dxa"/>
              <w:right w:w="110" w:type="dxa"/>
            </w:tcMar>
          </w:tcPr>
          <w:p w14:paraId="1CCC7649">
            <w:pPr>
              <w:spacing w:after="0" w:line="260" w:lineRule="auto"/>
              <w:jc w:val="left"/>
            </w:pPr>
            <w:r>
              <w:rPr>
                <w:rFonts w:ascii="Times New Roman" w:hAnsi="Times New Roman" w:eastAsia="Times New Roman" w:cs="Times New Roman"/>
                <w:b/>
                <w:bCs/>
                <w:sz w:val="20"/>
                <w:szCs w:val="20"/>
              </w:rPr>
              <w:t>Control propuesto</w:t>
            </w:r>
          </w:p>
        </w:tc>
      </w:tr>
      <w:tr w14:paraId="4DED8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10" w:type="dxa"/>
              <w:bottom w:w="80" w:type="dxa"/>
              <w:right w:w="110" w:type="dxa"/>
            </w:tcMar>
          </w:tcPr>
          <w:p w14:paraId="4A9B23B1">
            <w:pPr>
              <w:spacing w:after="0" w:line="260" w:lineRule="auto"/>
              <w:jc w:val="left"/>
            </w:pPr>
            <w:r>
              <w:rPr>
                <w:rFonts w:ascii="Times New Roman" w:hAnsi="Times New Roman" w:eastAsia="Times New Roman" w:cs="Times New Roman"/>
                <w:sz w:val="20"/>
                <w:szCs w:val="20"/>
              </w:rPr>
              <w:t>Datos en tránsito</w:t>
            </w:r>
          </w:p>
        </w:tc>
        <w:tc>
          <w:tcPr>
            <w:tcW w:w="6400" w:type="dxa"/>
            <w:tcMar>
              <w:top w:w="80" w:type="dxa"/>
              <w:left w:w="110" w:type="dxa"/>
              <w:bottom w:w="80" w:type="dxa"/>
              <w:right w:w="110" w:type="dxa"/>
            </w:tcMar>
          </w:tcPr>
          <w:p w14:paraId="436D82C0">
            <w:pPr>
              <w:spacing w:after="0" w:line="260" w:lineRule="auto"/>
              <w:jc w:val="left"/>
            </w:pPr>
            <w:r>
              <w:rPr>
                <w:rFonts w:ascii="Times New Roman" w:hAnsi="Times New Roman" w:eastAsia="Times New Roman" w:cs="Times New Roman"/>
                <w:sz w:val="20"/>
                <w:szCs w:val="20"/>
              </w:rPr>
              <w:t>Cifrado mediante TLS en todas las comunicaciones, tanto externas como entre servicios internos.</w:t>
            </w:r>
          </w:p>
        </w:tc>
      </w:tr>
      <w:tr w14:paraId="53D22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10" w:type="dxa"/>
              <w:bottom w:w="80" w:type="dxa"/>
              <w:right w:w="110" w:type="dxa"/>
            </w:tcMar>
          </w:tcPr>
          <w:p w14:paraId="337EBF42">
            <w:pPr>
              <w:spacing w:after="0" w:line="260" w:lineRule="auto"/>
              <w:jc w:val="left"/>
            </w:pPr>
            <w:r>
              <w:rPr>
                <w:rFonts w:ascii="Times New Roman" w:hAnsi="Times New Roman" w:eastAsia="Times New Roman" w:cs="Times New Roman"/>
                <w:sz w:val="20"/>
                <w:szCs w:val="20"/>
              </w:rPr>
              <w:t>Datos en reposo</w:t>
            </w:r>
          </w:p>
        </w:tc>
        <w:tc>
          <w:tcPr>
            <w:tcW w:w="6400" w:type="dxa"/>
            <w:tcMar>
              <w:top w:w="80" w:type="dxa"/>
              <w:left w:w="110" w:type="dxa"/>
              <w:bottom w:w="80" w:type="dxa"/>
              <w:right w:w="110" w:type="dxa"/>
            </w:tcMar>
          </w:tcPr>
          <w:p w14:paraId="7FFF35FE">
            <w:pPr>
              <w:spacing w:after="0" w:line="260" w:lineRule="auto"/>
              <w:jc w:val="left"/>
            </w:pPr>
            <w:r>
              <w:rPr>
                <w:rFonts w:ascii="Times New Roman" w:hAnsi="Times New Roman" w:eastAsia="Times New Roman" w:cs="Times New Roman"/>
                <w:sz w:val="20"/>
                <w:szCs w:val="20"/>
              </w:rPr>
              <w:t>Cifrado del almacenamiento y tokenización de los campos sensibles, de modo que un acceso no autorizado a la base de datos no exponga información utilizable.</w:t>
            </w:r>
          </w:p>
        </w:tc>
      </w:tr>
      <w:tr w14:paraId="39D3A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10" w:type="dxa"/>
              <w:bottom w:w="80" w:type="dxa"/>
              <w:right w:w="110" w:type="dxa"/>
            </w:tcMar>
          </w:tcPr>
          <w:p w14:paraId="5528E735">
            <w:pPr>
              <w:spacing w:after="0" w:line="260" w:lineRule="auto"/>
              <w:jc w:val="left"/>
            </w:pPr>
            <w:r>
              <w:rPr>
                <w:rFonts w:ascii="Times New Roman" w:hAnsi="Times New Roman" w:eastAsia="Times New Roman" w:cs="Times New Roman"/>
                <w:sz w:val="20"/>
                <w:szCs w:val="20"/>
              </w:rPr>
              <w:t>Gestión de secretos</w:t>
            </w:r>
          </w:p>
        </w:tc>
        <w:tc>
          <w:tcPr>
            <w:tcW w:w="6400" w:type="dxa"/>
            <w:tcMar>
              <w:top w:w="80" w:type="dxa"/>
              <w:left w:w="110" w:type="dxa"/>
              <w:bottom w:w="80" w:type="dxa"/>
              <w:right w:w="110" w:type="dxa"/>
            </w:tcMar>
          </w:tcPr>
          <w:p w14:paraId="0AD7D758">
            <w:pPr>
              <w:spacing w:after="0" w:line="260" w:lineRule="auto"/>
              <w:jc w:val="left"/>
            </w:pPr>
            <w:r>
              <w:rPr>
                <w:rFonts w:ascii="Times New Roman" w:hAnsi="Times New Roman" w:eastAsia="Times New Roman" w:cs="Times New Roman"/>
                <w:sz w:val="20"/>
                <w:szCs w:val="20"/>
              </w:rPr>
              <w:t>Almacenamiento de credenciales y llaves en una bóveda de secretos, con rotación periódica. Nunca en código fuente ni en archivos de configuración.</w:t>
            </w:r>
          </w:p>
        </w:tc>
      </w:tr>
      <w:tr w14:paraId="77E92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10" w:type="dxa"/>
              <w:bottom w:w="80" w:type="dxa"/>
              <w:right w:w="110" w:type="dxa"/>
            </w:tcMar>
          </w:tcPr>
          <w:p w14:paraId="50D648CF">
            <w:pPr>
              <w:spacing w:after="0" w:line="260" w:lineRule="auto"/>
              <w:jc w:val="left"/>
            </w:pPr>
            <w:r>
              <w:rPr>
                <w:rFonts w:ascii="Times New Roman" w:hAnsi="Times New Roman" w:eastAsia="Times New Roman" w:cs="Times New Roman"/>
                <w:sz w:val="20"/>
                <w:szCs w:val="20"/>
              </w:rPr>
              <w:t>Perímetro de aplicación</w:t>
            </w:r>
          </w:p>
        </w:tc>
        <w:tc>
          <w:tcPr>
            <w:tcW w:w="6400" w:type="dxa"/>
            <w:tcMar>
              <w:top w:w="80" w:type="dxa"/>
              <w:left w:w="110" w:type="dxa"/>
              <w:bottom w:w="80" w:type="dxa"/>
              <w:right w:w="110" w:type="dxa"/>
            </w:tcMar>
          </w:tcPr>
          <w:p w14:paraId="3E53E77B">
            <w:pPr>
              <w:spacing w:after="0" w:line="260" w:lineRule="auto"/>
              <w:jc w:val="left"/>
            </w:pPr>
            <w:r>
              <w:rPr>
                <w:rFonts w:ascii="Times New Roman" w:hAnsi="Times New Roman" w:eastAsia="Times New Roman" w:cs="Times New Roman"/>
                <w:sz w:val="20"/>
                <w:szCs w:val="20"/>
              </w:rPr>
              <w:t>Cortafuegos de aplicaciones web sobre el API Gateway, con protección frente a las vulnerabilidades más frecuentes según OWASP [18].</w:t>
            </w:r>
          </w:p>
        </w:tc>
      </w:tr>
      <w:tr w14:paraId="2A79F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10" w:type="dxa"/>
              <w:bottom w:w="80" w:type="dxa"/>
              <w:right w:w="110" w:type="dxa"/>
            </w:tcMar>
          </w:tcPr>
          <w:p w14:paraId="06DBC492">
            <w:pPr>
              <w:spacing w:after="0" w:line="260" w:lineRule="auto"/>
              <w:jc w:val="left"/>
            </w:pPr>
            <w:r>
              <w:rPr>
                <w:rFonts w:ascii="Times New Roman" w:hAnsi="Times New Roman" w:eastAsia="Times New Roman" w:cs="Times New Roman"/>
                <w:sz w:val="20"/>
                <w:szCs w:val="20"/>
              </w:rPr>
              <w:t>Prevención del fraude</w:t>
            </w:r>
          </w:p>
        </w:tc>
        <w:tc>
          <w:tcPr>
            <w:tcW w:w="6400" w:type="dxa"/>
            <w:tcMar>
              <w:top w:w="80" w:type="dxa"/>
              <w:left w:w="110" w:type="dxa"/>
              <w:bottom w:w="80" w:type="dxa"/>
              <w:right w:w="110" w:type="dxa"/>
            </w:tcMar>
          </w:tcPr>
          <w:p w14:paraId="3CC13DEE">
            <w:pPr>
              <w:spacing w:after="0" w:line="260" w:lineRule="auto"/>
              <w:jc w:val="left"/>
            </w:pPr>
            <w:r>
              <w:rPr>
                <w:rFonts w:ascii="Times New Roman" w:hAnsi="Times New Roman" w:eastAsia="Times New Roman" w:cs="Times New Roman"/>
                <w:sz w:val="20"/>
                <w:szCs w:val="20"/>
              </w:rPr>
              <w:t>Motor de detección en tiempo real sobre el flujo de eventos, con reglas y modelos que identifiquen patrones anómalos de comportamiento.</w:t>
            </w:r>
          </w:p>
        </w:tc>
      </w:tr>
      <w:tr w14:paraId="6597D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10" w:type="dxa"/>
              <w:bottom w:w="80" w:type="dxa"/>
              <w:right w:w="110" w:type="dxa"/>
            </w:tcMar>
          </w:tcPr>
          <w:p w14:paraId="078F3168">
            <w:pPr>
              <w:spacing w:after="0" w:line="260" w:lineRule="auto"/>
              <w:jc w:val="left"/>
            </w:pPr>
            <w:r>
              <w:rPr>
                <w:rFonts w:ascii="Times New Roman" w:hAnsi="Times New Roman" w:eastAsia="Times New Roman" w:cs="Times New Roman"/>
                <w:sz w:val="20"/>
                <w:szCs w:val="20"/>
              </w:rPr>
              <w:t>Auditoría</w:t>
            </w:r>
          </w:p>
        </w:tc>
        <w:tc>
          <w:tcPr>
            <w:tcW w:w="6400" w:type="dxa"/>
            <w:tcMar>
              <w:top w:w="80" w:type="dxa"/>
              <w:left w:w="110" w:type="dxa"/>
              <w:bottom w:w="80" w:type="dxa"/>
              <w:right w:w="110" w:type="dxa"/>
            </w:tcMar>
          </w:tcPr>
          <w:p w14:paraId="4211F5E8">
            <w:pPr>
              <w:spacing w:after="0" w:line="260" w:lineRule="auto"/>
              <w:jc w:val="left"/>
            </w:pPr>
            <w:r>
              <w:rPr>
                <w:rFonts w:ascii="Times New Roman" w:hAnsi="Times New Roman" w:eastAsia="Times New Roman" w:cs="Times New Roman"/>
                <w:sz w:val="20"/>
                <w:szCs w:val="20"/>
              </w:rPr>
              <w:t>Bitácoras inmutables y centralizadas, con retención acorde con los plazos exigidos por la regulación.</w:t>
            </w:r>
          </w:p>
        </w:tc>
      </w:tr>
      <w:tr w14:paraId="594A6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10" w:type="dxa"/>
              <w:bottom w:w="80" w:type="dxa"/>
              <w:right w:w="110" w:type="dxa"/>
            </w:tcMar>
          </w:tcPr>
          <w:p w14:paraId="7A9B23BB">
            <w:pPr>
              <w:spacing w:after="0" w:line="260" w:lineRule="auto"/>
              <w:jc w:val="left"/>
            </w:pPr>
            <w:r>
              <w:rPr>
                <w:rFonts w:ascii="Times New Roman" w:hAnsi="Times New Roman" w:eastAsia="Times New Roman" w:cs="Times New Roman"/>
                <w:sz w:val="20"/>
                <w:szCs w:val="20"/>
              </w:rPr>
              <w:t>Ciclo de desarrollo</w:t>
            </w:r>
          </w:p>
        </w:tc>
        <w:tc>
          <w:tcPr>
            <w:tcW w:w="6400" w:type="dxa"/>
            <w:tcMar>
              <w:top w:w="80" w:type="dxa"/>
              <w:left w:w="110" w:type="dxa"/>
              <w:bottom w:w="80" w:type="dxa"/>
              <w:right w:w="110" w:type="dxa"/>
            </w:tcMar>
          </w:tcPr>
          <w:p w14:paraId="4192C2AC">
            <w:pPr>
              <w:spacing w:after="0" w:line="260" w:lineRule="auto"/>
              <w:jc w:val="left"/>
            </w:pPr>
            <w:r>
              <w:rPr>
                <w:rFonts w:ascii="Times New Roman" w:hAnsi="Times New Roman" w:eastAsia="Times New Roman" w:cs="Times New Roman"/>
                <w:sz w:val="20"/>
                <w:szCs w:val="20"/>
              </w:rPr>
              <w:t>Análisis estático y de dependencias integrado en la canalización de despliegue, y pruebas de intrusión periódicas.</w:t>
            </w:r>
          </w:p>
        </w:tc>
      </w:tr>
    </w:tbl>
    <w:p w14:paraId="7217A27A">
      <w:pPr>
        <w:spacing w:after="160"/>
      </w:pPr>
    </w:p>
    <w:p w14:paraId="3C61D618">
      <w:pPr>
        <w:pStyle w:val="3"/>
        <w:keepNext/>
        <w:spacing w:before="260" w:after="140"/>
      </w:pPr>
      <w:r>
        <w:rPr>
          <w:rFonts w:ascii="Times New Roman" w:hAnsi="Times New Roman" w:eastAsia="Times New Roman" w:cs="Times New Roman"/>
          <w:b/>
          <w:bCs/>
          <w:color w:val="000000"/>
          <w:sz w:val="24"/>
          <w:szCs w:val="24"/>
        </w:rPr>
        <w:t>6.3. Marco normativo aplicable</w:t>
      </w:r>
    </w:p>
    <w:p w14:paraId="579CCDAA">
      <w:pPr>
        <w:spacing w:after="160" w:line="300" w:lineRule="auto"/>
        <w:jc w:val="both"/>
      </w:pPr>
      <w:r>
        <w:rPr>
          <w:rFonts w:ascii="Times New Roman" w:hAnsi="Times New Roman" w:eastAsia="Times New Roman" w:cs="Times New Roman"/>
          <w:sz w:val="22"/>
          <w:szCs w:val="22"/>
        </w:rPr>
        <w:t>Por tratarse de una entidad del sector financiero colombiano, la arquitectura debe considerar el cumplimiento normativo como restricción de diseño y no como una verificación posterior. Resultan aplicables, entre otras, las disposiciones sobre protección de datos personales y habeas data contenidas en la Ley 1581 de 2012 [19], los requerimientos en materia de seguridad de la información y ciberseguridad establecidos por la Superintendencia Financiera de Colombia [20], y las obligaciones asociadas al Sistema de Administración del Riesgo de Lavado de Activos y Financiación del Terrorismo (SARLAFT), que condicionan directamente el diseño del proceso de vinculación digital [21]. Cuando se procesen datos de tarjetas de pago, resulta igualmente aplicable el estándar PCI DSS [22].</w:t>
      </w:r>
    </w:p>
    <w:p w14:paraId="10C2C202">
      <w:pPr>
        <w:pStyle w:val="2"/>
        <w:keepNext/>
        <w:spacing w:before="320" w:after="180"/>
      </w:pPr>
      <w:r>
        <w:rPr>
          <w:rFonts w:ascii="Times New Roman" w:hAnsi="Times New Roman" w:eastAsia="Times New Roman" w:cs="Times New Roman"/>
          <w:b/>
          <w:bCs/>
          <w:color w:val="000000"/>
          <w:sz w:val="26"/>
          <w:szCs w:val="26"/>
        </w:rPr>
        <w:t>7. Flujo Integral del Proceso de Crédito</w:t>
      </w:r>
    </w:p>
    <w:p w14:paraId="609FF1F9">
      <w:pPr>
        <w:spacing w:after="160" w:line="300" w:lineRule="auto"/>
        <w:jc w:val="both"/>
      </w:pPr>
      <w:r>
        <w:rPr>
          <w:rFonts w:ascii="Times New Roman" w:hAnsi="Times New Roman" w:eastAsia="Times New Roman" w:cs="Times New Roman"/>
          <w:sz w:val="22"/>
          <w:szCs w:val="22"/>
        </w:rPr>
        <w:t>El reto planteado en el caso solicita integrar la secuencia Cliente → App/Web → Autenticación → Crédito → Evaluación → Aprobación → Desembolso → Contabilidad. A continuación se describe cómo opera esta secuencia sobre la arquitectura propuesta.</w:t>
      </w:r>
    </w:p>
    <w:tbl>
      <w:tblPr>
        <w:tblStyle w:val="9"/>
        <w:tblW w:w="9000" w:type="dxa"/>
        <w:tblInd w:w="0" w:type="dxa"/>
        <w:tblBorders>
          <w:top w:val="dashed" w:color="AAAAAA" w:sz="6" w:space="0"/>
          <w:left w:val="dashed" w:color="AAAAAA" w:sz="6" w:space="0"/>
          <w:bottom w:val="dashed" w:color="AAAAAA" w:sz="6" w:space="0"/>
          <w:right w:val="dashed" w:color="AAAAAA" w:sz="6" w:space="0"/>
          <w:insideH w:val="none" w:color="FFFFFF" w:sz="0" w:space="0"/>
          <w:insideV w:val="none" w:color="FFFFFF" w:sz="0" w:space="0"/>
        </w:tblBorders>
        <w:tblLayout w:type="autofit"/>
        <w:tblCellMar>
          <w:top w:w="0" w:type="dxa"/>
          <w:left w:w="10" w:type="dxa"/>
          <w:bottom w:w="0" w:type="dxa"/>
          <w:right w:w="10" w:type="dxa"/>
        </w:tblCellMar>
      </w:tblPr>
      <w:tblGrid>
        <w:gridCol w:w="9000"/>
      </w:tblGrid>
      <w:tr w14:paraId="4F38346A">
        <w:tblPrEx>
          <w:tblBorders>
            <w:top w:val="dashed" w:color="AAAAAA" w:sz="6" w:space="0"/>
            <w:left w:val="dashed" w:color="AAAAAA" w:sz="6" w:space="0"/>
            <w:bottom w:val="dashed" w:color="AAAAAA" w:sz="6" w:space="0"/>
            <w:right w:val="dashed" w:color="AAAAAA" w:sz="6" w:space="0"/>
            <w:insideH w:val="none" w:color="FFFFFF" w:sz="0" w:space="0"/>
            <w:insideV w:val="none" w:color="FFFFFF" w:sz="0" w:space="0"/>
          </w:tblBorders>
          <w:tblCellMar>
            <w:top w:w="0" w:type="dxa"/>
            <w:left w:w="10" w:type="dxa"/>
            <w:bottom w:w="0" w:type="dxa"/>
            <w:right w:w="10" w:type="dxa"/>
          </w:tblCellMar>
        </w:tblPrEx>
        <w:tc>
          <w:tcPr>
            <w:tcW w:w="9000" w:type="dxa"/>
            <w:tcMar>
              <w:top w:w="400" w:type="dxa"/>
              <w:left w:w="120" w:type="dxa"/>
              <w:bottom w:w="400" w:type="dxa"/>
              <w:right w:w="120" w:type="dxa"/>
            </w:tcMar>
          </w:tcPr>
          <w:p w14:paraId="3481D70B">
            <w:pPr>
              <w:spacing w:after="0"/>
              <w:jc w:val="center"/>
            </w:pPr>
            <w:r>
              <w:rPr>
                <w:rFonts w:ascii="Times New Roman" w:hAnsi="Times New Roman" w:eastAsia="Times New Roman" w:cs="Times New Roman"/>
                <w:i/>
                <w:iCs/>
                <w:color w:val="777777"/>
                <w:sz w:val="20"/>
                <w:szCs w:val="20"/>
              </w:rPr>
              <w:t>[ Insertar aquí la Ilustración 5: diagrama del flujo integral del proceso de crédito ]</w:t>
            </w:r>
          </w:p>
        </w:tc>
      </w:tr>
    </w:tbl>
    <w:p w14:paraId="3FAD52BD">
      <w:pPr>
        <w:spacing w:before="100" w:after="240"/>
        <w:jc w:val="center"/>
      </w:pPr>
      <w:r>
        <w:rPr>
          <w:rFonts w:ascii="Times New Roman" w:hAnsi="Times New Roman" w:eastAsia="Times New Roman" w:cs="Times New Roman"/>
          <w:i/>
          <w:iCs/>
          <w:sz w:val="20"/>
          <w:szCs w:val="20"/>
        </w:rPr>
        <w:t>Ilustración 5. Flujo del proceso de crédito sobre la arquitectura objetivo. Fuente: elaboración propia.</w:t>
      </w:r>
    </w:p>
    <w:p w14:paraId="5691FE94">
      <w:pPr>
        <w:spacing w:after="1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200"/>
        <w:gridCol w:w="6100"/>
      </w:tblGrid>
      <w:tr w14:paraId="73B5A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D9D9D9"/>
            <w:tcMar>
              <w:top w:w="80" w:type="dxa"/>
              <w:left w:w="110" w:type="dxa"/>
              <w:bottom w:w="80" w:type="dxa"/>
              <w:right w:w="110" w:type="dxa"/>
            </w:tcMar>
          </w:tcPr>
          <w:p w14:paraId="5E66E81C">
            <w:pPr>
              <w:spacing w:after="0" w:line="260" w:lineRule="auto"/>
              <w:jc w:val="left"/>
            </w:pPr>
            <w:r>
              <w:rPr>
                <w:rFonts w:ascii="Times New Roman" w:hAnsi="Times New Roman" w:eastAsia="Times New Roman" w:cs="Times New Roman"/>
                <w:b/>
                <w:bCs/>
                <w:sz w:val="20"/>
                <w:szCs w:val="20"/>
              </w:rPr>
              <w:t>#</w:t>
            </w:r>
          </w:p>
        </w:tc>
        <w:tc>
          <w:tcPr>
            <w:tcW w:w="2200" w:type="dxa"/>
            <w:shd w:val="clear" w:color="auto" w:fill="D9D9D9"/>
            <w:tcMar>
              <w:top w:w="80" w:type="dxa"/>
              <w:left w:w="110" w:type="dxa"/>
              <w:bottom w:w="80" w:type="dxa"/>
              <w:right w:w="110" w:type="dxa"/>
            </w:tcMar>
          </w:tcPr>
          <w:p w14:paraId="464F2BB2">
            <w:pPr>
              <w:spacing w:after="0" w:line="260" w:lineRule="auto"/>
              <w:jc w:val="left"/>
            </w:pPr>
            <w:r>
              <w:rPr>
                <w:rFonts w:ascii="Times New Roman" w:hAnsi="Times New Roman" w:eastAsia="Times New Roman" w:cs="Times New Roman"/>
                <w:b/>
                <w:bCs/>
                <w:sz w:val="20"/>
                <w:szCs w:val="20"/>
              </w:rPr>
              <w:t>Paso</w:t>
            </w:r>
          </w:p>
        </w:tc>
        <w:tc>
          <w:tcPr>
            <w:tcW w:w="6100" w:type="dxa"/>
            <w:shd w:val="clear" w:color="auto" w:fill="D9D9D9"/>
            <w:tcMar>
              <w:top w:w="80" w:type="dxa"/>
              <w:left w:w="110" w:type="dxa"/>
              <w:bottom w:w="80" w:type="dxa"/>
              <w:right w:w="110" w:type="dxa"/>
            </w:tcMar>
          </w:tcPr>
          <w:p w14:paraId="7168532C">
            <w:pPr>
              <w:spacing w:after="0" w:line="260" w:lineRule="auto"/>
              <w:jc w:val="left"/>
            </w:pPr>
            <w:r>
              <w:rPr>
                <w:rFonts w:ascii="Times New Roman" w:hAnsi="Times New Roman" w:eastAsia="Times New Roman" w:cs="Times New Roman"/>
                <w:b/>
                <w:bCs/>
                <w:sz w:val="20"/>
                <w:szCs w:val="20"/>
              </w:rPr>
              <w:t>Qué ocurre en la arquitectura</w:t>
            </w:r>
          </w:p>
        </w:tc>
      </w:tr>
      <w:tr w14:paraId="2BB36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10" w:type="dxa"/>
              <w:bottom w:w="80" w:type="dxa"/>
              <w:right w:w="110" w:type="dxa"/>
            </w:tcMar>
          </w:tcPr>
          <w:p w14:paraId="70635959">
            <w:pPr>
              <w:spacing w:after="0" w:line="260" w:lineRule="auto"/>
              <w:jc w:val="left"/>
            </w:pPr>
            <w:r>
              <w:rPr>
                <w:rFonts w:ascii="Times New Roman" w:hAnsi="Times New Roman" w:eastAsia="Times New Roman" w:cs="Times New Roman"/>
                <w:sz w:val="20"/>
                <w:szCs w:val="20"/>
              </w:rPr>
              <w:t>1</w:t>
            </w:r>
          </w:p>
        </w:tc>
        <w:tc>
          <w:tcPr>
            <w:tcW w:w="2200" w:type="dxa"/>
            <w:tcMar>
              <w:top w:w="80" w:type="dxa"/>
              <w:left w:w="110" w:type="dxa"/>
              <w:bottom w:w="80" w:type="dxa"/>
              <w:right w:w="110" w:type="dxa"/>
            </w:tcMar>
          </w:tcPr>
          <w:p w14:paraId="6CCE110A">
            <w:pPr>
              <w:spacing w:after="0" w:line="260" w:lineRule="auto"/>
              <w:jc w:val="left"/>
            </w:pPr>
            <w:r>
              <w:rPr>
                <w:rFonts w:ascii="Times New Roman" w:hAnsi="Times New Roman" w:eastAsia="Times New Roman" w:cs="Times New Roman"/>
                <w:sz w:val="20"/>
                <w:szCs w:val="20"/>
              </w:rPr>
              <w:t>Cliente y canal</w:t>
            </w:r>
          </w:p>
        </w:tc>
        <w:tc>
          <w:tcPr>
            <w:tcW w:w="6100" w:type="dxa"/>
            <w:tcMar>
              <w:top w:w="80" w:type="dxa"/>
              <w:left w:w="110" w:type="dxa"/>
              <w:bottom w:w="80" w:type="dxa"/>
              <w:right w:w="110" w:type="dxa"/>
            </w:tcMar>
          </w:tcPr>
          <w:p w14:paraId="59CB76C1">
            <w:pPr>
              <w:spacing w:after="0" w:line="260" w:lineRule="auto"/>
              <w:jc w:val="left"/>
            </w:pPr>
            <w:r>
              <w:rPr>
                <w:rFonts w:ascii="Times New Roman" w:hAnsi="Times New Roman" w:eastAsia="Times New Roman" w:cs="Times New Roman"/>
                <w:sz w:val="20"/>
                <w:szCs w:val="20"/>
              </w:rPr>
              <w:t>El cliente ingresa desde la aplicación móvil o el portal web. Ambos canales invocan los mismos servicios a través del API Gateway.</w:t>
            </w:r>
          </w:p>
        </w:tc>
      </w:tr>
      <w:tr w14:paraId="46BC1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10" w:type="dxa"/>
              <w:bottom w:w="80" w:type="dxa"/>
              <w:right w:w="110" w:type="dxa"/>
            </w:tcMar>
          </w:tcPr>
          <w:p w14:paraId="71399890">
            <w:pPr>
              <w:spacing w:after="0" w:line="260" w:lineRule="auto"/>
              <w:jc w:val="left"/>
            </w:pPr>
            <w:r>
              <w:rPr>
                <w:rFonts w:ascii="Times New Roman" w:hAnsi="Times New Roman" w:eastAsia="Times New Roman" w:cs="Times New Roman"/>
                <w:sz w:val="20"/>
                <w:szCs w:val="20"/>
              </w:rPr>
              <w:t>2</w:t>
            </w:r>
          </w:p>
        </w:tc>
        <w:tc>
          <w:tcPr>
            <w:tcW w:w="2200" w:type="dxa"/>
            <w:tcMar>
              <w:top w:w="80" w:type="dxa"/>
              <w:left w:w="110" w:type="dxa"/>
              <w:bottom w:w="80" w:type="dxa"/>
              <w:right w:w="110" w:type="dxa"/>
            </w:tcMar>
          </w:tcPr>
          <w:p w14:paraId="490B69FC">
            <w:pPr>
              <w:spacing w:after="0" w:line="260" w:lineRule="auto"/>
              <w:jc w:val="left"/>
            </w:pPr>
            <w:r>
              <w:rPr>
                <w:rFonts w:ascii="Times New Roman" w:hAnsi="Times New Roman" w:eastAsia="Times New Roman" w:cs="Times New Roman"/>
                <w:sz w:val="20"/>
                <w:szCs w:val="20"/>
              </w:rPr>
              <w:t>Autenticación</w:t>
            </w:r>
          </w:p>
        </w:tc>
        <w:tc>
          <w:tcPr>
            <w:tcW w:w="6100" w:type="dxa"/>
            <w:tcMar>
              <w:top w:w="80" w:type="dxa"/>
              <w:left w:w="110" w:type="dxa"/>
              <w:bottom w:w="80" w:type="dxa"/>
              <w:right w:w="110" w:type="dxa"/>
            </w:tcMar>
          </w:tcPr>
          <w:p w14:paraId="2737B622">
            <w:pPr>
              <w:spacing w:after="0" w:line="260" w:lineRule="auto"/>
              <w:jc w:val="left"/>
            </w:pPr>
            <w:r>
              <w:rPr>
                <w:rFonts w:ascii="Times New Roman" w:hAnsi="Times New Roman" w:eastAsia="Times New Roman" w:cs="Times New Roman"/>
                <w:sz w:val="20"/>
                <w:szCs w:val="20"/>
              </w:rPr>
              <w:t>El proveedor de identidad valida las credenciales y el segundo factor, y emite un token. El API Gateway valida ese token en cada solicitud posterior.</w:t>
            </w:r>
          </w:p>
        </w:tc>
      </w:tr>
      <w:tr w14:paraId="6842F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10" w:type="dxa"/>
              <w:bottom w:w="80" w:type="dxa"/>
              <w:right w:w="110" w:type="dxa"/>
            </w:tcMar>
          </w:tcPr>
          <w:p w14:paraId="0785A636">
            <w:pPr>
              <w:spacing w:after="0" w:line="260" w:lineRule="auto"/>
              <w:jc w:val="left"/>
            </w:pPr>
            <w:r>
              <w:rPr>
                <w:rFonts w:ascii="Times New Roman" w:hAnsi="Times New Roman" w:eastAsia="Times New Roman" w:cs="Times New Roman"/>
                <w:sz w:val="20"/>
                <w:szCs w:val="20"/>
              </w:rPr>
              <w:t>3</w:t>
            </w:r>
          </w:p>
        </w:tc>
        <w:tc>
          <w:tcPr>
            <w:tcW w:w="2200" w:type="dxa"/>
            <w:tcMar>
              <w:top w:w="80" w:type="dxa"/>
              <w:left w:w="110" w:type="dxa"/>
              <w:bottom w:w="80" w:type="dxa"/>
              <w:right w:w="110" w:type="dxa"/>
            </w:tcMar>
          </w:tcPr>
          <w:p w14:paraId="0CC98F4E">
            <w:pPr>
              <w:spacing w:after="0" w:line="260" w:lineRule="auto"/>
              <w:jc w:val="left"/>
            </w:pPr>
            <w:r>
              <w:rPr>
                <w:rFonts w:ascii="Times New Roman" w:hAnsi="Times New Roman" w:eastAsia="Times New Roman" w:cs="Times New Roman"/>
                <w:sz w:val="20"/>
                <w:szCs w:val="20"/>
              </w:rPr>
              <w:t>Solicitud de crédito</w:t>
            </w:r>
          </w:p>
        </w:tc>
        <w:tc>
          <w:tcPr>
            <w:tcW w:w="6100" w:type="dxa"/>
            <w:tcMar>
              <w:top w:w="80" w:type="dxa"/>
              <w:left w:w="110" w:type="dxa"/>
              <w:bottom w:w="80" w:type="dxa"/>
              <w:right w:w="110" w:type="dxa"/>
            </w:tcMar>
          </w:tcPr>
          <w:p w14:paraId="51F0D99C">
            <w:pPr>
              <w:spacing w:after="0" w:line="260" w:lineRule="auto"/>
              <w:jc w:val="left"/>
            </w:pPr>
            <w:r>
              <w:rPr>
                <w:rFonts w:ascii="Times New Roman" w:hAnsi="Times New Roman" w:eastAsia="Times New Roman" w:cs="Times New Roman"/>
                <w:sz w:val="20"/>
                <w:szCs w:val="20"/>
              </w:rPr>
              <w:t>El servicio de Créditos crea la solicitud. Consulta los datos del cliente al servicio de Clientes mediante su API; no los almacena de nuevo. Publica el evento de solicitud creada.</w:t>
            </w:r>
          </w:p>
        </w:tc>
      </w:tr>
      <w:tr w14:paraId="4607F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10" w:type="dxa"/>
              <w:bottom w:w="80" w:type="dxa"/>
              <w:right w:w="110" w:type="dxa"/>
            </w:tcMar>
          </w:tcPr>
          <w:p w14:paraId="4BF40A44">
            <w:pPr>
              <w:spacing w:after="0" w:line="260" w:lineRule="auto"/>
              <w:jc w:val="left"/>
            </w:pPr>
            <w:r>
              <w:rPr>
                <w:rFonts w:ascii="Times New Roman" w:hAnsi="Times New Roman" w:eastAsia="Times New Roman" w:cs="Times New Roman"/>
                <w:sz w:val="20"/>
                <w:szCs w:val="20"/>
              </w:rPr>
              <w:t>4</w:t>
            </w:r>
          </w:p>
        </w:tc>
        <w:tc>
          <w:tcPr>
            <w:tcW w:w="2200" w:type="dxa"/>
            <w:tcMar>
              <w:top w:w="80" w:type="dxa"/>
              <w:left w:w="110" w:type="dxa"/>
              <w:bottom w:w="80" w:type="dxa"/>
              <w:right w:w="110" w:type="dxa"/>
            </w:tcMar>
          </w:tcPr>
          <w:p w14:paraId="111585BC">
            <w:pPr>
              <w:spacing w:after="0" w:line="260" w:lineRule="auto"/>
              <w:jc w:val="left"/>
            </w:pPr>
            <w:r>
              <w:rPr>
                <w:rFonts w:ascii="Times New Roman" w:hAnsi="Times New Roman" w:eastAsia="Times New Roman" w:cs="Times New Roman"/>
                <w:sz w:val="20"/>
                <w:szCs w:val="20"/>
              </w:rPr>
              <w:t>Evaluación</w:t>
            </w:r>
          </w:p>
        </w:tc>
        <w:tc>
          <w:tcPr>
            <w:tcW w:w="6100" w:type="dxa"/>
            <w:tcMar>
              <w:top w:w="80" w:type="dxa"/>
              <w:left w:w="110" w:type="dxa"/>
              <w:bottom w:w="80" w:type="dxa"/>
              <w:right w:w="110" w:type="dxa"/>
            </w:tcMar>
          </w:tcPr>
          <w:p w14:paraId="755491AF">
            <w:pPr>
              <w:spacing w:after="0" w:line="260" w:lineRule="auto"/>
              <w:jc w:val="left"/>
            </w:pPr>
            <w:r>
              <w:rPr>
                <w:rFonts w:ascii="Times New Roman" w:hAnsi="Times New Roman" w:eastAsia="Times New Roman" w:cs="Times New Roman"/>
                <w:sz w:val="20"/>
                <w:szCs w:val="20"/>
              </w:rPr>
              <w:t>El servicio de Evaluación consume el evento, consulta información interna y externa —comportamiento de pago, centrales de riesgo—, aplica las reglas y el modelo de scoring, y publica el resultado con su justificación trazable.</w:t>
            </w:r>
          </w:p>
        </w:tc>
      </w:tr>
      <w:tr w14:paraId="28EED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10" w:type="dxa"/>
              <w:bottom w:w="80" w:type="dxa"/>
              <w:right w:w="110" w:type="dxa"/>
            </w:tcMar>
          </w:tcPr>
          <w:p w14:paraId="0E489C13">
            <w:pPr>
              <w:spacing w:after="0" w:line="260" w:lineRule="auto"/>
              <w:jc w:val="left"/>
            </w:pPr>
            <w:r>
              <w:rPr>
                <w:rFonts w:ascii="Times New Roman" w:hAnsi="Times New Roman" w:eastAsia="Times New Roman" w:cs="Times New Roman"/>
                <w:sz w:val="20"/>
                <w:szCs w:val="20"/>
              </w:rPr>
              <w:t>5</w:t>
            </w:r>
          </w:p>
        </w:tc>
        <w:tc>
          <w:tcPr>
            <w:tcW w:w="2200" w:type="dxa"/>
            <w:tcMar>
              <w:top w:w="80" w:type="dxa"/>
              <w:left w:w="110" w:type="dxa"/>
              <w:bottom w:w="80" w:type="dxa"/>
              <w:right w:w="110" w:type="dxa"/>
            </w:tcMar>
          </w:tcPr>
          <w:p w14:paraId="4DE87E8E">
            <w:pPr>
              <w:spacing w:after="0" w:line="260" w:lineRule="auto"/>
              <w:jc w:val="left"/>
            </w:pPr>
            <w:r>
              <w:rPr>
                <w:rFonts w:ascii="Times New Roman" w:hAnsi="Times New Roman" w:eastAsia="Times New Roman" w:cs="Times New Roman"/>
                <w:sz w:val="20"/>
                <w:szCs w:val="20"/>
              </w:rPr>
              <w:t>Aprobación</w:t>
            </w:r>
          </w:p>
        </w:tc>
        <w:tc>
          <w:tcPr>
            <w:tcW w:w="6100" w:type="dxa"/>
            <w:tcMar>
              <w:top w:w="80" w:type="dxa"/>
              <w:left w:w="110" w:type="dxa"/>
              <w:bottom w:w="80" w:type="dxa"/>
              <w:right w:w="110" w:type="dxa"/>
            </w:tcMar>
          </w:tcPr>
          <w:p w14:paraId="5A37BF18">
            <w:pPr>
              <w:spacing w:after="0" w:line="260" w:lineRule="auto"/>
              <w:jc w:val="left"/>
            </w:pPr>
            <w:r>
              <w:rPr>
                <w:rFonts w:ascii="Times New Roman" w:hAnsi="Times New Roman" w:eastAsia="Times New Roman" w:cs="Times New Roman"/>
                <w:sz w:val="20"/>
                <w:szCs w:val="20"/>
              </w:rPr>
              <w:t>Si el resultado está dentro de la política automatizada, la aprobación es inmediata. En caso contrario, la solicitud se deriva a revisión manual con toda la información consolidada disponible para el analista.</w:t>
            </w:r>
          </w:p>
        </w:tc>
      </w:tr>
      <w:tr w14:paraId="0DA03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10" w:type="dxa"/>
              <w:bottom w:w="80" w:type="dxa"/>
              <w:right w:w="110" w:type="dxa"/>
            </w:tcMar>
          </w:tcPr>
          <w:p w14:paraId="1D744719">
            <w:pPr>
              <w:spacing w:after="0" w:line="260" w:lineRule="auto"/>
              <w:jc w:val="left"/>
            </w:pPr>
            <w:r>
              <w:rPr>
                <w:rFonts w:ascii="Times New Roman" w:hAnsi="Times New Roman" w:eastAsia="Times New Roman" w:cs="Times New Roman"/>
                <w:sz w:val="20"/>
                <w:szCs w:val="20"/>
              </w:rPr>
              <w:t>6</w:t>
            </w:r>
          </w:p>
        </w:tc>
        <w:tc>
          <w:tcPr>
            <w:tcW w:w="2200" w:type="dxa"/>
            <w:tcMar>
              <w:top w:w="80" w:type="dxa"/>
              <w:left w:w="110" w:type="dxa"/>
              <w:bottom w:w="80" w:type="dxa"/>
              <w:right w:w="110" w:type="dxa"/>
            </w:tcMar>
          </w:tcPr>
          <w:p w14:paraId="094E49F8">
            <w:pPr>
              <w:spacing w:after="0" w:line="260" w:lineRule="auto"/>
              <w:jc w:val="left"/>
            </w:pPr>
            <w:r>
              <w:rPr>
                <w:rFonts w:ascii="Times New Roman" w:hAnsi="Times New Roman" w:eastAsia="Times New Roman" w:cs="Times New Roman"/>
                <w:sz w:val="20"/>
                <w:szCs w:val="20"/>
              </w:rPr>
              <w:t>Formalización</w:t>
            </w:r>
          </w:p>
        </w:tc>
        <w:tc>
          <w:tcPr>
            <w:tcW w:w="6100" w:type="dxa"/>
            <w:tcMar>
              <w:top w:w="80" w:type="dxa"/>
              <w:left w:w="110" w:type="dxa"/>
              <w:bottom w:w="80" w:type="dxa"/>
              <w:right w:w="110" w:type="dxa"/>
            </w:tcMar>
          </w:tcPr>
          <w:p w14:paraId="5103FA3F">
            <w:pPr>
              <w:spacing w:after="0" w:line="260" w:lineRule="auto"/>
              <w:jc w:val="left"/>
            </w:pPr>
            <w:r>
              <w:rPr>
                <w:rFonts w:ascii="Times New Roman" w:hAnsi="Times New Roman" w:eastAsia="Times New Roman" w:cs="Times New Roman"/>
                <w:sz w:val="20"/>
                <w:szCs w:val="20"/>
              </w:rPr>
              <w:t>El cliente firma electrónicamente el contrato. El servicio de Créditos publica el evento de crédito aprobado y formalizado.</w:t>
            </w:r>
          </w:p>
        </w:tc>
      </w:tr>
      <w:tr w14:paraId="68EE0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10" w:type="dxa"/>
              <w:bottom w:w="80" w:type="dxa"/>
              <w:right w:w="110" w:type="dxa"/>
            </w:tcMar>
          </w:tcPr>
          <w:p w14:paraId="7B1F14FC">
            <w:pPr>
              <w:spacing w:after="0" w:line="260" w:lineRule="auto"/>
              <w:jc w:val="left"/>
            </w:pPr>
            <w:r>
              <w:rPr>
                <w:rFonts w:ascii="Times New Roman" w:hAnsi="Times New Roman" w:eastAsia="Times New Roman" w:cs="Times New Roman"/>
                <w:sz w:val="20"/>
                <w:szCs w:val="20"/>
              </w:rPr>
              <w:t>7</w:t>
            </w:r>
          </w:p>
        </w:tc>
        <w:tc>
          <w:tcPr>
            <w:tcW w:w="2200" w:type="dxa"/>
            <w:tcMar>
              <w:top w:w="80" w:type="dxa"/>
              <w:left w:w="110" w:type="dxa"/>
              <w:bottom w:w="80" w:type="dxa"/>
              <w:right w:w="110" w:type="dxa"/>
            </w:tcMar>
          </w:tcPr>
          <w:p w14:paraId="0A3975BA">
            <w:pPr>
              <w:spacing w:after="0" w:line="260" w:lineRule="auto"/>
              <w:jc w:val="left"/>
            </w:pPr>
            <w:r>
              <w:rPr>
                <w:rFonts w:ascii="Times New Roman" w:hAnsi="Times New Roman" w:eastAsia="Times New Roman" w:cs="Times New Roman"/>
                <w:sz w:val="20"/>
                <w:szCs w:val="20"/>
              </w:rPr>
              <w:t>Desembolso</w:t>
            </w:r>
          </w:p>
        </w:tc>
        <w:tc>
          <w:tcPr>
            <w:tcW w:w="6100" w:type="dxa"/>
            <w:tcMar>
              <w:top w:w="80" w:type="dxa"/>
              <w:left w:w="110" w:type="dxa"/>
              <w:bottom w:w="80" w:type="dxa"/>
              <w:right w:w="110" w:type="dxa"/>
            </w:tcMar>
          </w:tcPr>
          <w:p w14:paraId="77DB12AB">
            <w:pPr>
              <w:spacing w:after="0" w:line="260" w:lineRule="auto"/>
              <w:jc w:val="left"/>
            </w:pPr>
            <w:r>
              <w:rPr>
                <w:rFonts w:ascii="Times New Roman" w:hAnsi="Times New Roman" w:eastAsia="Times New Roman" w:cs="Times New Roman"/>
                <w:sz w:val="20"/>
                <w:szCs w:val="20"/>
              </w:rPr>
              <w:t>El servicio de Desembolso consume el evento, ejecuta la orden de pago hacia la entidad correspondiente y publica el evento de desembolso realizado.</w:t>
            </w:r>
          </w:p>
        </w:tc>
      </w:tr>
      <w:tr w14:paraId="18684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10" w:type="dxa"/>
              <w:bottom w:w="80" w:type="dxa"/>
              <w:right w:w="110" w:type="dxa"/>
            </w:tcMar>
          </w:tcPr>
          <w:p w14:paraId="251DCAED">
            <w:pPr>
              <w:spacing w:after="0" w:line="260" w:lineRule="auto"/>
              <w:jc w:val="left"/>
            </w:pPr>
            <w:r>
              <w:rPr>
                <w:rFonts w:ascii="Times New Roman" w:hAnsi="Times New Roman" w:eastAsia="Times New Roman" w:cs="Times New Roman"/>
                <w:sz w:val="20"/>
                <w:szCs w:val="20"/>
              </w:rPr>
              <w:t>8</w:t>
            </w:r>
          </w:p>
        </w:tc>
        <w:tc>
          <w:tcPr>
            <w:tcW w:w="2200" w:type="dxa"/>
            <w:tcMar>
              <w:top w:w="80" w:type="dxa"/>
              <w:left w:w="110" w:type="dxa"/>
              <w:bottom w:w="80" w:type="dxa"/>
              <w:right w:w="110" w:type="dxa"/>
            </w:tcMar>
          </w:tcPr>
          <w:p w14:paraId="4FD4CFFC">
            <w:pPr>
              <w:spacing w:after="0" w:line="260" w:lineRule="auto"/>
              <w:jc w:val="left"/>
            </w:pPr>
            <w:r>
              <w:rPr>
                <w:rFonts w:ascii="Times New Roman" w:hAnsi="Times New Roman" w:eastAsia="Times New Roman" w:cs="Times New Roman"/>
                <w:sz w:val="20"/>
                <w:szCs w:val="20"/>
              </w:rPr>
              <w:t>Contabilidad</w:t>
            </w:r>
          </w:p>
        </w:tc>
        <w:tc>
          <w:tcPr>
            <w:tcW w:w="6100" w:type="dxa"/>
            <w:tcMar>
              <w:top w:w="80" w:type="dxa"/>
              <w:left w:w="110" w:type="dxa"/>
              <w:bottom w:w="80" w:type="dxa"/>
              <w:right w:w="110" w:type="dxa"/>
            </w:tcMar>
          </w:tcPr>
          <w:p w14:paraId="67816698">
            <w:pPr>
              <w:spacing w:after="0" w:line="260" w:lineRule="auto"/>
              <w:jc w:val="left"/>
            </w:pPr>
            <w:r>
              <w:rPr>
                <w:rFonts w:ascii="Times New Roman" w:hAnsi="Times New Roman" w:eastAsia="Times New Roman" w:cs="Times New Roman"/>
                <w:sz w:val="20"/>
                <w:szCs w:val="20"/>
              </w:rPr>
              <w:t>El servicio de Contabilidad consume el evento y genera el asiento de partida doble de manera automática, en el momento en que ocurre el hecho económico y sin carga manual.</w:t>
            </w:r>
          </w:p>
        </w:tc>
      </w:tr>
      <w:tr w14:paraId="3906A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10" w:type="dxa"/>
              <w:bottom w:w="80" w:type="dxa"/>
              <w:right w:w="110" w:type="dxa"/>
            </w:tcMar>
          </w:tcPr>
          <w:p w14:paraId="5CB01390">
            <w:pPr>
              <w:spacing w:after="0" w:line="260" w:lineRule="auto"/>
              <w:jc w:val="left"/>
            </w:pPr>
            <w:r>
              <w:rPr>
                <w:rFonts w:ascii="Times New Roman" w:hAnsi="Times New Roman" w:eastAsia="Times New Roman" w:cs="Times New Roman"/>
                <w:sz w:val="20"/>
                <w:szCs w:val="20"/>
              </w:rPr>
              <w:t>9</w:t>
            </w:r>
          </w:p>
        </w:tc>
        <w:tc>
          <w:tcPr>
            <w:tcW w:w="2200" w:type="dxa"/>
            <w:tcMar>
              <w:top w:w="80" w:type="dxa"/>
              <w:left w:w="110" w:type="dxa"/>
              <w:bottom w:w="80" w:type="dxa"/>
              <w:right w:w="110" w:type="dxa"/>
            </w:tcMar>
          </w:tcPr>
          <w:p w14:paraId="511D4B7D">
            <w:pPr>
              <w:spacing w:after="0" w:line="260" w:lineRule="auto"/>
              <w:jc w:val="left"/>
            </w:pPr>
            <w:r>
              <w:rPr>
                <w:rFonts w:ascii="Times New Roman" w:hAnsi="Times New Roman" w:eastAsia="Times New Roman" w:cs="Times New Roman"/>
                <w:sz w:val="20"/>
                <w:szCs w:val="20"/>
              </w:rPr>
              <w:t>Notificación</w:t>
            </w:r>
          </w:p>
        </w:tc>
        <w:tc>
          <w:tcPr>
            <w:tcW w:w="6100" w:type="dxa"/>
            <w:tcMar>
              <w:top w:w="80" w:type="dxa"/>
              <w:left w:w="110" w:type="dxa"/>
              <w:bottom w:w="80" w:type="dxa"/>
              <w:right w:w="110" w:type="dxa"/>
            </w:tcMar>
          </w:tcPr>
          <w:p w14:paraId="283115F7">
            <w:pPr>
              <w:spacing w:after="0" w:line="260" w:lineRule="auto"/>
              <w:jc w:val="left"/>
            </w:pPr>
            <w:r>
              <w:rPr>
                <w:rFonts w:ascii="Times New Roman" w:hAnsi="Times New Roman" w:eastAsia="Times New Roman" w:cs="Times New Roman"/>
                <w:sz w:val="20"/>
                <w:szCs w:val="20"/>
              </w:rPr>
              <w:t>El servicio de Notificaciones consume los eventos relevantes e informa al cliente en cada hito del proceso.</w:t>
            </w:r>
          </w:p>
        </w:tc>
      </w:tr>
      <w:tr w14:paraId="4768A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10" w:type="dxa"/>
              <w:bottom w:w="80" w:type="dxa"/>
              <w:right w:w="110" w:type="dxa"/>
            </w:tcMar>
          </w:tcPr>
          <w:p w14:paraId="7DB26EE1">
            <w:pPr>
              <w:spacing w:after="0" w:line="260" w:lineRule="auto"/>
              <w:jc w:val="left"/>
            </w:pPr>
            <w:r>
              <w:rPr>
                <w:rFonts w:ascii="Times New Roman" w:hAnsi="Times New Roman" w:eastAsia="Times New Roman" w:cs="Times New Roman"/>
                <w:sz w:val="20"/>
                <w:szCs w:val="20"/>
              </w:rPr>
              <w:t>10</w:t>
            </w:r>
          </w:p>
        </w:tc>
        <w:tc>
          <w:tcPr>
            <w:tcW w:w="2200" w:type="dxa"/>
            <w:tcMar>
              <w:top w:w="80" w:type="dxa"/>
              <w:left w:w="110" w:type="dxa"/>
              <w:bottom w:w="80" w:type="dxa"/>
              <w:right w:w="110" w:type="dxa"/>
            </w:tcMar>
          </w:tcPr>
          <w:p w14:paraId="368ABDAF">
            <w:pPr>
              <w:spacing w:after="0" w:line="260" w:lineRule="auto"/>
              <w:jc w:val="left"/>
            </w:pPr>
            <w:r>
              <w:rPr>
                <w:rFonts w:ascii="Times New Roman" w:hAnsi="Times New Roman" w:eastAsia="Times New Roman" w:cs="Times New Roman"/>
                <w:sz w:val="20"/>
                <w:szCs w:val="20"/>
              </w:rPr>
              <w:t>Analítica</w:t>
            </w:r>
          </w:p>
        </w:tc>
        <w:tc>
          <w:tcPr>
            <w:tcW w:w="6100" w:type="dxa"/>
            <w:tcMar>
              <w:top w:w="80" w:type="dxa"/>
              <w:left w:w="110" w:type="dxa"/>
              <w:bottom w:w="80" w:type="dxa"/>
              <w:right w:w="110" w:type="dxa"/>
            </w:tcMar>
          </w:tcPr>
          <w:p w14:paraId="7AD8E968">
            <w:pPr>
              <w:spacing w:after="0" w:line="260" w:lineRule="auto"/>
              <w:jc w:val="left"/>
            </w:pPr>
            <w:r>
              <w:rPr>
                <w:rFonts w:ascii="Times New Roman" w:hAnsi="Times New Roman" w:eastAsia="Times New Roman" w:cs="Times New Roman"/>
                <w:sz w:val="20"/>
                <w:szCs w:val="20"/>
              </w:rPr>
              <w:t>La bodega de datos consume el flujo completo de eventos, alimentando los informes de gestión, la reportería regulatoria y el reentrenamiento de los modelos de riesgo.</w:t>
            </w:r>
          </w:p>
        </w:tc>
      </w:tr>
    </w:tbl>
    <w:p w14:paraId="1B4E6329">
      <w:pPr>
        <w:spacing w:after="160"/>
      </w:pPr>
    </w:p>
    <w:p w14:paraId="54F7317E">
      <w:pPr>
        <w:spacing w:after="160" w:line="300" w:lineRule="auto"/>
        <w:jc w:val="both"/>
      </w:pPr>
      <w:r>
        <w:rPr>
          <w:rFonts w:ascii="Times New Roman" w:hAnsi="Times New Roman" w:eastAsia="Times New Roman" w:cs="Times New Roman"/>
          <w:b/>
          <w:bCs/>
          <w:sz w:val="22"/>
          <w:szCs w:val="22"/>
        </w:rPr>
        <w:t xml:space="preserve">Observación relevante. </w:t>
      </w:r>
      <w:r>
        <w:rPr>
          <w:rFonts w:ascii="Times New Roman" w:hAnsi="Times New Roman" w:eastAsia="Times New Roman" w:cs="Times New Roman"/>
          <w:sz w:val="22"/>
          <w:szCs w:val="22"/>
        </w:rPr>
        <w:t>En este flujo el sistema contable deja de ser un destino final al que se le cargan archivos periódicamente y pasa a ser un suscriptor más del bus de eventos. Esta es la transformación que resuelve simultáneamente tres de las seis problemáticas reportadas: elimina la duplicación de datos del cliente en contabilidad, suprime los errores derivados de las cargas manuales y elimina el desfase temporal entre la operación y su registro.</w:t>
      </w:r>
    </w:p>
    <w:p w14:paraId="6FC01B1F">
      <w:pPr>
        <w:pStyle w:val="2"/>
        <w:keepNext/>
        <w:spacing w:before="320" w:after="180"/>
      </w:pPr>
      <w:r>
        <w:rPr>
          <w:rFonts w:ascii="Times New Roman" w:hAnsi="Times New Roman" w:eastAsia="Times New Roman" w:cs="Times New Roman"/>
          <w:b/>
          <w:bCs/>
          <w:color w:val="000000"/>
          <w:sz w:val="26"/>
          <w:szCs w:val="26"/>
        </w:rPr>
        <w:t>8. Hoja de Ruta de Implementación</w:t>
      </w:r>
    </w:p>
    <w:p w14:paraId="7A161CCB">
      <w:pPr>
        <w:spacing w:after="160" w:line="300" w:lineRule="auto"/>
        <w:jc w:val="both"/>
      </w:pPr>
      <w:r>
        <w:rPr>
          <w:rFonts w:ascii="Times New Roman" w:hAnsi="Times New Roman" w:eastAsia="Times New Roman" w:cs="Times New Roman"/>
          <w:sz w:val="22"/>
          <w:szCs w:val="22"/>
        </w:rPr>
        <w:t>Una transformación de este alcance no se ejecuta mediante el reemplazo simultáneo de los cinco sistemas. Se propone una implementación en cinco fases, ordenadas de modo que cada una entregue valor verificable y reduzca el riesgo de la siguiente. Los tiempos son estimaciones referenciales que deberán ajustarse a la capacidad real del equipo.</w:t>
      </w:r>
    </w:p>
    <w:p w14:paraId="5D865F4E">
      <w:pPr>
        <w:spacing w:after="1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900"/>
        <w:gridCol w:w="3300"/>
        <w:gridCol w:w="2900"/>
      </w:tblGrid>
      <w:tr w14:paraId="2B027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D9D9D9"/>
            <w:tcMar>
              <w:top w:w="80" w:type="dxa"/>
              <w:left w:w="110" w:type="dxa"/>
              <w:bottom w:w="80" w:type="dxa"/>
              <w:right w:w="110" w:type="dxa"/>
            </w:tcMar>
          </w:tcPr>
          <w:p w14:paraId="7D3E8DC8">
            <w:pPr>
              <w:spacing w:after="0" w:line="260" w:lineRule="auto"/>
              <w:jc w:val="left"/>
            </w:pPr>
            <w:r>
              <w:rPr>
                <w:rFonts w:ascii="Times New Roman" w:hAnsi="Times New Roman" w:eastAsia="Times New Roman" w:cs="Times New Roman"/>
                <w:b/>
                <w:bCs/>
                <w:sz w:val="20"/>
                <w:szCs w:val="20"/>
              </w:rPr>
              <w:t>Fase</w:t>
            </w:r>
          </w:p>
        </w:tc>
        <w:tc>
          <w:tcPr>
            <w:tcW w:w="1900" w:type="dxa"/>
            <w:shd w:val="clear" w:color="auto" w:fill="D9D9D9"/>
            <w:tcMar>
              <w:top w:w="80" w:type="dxa"/>
              <w:left w:w="110" w:type="dxa"/>
              <w:bottom w:w="80" w:type="dxa"/>
              <w:right w:w="110" w:type="dxa"/>
            </w:tcMar>
          </w:tcPr>
          <w:p w14:paraId="26873A0A">
            <w:pPr>
              <w:spacing w:after="0" w:line="260" w:lineRule="auto"/>
              <w:jc w:val="left"/>
            </w:pPr>
            <w:r>
              <w:rPr>
                <w:rFonts w:ascii="Times New Roman" w:hAnsi="Times New Roman" w:eastAsia="Times New Roman" w:cs="Times New Roman"/>
                <w:b/>
                <w:bCs/>
                <w:sz w:val="20"/>
                <w:szCs w:val="20"/>
              </w:rPr>
              <w:t>Duración estimada</w:t>
            </w:r>
          </w:p>
        </w:tc>
        <w:tc>
          <w:tcPr>
            <w:tcW w:w="3300" w:type="dxa"/>
            <w:shd w:val="clear" w:color="auto" w:fill="D9D9D9"/>
            <w:tcMar>
              <w:top w:w="80" w:type="dxa"/>
              <w:left w:w="110" w:type="dxa"/>
              <w:bottom w:w="80" w:type="dxa"/>
              <w:right w:w="110" w:type="dxa"/>
            </w:tcMar>
          </w:tcPr>
          <w:p w14:paraId="6F0BAC41">
            <w:pPr>
              <w:spacing w:after="0" w:line="260" w:lineRule="auto"/>
              <w:jc w:val="left"/>
            </w:pPr>
            <w:r>
              <w:rPr>
                <w:rFonts w:ascii="Times New Roman" w:hAnsi="Times New Roman" w:eastAsia="Times New Roman" w:cs="Times New Roman"/>
                <w:b/>
                <w:bCs/>
                <w:sz w:val="20"/>
                <w:szCs w:val="20"/>
              </w:rPr>
              <w:t>Alcance</w:t>
            </w:r>
          </w:p>
        </w:tc>
        <w:tc>
          <w:tcPr>
            <w:tcW w:w="2900" w:type="dxa"/>
            <w:shd w:val="clear" w:color="auto" w:fill="D9D9D9"/>
            <w:tcMar>
              <w:top w:w="80" w:type="dxa"/>
              <w:left w:w="110" w:type="dxa"/>
              <w:bottom w:w="80" w:type="dxa"/>
              <w:right w:w="110" w:type="dxa"/>
            </w:tcMar>
          </w:tcPr>
          <w:p w14:paraId="22691DA5">
            <w:pPr>
              <w:spacing w:after="0" w:line="260" w:lineRule="auto"/>
              <w:jc w:val="left"/>
            </w:pPr>
            <w:r>
              <w:rPr>
                <w:rFonts w:ascii="Times New Roman" w:hAnsi="Times New Roman" w:eastAsia="Times New Roman" w:cs="Times New Roman"/>
                <w:b/>
                <w:bCs/>
                <w:sz w:val="20"/>
                <w:szCs w:val="20"/>
              </w:rPr>
              <w:t>Resultado esperado</w:t>
            </w:r>
          </w:p>
        </w:tc>
      </w:tr>
      <w:tr w14:paraId="21ACA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10" w:type="dxa"/>
              <w:bottom w:w="80" w:type="dxa"/>
              <w:right w:w="110" w:type="dxa"/>
            </w:tcMar>
          </w:tcPr>
          <w:p w14:paraId="250280A0">
            <w:pPr>
              <w:spacing w:after="0" w:line="260" w:lineRule="auto"/>
              <w:jc w:val="left"/>
            </w:pPr>
            <w:r>
              <w:rPr>
                <w:rFonts w:ascii="Times New Roman" w:hAnsi="Times New Roman" w:eastAsia="Times New Roman" w:cs="Times New Roman"/>
                <w:sz w:val="20"/>
                <w:szCs w:val="20"/>
              </w:rPr>
              <w:t>1</w:t>
            </w:r>
          </w:p>
        </w:tc>
        <w:tc>
          <w:tcPr>
            <w:tcW w:w="1900" w:type="dxa"/>
            <w:tcMar>
              <w:top w:w="80" w:type="dxa"/>
              <w:left w:w="110" w:type="dxa"/>
              <w:bottom w:w="80" w:type="dxa"/>
              <w:right w:w="110" w:type="dxa"/>
            </w:tcMar>
          </w:tcPr>
          <w:p w14:paraId="1BCFA613">
            <w:pPr>
              <w:spacing w:after="0" w:line="260" w:lineRule="auto"/>
              <w:jc w:val="left"/>
            </w:pPr>
            <w:r>
              <w:rPr>
                <w:rFonts w:ascii="Times New Roman" w:hAnsi="Times New Roman" w:eastAsia="Times New Roman" w:cs="Times New Roman"/>
                <w:sz w:val="20"/>
                <w:szCs w:val="20"/>
              </w:rPr>
              <w:t>2 a 3 meses</w:t>
            </w:r>
          </w:p>
        </w:tc>
        <w:tc>
          <w:tcPr>
            <w:tcW w:w="3300" w:type="dxa"/>
            <w:tcMar>
              <w:top w:w="80" w:type="dxa"/>
              <w:left w:w="110" w:type="dxa"/>
              <w:bottom w:w="80" w:type="dxa"/>
              <w:right w:w="110" w:type="dxa"/>
            </w:tcMar>
          </w:tcPr>
          <w:p w14:paraId="36238DE2">
            <w:pPr>
              <w:spacing w:after="0" w:line="260" w:lineRule="auto"/>
              <w:jc w:val="left"/>
            </w:pPr>
            <w:r>
              <w:rPr>
                <w:rFonts w:ascii="Times New Roman" w:hAnsi="Times New Roman" w:eastAsia="Times New Roman" w:cs="Times New Roman"/>
                <w:sz w:val="20"/>
                <w:szCs w:val="20"/>
              </w:rPr>
              <w:t>Gobierno y fundamentos: comité de arquitectura, principios, inventario de sistemas y datos, definición del modelo de dominios y dueños de datos.</w:t>
            </w:r>
          </w:p>
        </w:tc>
        <w:tc>
          <w:tcPr>
            <w:tcW w:w="2900" w:type="dxa"/>
            <w:tcMar>
              <w:top w:w="80" w:type="dxa"/>
              <w:left w:w="110" w:type="dxa"/>
              <w:bottom w:w="80" w:type="dxa"/>
              <w:right w:w="110" w:type="dxa"/>
            </w:tcMar>
          </w:tcPr>
          <w:p w14:paraId="7FBC7B3E">
            <w:pPr>
              <w:spacing w:after="0" w:line="260" w:lineRule="auto"/>
              <w:jc w:val="left"/>
            </w:pPr>
            <w:r>
              <w:rPr>
                <w:rFonts w:ascii="Times New Roman" w:hAnsi="Times New Roman" w:eastAsia="Times New Roman" w:cs="Times New Roman"/>
                <w:sz w:val="20"/>
                <w:szCs w:val="20"/>
              </w:rPr>
              <w:t>Documento de arquitectura aprobado y decisiones de propiedad del dato formalizadas.</w:t>
            </w:r>
          </w:p>
        </w:tc>
      </w:tr>
      <w:tr w14:paraId="18278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10" w:type="dxa"/>
              <w:bottom w:w="80" w:type="dxa"/>
              <w:right w:w="110" w:type="dxa"/>
            </w:tcMar>
          </w:tcPr>
          <w:p w14:paraId="2B54BD9C">
            <w:pPr>
              <w:spacing w:after="0" w:line="260" w:lineRule="auto"/>
              <w:jc w:val="left"/>
            </w:pPr>
            <w:r>
              <w:rPr>
                <w:rFonts w:ascii="Times New Roman" w:hAnsi="Times New Roman" w:eastAsia="Times New Roman" w:cs="Times New Roman"/>
                <w:sz w:val="20"/>
                <w:szCs w:val="20"/>
              </w:rPr>
              <w:t>2</w:t>
            </w:r>
          </w:p>
        </w:tc>
        <w:tc>
          <w:tcPr>
            <w:tcW w:w="1900" w:type="dxa"/>
            <w:tcMar>
              <w:top w:w="80" w:type="dxa"/>
              <w:left w:w="110" w:type="dxa"/>
              <w:bottom w:w="80" w:type="dxa"/>
              <w:right w:w="110" w:type="dxa"/>
            </w:tcMar>
          </w:tcPr>
          <w:p w14:paraId="08911A52">
            <w:pPr>
              <w:spacing w:after="0" w:line="260" w:lineRule="auto"/>
              <w:jc w:val="left"/>
            </w:pPr>
            <w:r>
              <w:rPr>
                <w:rFonts w:ascii="Times New Roman" w:hAnsi="Times New Roman" w:eastAsia="Times New Roman" w:cs="Times New Roman"/>
                <w:sz w:val="20"/>
                <w:szCs w:val="20"/>
              </w:rPr>
              <w:t>3 a 4 meses</w:t>
            </w:r>
          </w:p>
        </w:tc>
        <w:tc>
          <w:tcPr>
            <w:tcW w:w="3300" w:type="dxa"/>
            <w:tcMar>
              <w:top w:w="80" w:type="dxa"/>
              <w:left w:w="110" w:type="dxa"/>
              <w:bottom w:w="80" w:type="dxa"/>
              <w:right w:w="110" w:type="dxa"/>
            </w:tcMar>
          </w:tcPr>
          <w:p w14:paraId="4A27083E">
            <w:pPr>
              <w:spacing w:after="0" w:line="260" w:lineRule="auto"/>
              <w:jc w:val="left"/>
            </w:pPr>
            <w:r>
              <w:rPr>
                <w:rFonts w:ascii="Times New Roman" w:hAnsi="Times New Roman" w:eastAsia="Times New Roman" w:cs="Times New Roman"/>
                <w:sz w:val="20"/>
                <w:szCs w:val="20"/>
              </w:rPr>
              <w:t>Identidad y seguridad: proveedor de identidad centralizado, API Gateway e integración de ambos canales al inicio de sesión único.</w:t>
            </w:r>
          </w:p>
        </w:tc>
        <w:tc>
          <w:tcPr>
            <w:tcW w:w="2900" w:type="dxa"/>
            <w:tcMar>
              <w:top w:w="80" w:type="dxa"/>
              <w:left w:w="110" w:type="dxa"/>
              <w:bottom w:w="80" w:type="dxa"/>
              <w:right w:w="110" w:type="dxa"/>
            </w:tcMar>
          </w:tcPr>
          <w:p w14:paraId="184D834A">
            <w:pPr>
              <w:spacing w:after="0" w:line="260" w:lineRule="auto"/>
              <w:jc w:val="left"/>
            </w:pPr>
            <w:r>
              <w:rPr>
                <w:rFonts w:ascii="Times New Roman" w:hAnsi="Times New Roman" w:eastAsia="Times New Roman" w:cs="Times New Roman"/>
                <w:sz w:val="20"/>
                <w:szCs w:val="20"/>
              </w:rPr>
              <w:t>Se resuelve la seguridad fragmentada. El cliente autentica una sola vez para todos los canales.</w:t>
            </w:r>
          </w:p>
        </w:tc>
      </w:tr>
      <w:tr w14:paraId="53AAF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10" w:type="dxa"/>
              <w:bottom w:w="80" w:type="dxa"/>
              <w:right w:w="110" w:type="dxa"/>
            </w:tcMar>
          </w:tcPr>
          <w:p w14:paraId="1DB6DC0C">
            <w:pPr>
              <w:spacing w:after="0" w:line="260" w:lineRule="auto"/>
              <w:jc w:val="left"/>
            </w:pPr>
            <w:r>
              <w:rPr>
                <w:rFonts w:ascii="Times New Roman" w:hAnsi="Times New Roman" w:eastAsia="Times New Roman" w:cs="Times New Roman"/>
                <w:sz w:val="20"/>
                <w:szCs w:val="20"/>
              </w:rPr>
              <w:t>3</w:t>
            </w:r>
          </w:p>
        </w:tc>
        <w:tc>
          <w:tcPr>
            <w:tcW w:w="1900" w:type="dxa"/>
            <w:tcMar>
              <w:top w:w="80" w:type="dxa"/>
              <w:left w:w="110" w:type="dxa"/>
              <w:bottom w:w="80" w:type="dxa"/>
              <w:right w:w="110" w:type="dxa"/>
            </w:tcMar>
          </w:tcPr>
          <w:p w14:paraId="3F16F6C4">
            <w:pPr>
              <w:spacing w:after="0" w:line="260" w:lineRule="auto"/>
              <w:jc w:val="left"/>
            </w:pPr>
            <w:r>
              <w:rPr>
                <w:rFonts w:ascii="Times New Roman" w:hAnsi="Times New Roman" w:eastAsia="Times New Roman" w:cs="Times New Roman"/>
                <w:sz w:val="20"/>
                <w:szCs w:val="20"/>
              </w:rPr>
              <w:t>4 a 6 meses</w:t>
            </w:r>
          </w:p>
        </w:tc>
        <w:tc>
          <w:tcPr>
            <w:tcW w:w="3300" w:type="dxa"/>
            <w:tcMar>
              <w:top w:w="80" w:type="dxa"/>
              <w:left w:w="110" w:type="dxa"/>
              <w:bottom w:w="80" w:type="dxa"/>
              <w:right w:w="110" w:type="dxa"/>
            </w:tcMar>
          </w:tcPr>
          <w:p w14:paraId="5426DEAA">
            <w:pPr>
              <w:spacing w:after="0" w:line="260" w:lineRule="auto"/>
              <w:jc w:val="left"/>
            </w:pPr>
            <w:r>
              <w:rPr>
                <w:rFonts w:ascii="Times New Roman" w:hAnsi="Times New Roman" w:eastAsia="Times New Roman" w:cs="Times New Roman"/>
                <w:sz w:val="20"/>
                <w:szCs w:val="20"/>
              </w:rPr>
              <w:t>Unificación del cliente: servicio de Clientes como fuente única, deduplicación mediante MDM y encapsulamiento de los sistemas legados con APIs.</w:t>
            </w:r>
          </w:p>
        </w:tc>
        <w:tc>
          <w:tcPr>
            <w:tcW w:w="2900" w:type="dxa"/>
            <w:tcMar>
              <w:top w:w="80" w:type="dxa"/>
              <w:left w:w="110" w:type="dxa"/>
              <w:bottom w:w="80" w:type="dxa"/>
              <w:right w:w="110" w:type="dxa"/>
            </w:tcMar>
          </w:tcPr>
          <w:p w14:paraId="2BDF6FD3">
            <w:pPr>
              <w:spacing w:after="0" w:line="260" w:lineRule="auto"/>
              <w:jc w:val="left"/>
            </w:pPr>
            <w:r>
              <w:rPr>
                <w:rFonts w:ascii="Times New Roman" w:hAnsi="Times New Roman" w:eastAsia="Times New Roman" w:cs="Times New Roman"/>
                <w:sz w:val="20"/>
                <w:szCs w:val="20"/>
              </w:rPr>
              <w:t>Se elimina la duplicación y disminuyen los errores de datos. Existe una sola versión del cliente.</w:t>
            </w:r>
          </w:p>
        </w:tc>
      </w:tr>
      <w:tr w14:paraId="0C395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10" w:type="dxa"/>
              <w:bottom w:w="80" w:type="dxa"/>
              <w:right w:w="110" w:type="dxa"/>
            </w:tcMar>
          </w:tcPr>
          <w:p w14:paraId="286ECCEB">
            <w:pPr>
              <w:spacing w:after="0" w:line="260" w:lineRule="auto"/>
              <w:jc w:val="left"/>
            </w:pPr>
            <w:r>
              <w:rPr>
                <w:rFonts w:ascii="Times New Roman" w:hAnsi="Times New Roman" w:eastAsia="Times New Roman" w:cs="Times New Roman"/>
                <w:sz w:val="20"/>
                <w:szCs w:val="20"/>
              </w:rPr>
              <w:t>4</w:t>
            </w:r>
          </w:p>
        </w:tc>
        <w:tc>
          <w:tcPr>
            <w:tcW w:w="1900" w:type="dxa"/>
            <w:tcMar>
              <w:top w:w="80" w:type="dxa"/>
              <w:left w:w="110" w:type="dxa"/>
              <w:bottom w:w="80" w:type="dxa"/>
              <w:right w:w="110" w:type="dxa"/>
            </w:tcMar>
          </w:tcPr>
          <w:p w14:paraId="7104EC15">
            <w:pPr>
              <w:spacing w:after="0" w:line="260" w:lineRule="auto"/>
              <w:jc w:val="left"/>
            </w:pPr>
            <w:r>
              <w:rPr>
                <w:rFonts w:ascii="Times New Roman" w:hAnsi="Times New Roman" w:eastAsia="Times New Roman" w:cs="Times New Roman"/>
                <w:sz w:val="20"/>
                <w:szCs w:val="20"/>
              </w:rPr>
              <w:t>4 a 6 meses</w:t>
            </w:r>
          </w:p>
        </w:tc>
        <w:tc>
          <w:tcPr>
            <w:tcW w:w="3300" w:type="dxa"/>
            <w:tcMar>
              <w:top w:w="80" w:type="dxa"/>
              <w:left w:w="110" w:type="dxa"/>
              <w:bottom w:w="80" w:type="dxa"/>
              <w:right w:w="110" w:type="dxa"/>
            </w:tcMar>
          </w:tcPr>
          <w:p w14:paraId="4D9B9E90">
            <w:pPr>
              <w:spacing w:after="0" w:line="260" w:lineRule="auto"/>
              <w:jc w:val="left"/>
            </w:pPr>
            <w:r>
              <w:rPr>
                <w:rFonts w:ascii="Times New Roman" w:hAnsi="Times New Roman" w:eastAsia="Times New Roman" w:cs="Times New Roman"/>
                <w:sz w:val="20"/>
                <w:szCs w:val="20"/>
              </w:rPr>
              <w:t>Integración por eventos: bus de eventos, servicios de Créditos, Evaluación y Desembolso, y suscripción automática de Contabilidad.</w:t>
            </w:r>
          </w:p>
        </w:tc>
        <w:tc>
          <w:tcPr>
            <w:tcW w:w="2900" w:type="dxa"/>
            <w:tcMar>
              <w:top w:w="80" w:type="dxa"/>
              <w:left w:w="110" w:type="dxa"/>
              <w:bottom w:w="80" w:type="dxa"/>
              <w:right w:w="110" w:type="dxa"/>
            </w:tcMar>
          </w:tcPr>
          <w:p w14:paraId="2B560C46">
            <w:pPr>
              <w:spacing w:after="0" w:line="260" w:lineRule="auto"/>
              <w:jc w:val="left"/>
            </w:pPr>
            <w:r>
              <w:rPr>
                <w:rFonts w:ascii="Times New Roman" w:hAnsi="Times New Roman" w:eastAsia="Times New Roman" w:cs="Times New Roman"/>
                <w:sz w:val="20"/>
                <w:szCs w:val="20"/>
              </w:rPr>
              <w:t>El proceso de originación opera de extremo a extremo sin conciliación manual.</w:t>
            </w:r>
          </w:p>
        </w:tc>
      </w:tr>
      <w:tr w14:paraId="48B6A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10" w:type="dxa"/>
              <w:bottom w:w="80" w:type="dxa"/>
              <w:right w:w="110" w:type="dxa"/>
            </w:tcMar>
          </w:tcPr>
          <w:p w14:paraId="2E7C4041">
            <w:pPr>
              <w:spacing w:after="0" w:line="260" w:lineRule="auto"/>
              <w:jc w:val="left"/>
            </w:pPr>
            <w:r>
              <w:rPr>
                <w:rFonts w:ascii="Times New Roman" w:hAnsi="Times New Roman" w:eastAsia="Times New Roman" w:cs="Times New Roman"/>
                <w:sz w:val="20"/>
                <w:szCs w:val="20"/>
              </w:rPr>
              <w:t>5</w:t>
            </w:r>
          </w:p>
        </w:tc>
        <w:tc>
          <w:tcPr>
            <w:tcW w:w="1900" w:type="dxa"/>
            <w:tcMar>
              <w:top w:w="80" w:type="dxa"/>
              <w:left w:w="110" w:type="dxa"/>
              <w:bottom w:w="80" w:type="dxa"/>
              <w:right w:w="110" w:type="dxa"/>
            </w:tcMar>
          </w:tcPr>
          <w:p w14:paraId="2692569F">
            <w:pPr>
              <w:spacing w:after="0" w:line="260" w:lineRule="auto"/>
              <w:jc w:val="left"/>
            </w:pPr>
            <w:r>
              <w:rPr>
                <w:rFonts w:ascii="Times New Roman" w:hAnsi="Times New Roman" w:eastAsia="Times New Roman" w:cs="Times New Roman"/>
                <w:sz w:val="20"/>
                <w:szCs w:val="20"/>
              </w:rPr>
              <w:t>3 a 4 meses</w:t>
            </w:r>
          </w:p>
        </w:tc>
        <w:tc>
          <w:tcPr>
            <w:tcW w:w="3300" w:type="dxa"/>
            <w:tcMar>
              <w:top w:w="80" w:type="dxa"/>
              <w:left w:w="110" w:type="dxa"/>
              <w:bottom w:w="80" w:type="dxa"/>
              <w:right w:w="110" w:type="dxa"/>
            </w:tcMar>
          </w:tcPr>
          <w:p w14:paraId="676FF9F7">
            <w:pPr>
              <w:spacing w:after="0" w:line="260" w:lineRule="auto"/>
              <w:jc w:val="left"/>
            </w:pPr>
            <w:r>
              <w:rPr>
                <w:rFonts w:ascii="Times New Roman" w:hAnsi="Times New Roman" w:eastAsia="Times New Roman" w:cs="Times New Roman"/>
                <w:sz w:val="20"/>
                <w:szCs w:val="20"/>
              </w:rPr>
              <w:t>Analítica y optimización: bodega de datos, tableros de gestión, reportería regulatoria y modelos de scoring.</w:t>
            </w:r>
          </w:p>
        </w:tc>
        <w:tc>
          <w:tcPr>
            <w:tcW w:w="2900" w:type="dxa"/>
            <w:tcMar>
              <w:top w:w="80" w:type="dxa"/>
              <w:left w:w="110" w:type="dxa"/>
              <w:bottom w:w="80" w:type="dxa"/>
              <w:right w:w="110" w:type="dxa"/>
            </w:tcMar>
          </w:tcPr>
          <w:p w14:paraId="1D20BC34">
            <w:pPr>
              <w:spacing w:after="0" w:line="260" w:lineRule="auto"/>
              <w:jc w:val="left"/>
            </w:pPr>
            <w:r>
              <w:rPr>
                <w:rFonts w:ascii="Times New Roman" w:hAnsi="Times New Roman" w:eastAsia="Times New Roman" w:cs="Times New Roman"/>
                <w:sz w:val="20"/>
                <w:szCs w:val="20"/>
              </w:rPr>
              <w:t>Se resuelve la dificultad para generar informes y se habilita la decisión automatizada.</w:t>
            </w:r>
          </w:p>
        </w:tc>
      </w:tr>
    </w:tbl>
    <w:p w14:paraId="088327B8">
      <w:pPr>
        <w:spacing w:after="160"/>
      </w:pPr>
    </w:p>
    <w:p w14:paraId="0DE1FEA5">
      <w:pPr>
        <w:spacing w:after="160" w:line="300" w:lineRule="auto"/>
        <w:jc w:val="both"/>
      </w:pPr>
      <w:r>
        <w:rPr>
          <w:rFonts w:ascii="Times New Roman" w:hAnsi="Times New Roman" w:eastAsia="Times New Roman" w:cs="Times New Roman"/>
          <w:b/>
          <w:bCs/>
          <w:sz w:val="22"/>
          <w:szCs w:val="22"/>
        </w:rPr>
        <w:t xml:space="preserve">Criterio de ordenamiento. </w:t>
      </w:r>
      <w:r>
        <w:rPr>
          <w:rFonts w:ascii="Times New Roman" w:hAnsi="Times New Roman" w:eastAsia="Times New Roman" w:cs="Times New Roman"/>
          <w:sz w:val="22"/>
          <w:szCs w:val="22"/>
        </w:rPr>
        <w:t>La secuencia no es arbitraria. La identidad se aborda primero porque es la condición habilitante de todo lo demás: sin un mecanismo unificado de autenticación no es posible exponer servicios de manera segura. La unificación del cliente antecede a la integración por eventos porque no tiene sentido propagar mediante eventos datos que aún están duplicados. La analítica se ubica al final porque requiere que el flujo de eventos ya esté operando para alimentarse de él.</w:t>
      </w:r>
    </w:p>
    <w:p w14:paraId="6293B468">
      <w:pPr>
        <w:spacing w:after="160" w:line="300" w:lineRule="auto"/>
        <w:jc w:val="both"/>
      </w:pPr>
      <w:r>
        <w:rPr>
          <w:rFonts w:ascii="Times New Roman" w:hAnsi="Times New Roman" w:eastAsia="Times New Roman" w:cs="Times New Roman"/>
          <w:sz w:val="22"/>
          <w:szCs w:val="22"/>
        </w:rPr>
        <w:t>Se recomienda además definir indicadores de seguimiento por fase, tales como el porcentaje de clientes con registro maestro único, el tiempo promedio desde la solicitud hasta el desembolso, el número de conciliaciones manuales mensuales y el porcentaje de solicitudes con decisión automática. Estos indicadores permiten demostrar el avance ante la dirección y sostener la inversión a lo largo del proyecto.</w:t>
      </w:r>
    </w:p>
    <w:p w14:paraId="7F074B96">
      <w:pPr>
        <w:pStyle w:val="2"/>
        <w:keepNext/>
        <w:spacing w:before="320" w:after="180"/>
      </w:pPr>
      <w:r>
        <w:rPr>
          <w:rFonts w:ascii="Times New Roman" w:hAnsi="Times New Roman" w:eastAsia="Times New Roman" w:cs="Times New Roman"/>
          <w:b/>
          <w:bCs/>
          <w:color w:val="000000"/>
          <w:sz w:val="26"/>
          <w:szCs w:val="26"/>
        </w:rPr>
        <w:t>9. Análisis de la Priorización entre Seguridad, Velocidad, Costo y Experiencia del Cliente</w:t>
      </w:r>
    </w:p>
    <w:p w14:paraId="308A1ED5">
      <w:pPr>
        <w:spacing w:after="160" w:line="300" w:lineRule="auto"/>
        <w:jc w:val="both"/>
      </w:pPr>
      <w:r>
        <w:rPr>
          <w:rFonts w:ascii="Times New Roman" w:hAnsi="Times New Roman" w:eastAsia="Times New Roman" w:cs="Times New Roman"/>
          <w:sz w:val="22"/>
          <w:szCs w:val="22"/>
        </w:rPr>
        <w:t>El caso plantea como pregunta de debate cuál de estos cuatro atributos debe tener mayor prioridad. El análisis realizado por el equipo concluye que la pregunta contiene un supuesto que conviene examinar: los cuatro atributos no compiten en el mismo plano jerárquico, y tratarlos como opciones excluyentes conduce a decisiones de diseño equivocadas.</w:t>
      </w:r>
    </w:p>
    <w:p w14:paraId="7A21269E">
      <w:pPr>
        <w:pStyle w:val="3"/>
        <w:keepNext/>
        <w:spacing w:before="260" w:after="140"/>
      </w:pPr>
      <w:r>
        <w:rPr>
          <w:rFonts w:ascii="Times New Roman" w:hAnsi="Times New Roman" w:eastAsia="Times New Roman" w:cs="Times New Roman"/>
          <w:b/>
          <w:bCs/>
          <w:color w:val="000000"/>
          <w:sz w:val="24"/>
          <w:szCs w:val="24"/>
        </w:rPr>
        <w:t>9.1. La seguridad como requisito habilitante</w:t>
      </w:r>
    </w:p>
    <w:p w14:paraId="02E772D2">
      <w:pPr>
        <w:spacing w:after="160" w:line="300" w:lineRule="auto"/>
        <w:jc w:val="both"/>
      </w:pPr>
      <w:r>
        <w:rPr>
          <w:rFonts w:ascii="Times New Roman" w:hAnsi="Times New Roman" w:eastAsia="Times New Roman" w:cs="Times New Roman"/>
          <w:sz w:val="22"/>
          <w:szCs w:val="22"/>
        </w:rPr>
        <w:t>En una entidad vigilada del sector financiero la seguridad no constituye una prioridad que pueda ponderarse frente a otras: es una condición de entrada. Una entidad financiera sin controles de seguridad adecuados no resulta simplemente más lenta o más costosa, sino que queda expuesta a la suspensión de sus operaciones por parte del supervisor y a la pérdida irreversible de la confianza de sus clientes. Situarla a competir con la velocidad constituye un error de categoría: la seguridad se cumple, y a partir de ese cumplimiento se optimiza lo demás.</w:t>
      </w:r>
    </w:p>
    <w:p w14:paraId="1AF5B116">
      <w:pPr>
        <w:pStyle w:val="3"/>
        <w:keepNext/>
        <w:spacing w:before="260" w:after="140"/>
      </w:pPr>
      <w:r>
        <w:rPr>
          <w:rFonts w:ascii="Times New Roman" w:hAnsi="Times New Roman" w:eastAsia="Times New Roman" w:cs="Times New Roman"/>
          <w:b/>
          <w:bCs/>
          <w:color w:val="000000"/>
          <w:sz w:val="24"/>
          <w:szCs w:val="24"/>
        </w:rPr>
        <w:t>9.2. La experiencia del cliente como prioridad estratégica</w:t>
      </w:r>
    </w:p>
    <w:p w14:paraId="6A68DBF9">
      <w:pPr>
        <w:spacing w:after="160" w:line="300" w:lineRule="auto"/>
        <w:jc w:val="both"/>
      </w:pPr>
      <w:r>
        <w:rPr>
          <w:rFonts w:ascii="Times New Roman" w:hAnsi="Times New Roman" w:eastAsia="Times New Roman" w:cs="Times New Roman"/>
          <w:sz w:val="22"/>
          <w:szCs w:val="22"/>
        </w:rPr>
        <w:t>Entre los tres atributos restantes, la experiencia del cliente constituye la prioridad estratégica, por ser el único que genera ingresos de manera directa. Adicionalmente, en el negocio del crédito digital la experiencia y la velocidad no son atributos separados: la velocidad es un componente de la experiencia. Un cliente que debe esperar varios días por una respuesta migrará hacia el competidor que responda en minutos, con independencia de cuán agradable resulte la interfaz de la aplicación. Por esta razón la velocidad se considera aquí la métrica que hace medible la experiencia, y no una alternativa a ella.</w:t>
      </w:r>
    </w:p>
    <w:p w14:paraId="7986CE99">
      <w:pPr>
        <w:pStyle w:val="3"/>
        <w:keepNext/>
        <w:spacing w:before="260" w:after="140"/>
      </w:pPr>
      <w:r>
        <w:rPr>
          <w:rFonts w:ascii="Times New Roman" w:hAnsi="Times New Roman" w:eastAsia="Times New Roman" w:cs="Times New Roman"/>
          <w:b/>
          <w:bCs/>
          <w:color w:val="000000"/>
          <w:sz w:val="24"/>
          <w:szCs w:val="24"/>
        </w:rPr>
        <w:t>9.3. El costo como restricción</w:t>
      </w:r>
    </w:p>
    <w:p w14:paraId="3C3FCB3F">
      <w:pPr>
        <w:spacing w:after="160" w:line="300" w:lineRule="auto"/>
        <w:jc w:val="both"/>
      </w:pPr>
      <w:r>
        <w:rPr>
          <w:rFonts w:ascii="Times New Roman" w:hAnsi="Times New Roman" w:eastAsia="Times New Roman" w:cs="Times New Roman"/>
          <w:sz w:val="22"/>
          <w:szCs w:val="22"/>
        </w:rPr>
        <w:t>El costo constituye una restricción del proyecto, no un objetivo de la arquitectura: determina cuánto puede construirse y en qué plazo, pero no qué debe priorizarse. Conviene además señalar que FinanTech ya está incurriendo hoy en el costo de una arquitectura deficiente, aunque no aparezca registrado como tal: horas de conciliación manual, errores que requieren corrección, retrabajo, pérdida de solicitudes por lentitud del proceso y clientes que migran hacia la competencia. La comparación pertinente no es entre el costo de la transformación y cero, sino entre el costo de la transformación y el costo de mantener el estado actual.</w:t>
      </w:r>
    </w:p>
    <w:p w14:paraId="0D8D3C26">
      <w:pPr>
        <w:pStyle w:val="3"/>
        <w:keepNext/>
        <w:spacing w:before="260" w:after="140"/>
      </w:pPr>
      <w:r>
        <w:rPr>
          <w:rFonts w:ascii="Times New Roman" w:hAnsi="Times New Roman" w:eastAsia="Times New Roman" w:cs="Times New Roman"/>
          <w:b/>
          <w:bCs/>
          <w:color w:val="000000"/>
          <w:sz w:val="24"/>
          <w:szCs w:val="24"/>
        </w:rPr>
        <w:t>9.4. Formulación propuesta</w:t>
      </w:r>
    </w:p>
    <w:p w14:paraId="15C3F344">
      <w:pPr>
        <w:spacing w:after="160" w:line="300" w:lineRule="auto"/>
        <w:jc w:val="both"/>
      </w:pPr>
      <w:r>
        <w:rPr>
          <w:rFonts w:ascii="Times New Roman" w:hAnsi="Times New Roman" w:eastAsia="Times New Roman" w:cs="Times New Roman"/>
          <w:b/>
          <w:bCs/>
          <w:sz w:val="22"/>
          <w:szCs w:val="22"/>
        </w:rPr>
        <w:t>La seguridad opera como piso no negociable; la experiencia del cliente como norte estratégico; la velocidad como la métrica que hace medible esa experiencia; y el costo como el marco dentro del cual se ejecuta la transformación.</w:t>
      </w:r>
    </w:p>
    <w:p w14:paraId="722150BB">
      <w:pPr>
        <w:pStyle w:val="3"/>
        <w:keepNext/>
        <w:spacing w:before="260" w:after="140"/>
      </w:pPr>
      <w:r>
        <w:rPr>
          <w:rFonts w:ascii="Times New Roman" w:hAnsi="Times New Roman" w:eastAsia="Times New Roman" w:cs="Times New Roman"/>
          <w:b/>
          <w:bCs/>
          <w:color w:val="000000"/>
          <w:sz w:val="24"/>
          <w:szCs w:val="24"/>
        </w:rPr>
        <w:t>9.5. Contraargumento y su tratamiento</w:t>
      </w:r>
    </w:p>
    <w:p w14:paraId="63857A6E">
      <w:pPr>
        <w:spacing w:after="160" w:line="300" w:lineRule="auto"/>
        <w:jc w:val="both"/>
      </w:pPr>
      <w:r>
        <w:rPr>
          <w:rFonts w:ascii="Times New Roman" w:hAnsi="Times New Roman" w:eastAsia="Times New Roman" w:cs="Times New Roman"/>
          <w:sz w:val="22"/>
          <w:szCs w:val="22"/>
        </w:rPr>
        <w:t>Debe reconocerse que en la práctica sí existen situaciones de compromiso real entre estos atributos. El caso más frecuente en el sector es la fricción del proceso de vinculación: un mayor número de validaciones incrementa la seguridad y reduce el fraude, pero también eleva la tasa de abandono de los clientes durante el registro. Una postura que se limite a afirmar que la seguridad siempre prevalece produciría un proceso de vinculación que ningún cliente completaría.</w:t>
      </w:r>
    </w:p>
    <w:p w14:paraId="54EE07BB">
      <w:pPr>
        <w:spacing w:after="160" w:line="300" w:lineRule="auto"/>
        <w:jc w:val="both"/>
      </w:pPr>
      <w:r>
        <w:rPr>
          <w:rFonts w:ascii="Times New Roman" w:hAnsi="Times New Roman" w:eastAsia="Times New Roman" w:cs="Times New Roman"/>
          <w:sz w:val="22"/>
          <w:szCs w:val="22"/>
        </w:rPr>
        <w:t>La respuesta arquitectónica a este dilema no consiste en escoger un atributo sobre el otro, sino en aplicar seguridad adaptativa: calibrar la intensidad del control en función del riesgo de cada operación. Una solicitud de crédito por un monto reducido, proveniente de un cliente con historial en la entidad y desde un dispositivo reconocido, puede atravesar una validación mínima; una solicitud por un monto elevado, de un cliente nuevo y desde un dispositivo no reconocido, exige verificación biométrica completa y controles reforzados. De este modo el sistema no aplica el mismo nivel de fricción a todos los casos, y ambos atributos se satisfacen simultáneamente en función del riesgo real.</w:t>
      </w:r>
    </w:p>
    <w:p w14:paraId="013466A2">
      <w:pPr>
        <w:pStyle w:val="2"/>
        <w:keepNext/>
        <w:spacing w:before="320" w:after="180"/>
      </w:pPr>
      <w:r>
        <w:rPr>
          <w:rFonts w:ascii="Times New Roman" w:hAnsi="Times New Roman" w:eastAsia="Times New Roman" w:cs="Times New Roman"/>
          <w:b/>
          <w:bCs/>
          <w:color w:val="000000"/>
          <w:sz w:val="26"/>
          <w:szCs w:val="26"/>
        </w:rPr>
        <w:t>10. Generación de Valor de la Arquitectura Propuesta</w:t>
      </w:r>
    </w:p>
    <w:p w14:paraId="3A6AE924">
      <w:pPr>
        <w:spacing w:after="160" w:line="300" w:lineRule="auto"/>
        <w:jc w:val="both"/>
      </w:pPr>
      <w:r>
        <w:rPr>
          <w:rFonts w:ascii="Times New Roman" w:hAnsi="Times New Roman" w:eastAsia="Times New Roman" w:cs="Times New Roman"/>
          <w:sz w:val="22"/>
          <w:szCs w:val="22"/>
        </w:rPr>
        <w:t>La implementación de una arquitectura empresarial aporta beneficios que no son exclusivamente tecnológicos, sino también de negocio, y permite articular ambos componentes para potenciar el enfoque de la organización a nivel interno y externo [1]. La siguiente tabla relaciona cada problemática reportada por FinanTech con el componente arquitectónico que la resuelve y el valor esperado.</w:t>
      </w:r>
    </w:p>
    <w:p w14:paraId="665A12DD">
      <w:pPr>
        <w:spacing w:after="1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300"/>
        <w:gridCol w:w="3300"/>
      </w:tblGrid>
      <w:tr w14:paraId="2810E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D9D9"/>
            <w:tcMar>
              <w:top w:w="80" w:type="dxa"/>
              <w:left w:w="110" w:type="dxa"/>
              <w:bottom w:w="80" w:type="dxa"/>
              <w:right w:w="110" w:type="dxa"/>
            </w:tcMar>
          </w:tcPr>
          <w:p w14:paraId="611A9495">
            <w:pPr>
              <w:spacing w:after="0" w:line="260" w:lineRule="auto"/>
              <w:jc w:val="left"/>
            </w:pPr>
            <w:r>
              <w:rPr>
                <w:rFonts w:ascii="Times New Roman" w:hAnsi="Times New Roman" w:eastAsia="Times New Roman" w:cs="Times New Roman"/>
                <w:b/>
                <w:bCs/>
                <w:sz w:val="20"/>
                <w:szCs w:val="20"/>
              </w:rPr>
              <w:t>Problemática actual</w:t>
            </w:r>
          </w:p>
        </w:tc>
        <w:tc>
          <w:tcPr>
            <w:tcW w:w="3300" w:type="dxa"/>
            <w:shd w:val="clear" w:color="auto" w:fill="D9D9D9"/>
            <w:tcMar>
              <w:top w:w="80" w:type="dxa"/>
              <w:left w:w="110" w:type="dxa"/>
              <w:bottom w:w="80" w:type="dxa"/>
              <w:right w:w="110" w:type="dxa"/>
            </w:tcMar>
          </w:tcPr>
          <w:p w14:paraId="4A4A3CFC">
            <w:pPr>
              <w:spacing w:after="0" w:line="260" w:lineRule="auto"/>
              <w:jc w:val="left"/>
            </w:pPr>
            <w:r>
              <w:rPr>
                <w:rFonts w:ascii="Times New Roman" w:hAnsi="Times New Roman" w:eastAsia="Times New Roman" w:cs="Times New Roman"/>
                <w:b/>
                <w:bCs/>
                <w:sz w:val="20"/>
                <w:szCs w:val="20"/>
              </w:rPr>
              <w:t>Componente que la resuelve</w:t>
            </w:r>
          </w:p>
        </w:tc>
        <w:tc>
          <w:tcPr>
            <w:tcW w:w="3300" w:type="dxa"/>
            <w:shd w:val="clear" w:color="auto" w:fill="D9D9D9"/>
            <w:tcMar>
              <w:top w:w="80" w:type="dxa"/>
              <w:left w:w="110" w:type="dxa"/>
              <w:bottom w:w="80" w:type="dxa"/>
              <w:right w:w="110" w:type="dxa"/>
            </w:tcMar>
          </w:tcPr>
          <w:p w14:paraId="3138389C">
            <w:pPr>
              <w:spacing w:after="0" w:line="260" w:lineRule="auto"/>
              <w:jc w:val="left"/>
            </w:pPr>
            <w:r>
              <w:rPr>
                <w:rFonts w:ascii="Times New Roman" w:hAnsi="Times New Roman" w:eastAsia="Times New Roman" w:cs="Times New Roman"/>
                <w:b/>
                <w:bCs/>
                <w:sz w:val="20"/>
                <w:szCs w:val="20"/>
              </w:rPr>
              <w:t>Valor esperado</w:t>
            </w:r>
          </w:p>
        </w:tc>
      </w:tr>
      <w:tr w14:paraId="0C25F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10" w:type="dxa"/>
              <w:bottom w:w="80" w:type="dxa"/>
              <w:right w:w="110" w:type="dxa"/>
            </w:tcMar>
          </w:tcPr>
          <w:p w14:paraId="7FDE5F84">
            <w:pPr>
              <w:spacing w:after="0" w:line="260" w:lineRule="auto"/>
              <w:jc w:val="left"/>
            </w:pPr>
            <w:r>
              <w:rPr>
                <w:rFonts w:ascii="Times New Roman" w:hAnsi="Times New Roman" w:eastAsia="Times New Roman" w:cs="Times New Roman"/>
                <w:sz w:val="20"/>
                <w:szCs w:val="20"/>
              </w:rPr>
              <w:t>Información duplicada</w:t>
            </w:r>
          </w:p>
        </w:tc>
        <w:tc>
          <w:tcPr>
            <w:tcW w:w="3300" w:type="dxa"/>
            <w:tcMar>
              <w:top w:w="80" w:type="dxa"/>
              <w:left w:w="110" w:type="dxa"/>
              <w:bottom w:w="80" w:type="dxa"/>
              <w:right w:w="110" w:type="dxa"/>
            </w:tcMar>
          </w:tcPr>
          <w:p w14:paraId="3154FEB5">
            <w:pPr>
              <w:spacing w:after="0" w:line="260" w:lineRule="auto"/>
              <w:jc w:val="left"/>
            </w:pPr>
            <w:r>
              <w:rPr>
                <w:rFonts w:ascii="Times New Roman" w:hAnsi="Times New Roman" w:eastAsia="Times New Roman" w:cs="Times New Roman"/>
                <w:sz w:val="20"/>
                <w:szCs w:val="20"/>
              </w:rPr>
              <w:t>Dueño único del dato por dominio y gestión de datos maestros.</w:t>
            </w:r>
          </w:p>
        </w:tc>
        <w:tc>
          <w:tcPr>
            <w:tcW w:w="3300" w:type="dxa"/>
            <w:tcMar>
              <w:top w:w="80" w:type="dxa"/>
              <w:left w:w="110" w:type="dxa"/>
              <w:bottom w:w="80" w:type="dxa"/>
              <w:right w:w="110" w:type="dxa"/>
            </w:tcMar>
          </w:tcPr>
          <w:p w14:paraId="702B9568">
            <w:pPr>
              <w:spacing w:after="0" w:line="260" w:lineRule="auto"/>
              <w:jc w:val="left"/>
            </w:pPr>
            <w:r>
              <w:rPr>
                <w:rFonts w:ascii="Times New Roman" w:hAnsi="Times New Roman" w:eastAsia="Times New Roman" w:cs="Times New Roman"/>
                <w:sz w:val="20"/>
                <w:szCs w:val="20"/>
              </w:rPr>
              <w:t>Una sola versión del cliente en toda la organización.</w:t>
            </w:r>
          </w:p>
        </w:tc>
      </w:tr>
      <w:tr w14:paraId="606F3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10" w:type="dxa"/>
              <w:bottom w:w="80" w:type="dxa"/>
              <w:right w:w="110" w:type="dxa"/>
            </w:tcMar>
          </w:tcPr>
          <w:p w14:paraId="141C2067">
            <w:pPr>
              <w:spacing w:after="0" w:line="260" w:lineRule="auto"/>
              <w:jc w:val="left"/>
            </w:pPr>
            <w:r>
              <w:rPr>
                <w:rFonts w:ascii="Times New Roman" w:hAnsi="Times New Roman" w:eastAsia="Times New Roman" w:cs="Times New Roman"/>
                <w:sz w:val="20"/>
                <w:szCs w:val="20"/>
              </w:rPr>
              <w:t>Errores en los datos</w:t>
            </w:r>
          </w:p>
        </w:tc>
        <w:tc>
          <w:tcPr>
            <w:tcW w:w="3300" w:type="dxa"/>
            <w:tcMar>
              <w:top w:w="80" w:type="dxa"/>
              <w:left w:w="110" w:type="dxa"/>
              <w:bottom w:w="80" w:type="dxa"/>
              <w:right w:w="110" w:type="dxa"/>
            </w:tcMar>
          </w:tcPr>
          <w:p w14:paraId="08681CC8">
            <w:pPr>
              <w:spacing w:after="0" w:line="260" w:lineRule="auto"/>
              <w:jc w:val="left"/>
            </w:pPr>
            <w:r>
              <w:rPr>
                <w:rFonts w:ascii="Times New Roman" w:hAnsi="Times New Roman" w:eastAsia="Times New Roman" w:cs="Times New Roman"/>
                <w:sz w:val="20"/>
                <w:szCs w:val="20"/>
              </w:rPr>
              <w:t>Contratos de API, reglas de calidad en la captura y propagación por eventos.</w:t>
            </w:r>
          </w:p>
        </w:tc>
        <w:tc>
          <w:tcPr>
            <w:tcW w:w="3300" w:type="dxa"/>
            <w:tcMar>
              <w:top w:w="80" w:type="dxa"/>
              <w:left w:w="110" w:type="dxa"/>
              <w:bottom w:w="80" w:type="dxa"/>
              <w:right w:w="110" w:type="dxa"/>
            </w:tcMar>
          </w:tcPr>
          <w:p w14:paraId="13A2114F">
            <w:pPr>
              <w:spacing w:after="0" w:line="260" w:lineRule="auto"/>
              <w:jc w:val="left"/>
            </w:pPr>
            <w:r>
              <w:rPr>
                <w:rFonts w:ascii="Times New Roman" w:hAnsi="Times New Roman" w:eastAsia="Times New Roman" w:cs="Times New Roman"/>
                <w:sz w:val="20"/>
                <w:szCs w:val="20"/>
              </w:rPr>
              <w:t>Reducción del retrabajo y de las correcciones manuales.</w:t>
            </w:r>
          </w:p>
        </w:tc>
      </w:tr>
      <w:tr w14:paraId="4FEDE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10" w:type="dxa"/>
              <w:bottom w:w="80" w:type="dxa"/>
              <w:right w:w="110" w:type="dxa"/>
            </w:tcMar>
          </w:tcPr>
          <w:p w14:paraId="0FEE0ECF">
            <w:pPr>
              <w:spacing w:after="0" w:line="260" w:lineRule="auto"/>
              <w:jc w:val="left"/>
            </w:pPr>
            <w:r>
              <w:rPr>
                <w:rFonts w:ascii="Times New Roman" w:hAnsi="Times New Roman" w:eastAsia="Times New Roman" w:cs="Times New Roman"/>
                <w:sz w:val="20"/>
                <w:szCs w:val="20"/>
              </w:rPr>
              <w:t>Procesos lentos</w:t>
            </w:r>
          </w:p>
        </w:tc>
        <w:tc>
          <w:tcPr>
            <w:tcW w:w="3300" w:type="dxa"/>
            <w:tcMar>
              <w:top w:w="80" w:type="dxa"/>
              <w:left w:w="110" w:type="dxa"/>
              <w:bottom w:w="80" w:type="dxa"/>
              <w:right w:w="110" w:type="dxa"/>
            </w:tcMar>
          </w:tcPr>
          <w:p w14:paraId="7000C4EB">
            <w:pPr>
              <w:spacing w:after="0" w:line="260" w:lineRule="auto"/>
              <w:jc w:val="left"/>
            </w:pPr>
            <w:r>
              <w:rPr>
                <w:rFonts w:ascii="Times New Roman" w:hAnsi="Times New Roman" w:eastAsia="Times New Roman" w:cs="Times New Roman"/>
                <w:sz w:val="20"/>
                <w:szCs w:val="20"/>
              </w:rPr>
              <w:t>Integración asíncrona y decisión automatizada.</w:t>
            </w:r>
          </w:p>
        </w:tc>
        <w:tc>
          <w:tcPr>
            <w:tcW w:w="3300" w:type="dxa"/>
            <w:tcMar>
              <w:top w:w="80" w:type="dxa"/>
              <w:left w:w="110" w:type="dxa"/>
              <w:bottom w:w="80" w:type="dxa"/>
              <w:right w:w="110" w:type="dxa"/>
            </w:tcMar>
          </w:tcPr>
          <w:p w14:paraId="2D2B0531">
            <w:pPr>
              <w:spacing w:after="0" w:line="260" w:lineRule="auto"/>
              <w:jc w:val="left"/>
            </w:pPr>
            <w:r>
              <w:rPr>
                <w:rFonts w:ascii="Times New Roman" w:hAnsi="Times New Roman" w:eastAsia="Times New Roman" w:cs="Times New Roman"/>
                <w:sz w:val="20"/>
                <w:szCs w:val="20"/>
              </w:rPr>
              <w:t>Reducción del tiempo entre la solicitud y el desembolso.</w:t>
            </w:r>
          </w:p>
        </w:tc>
      </w:tr>
      <w:tr w14:paraId="719D2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10" w:type="dxa"/>
              <w:bottom w:w="80" w:type="dxa"/>
              <w:right w:w="110" w:type="dxa"/>
            </w:tcMar>
          </w:tcPr>
          <w:p w14:paraId="576DC7F6">
            <w:pPr>
              <w:spacing w:after="0" w:line="260" w:lineRule="auto"/>
              <w:jc w:val="left"/>
            </w:pPr>
            <w:r>
              <w:rPr>
                <w:rFonts w:ascii="Times New Roman" w:hAnsi="Times New Roman" w:eastAsia="Times New Roman" w:cs="Times New Roman"/>
                <w:sz w:val="20"/>
                <w:szCs w:val="20"/>
              </w:rPr>
              <w:t>Problemas de seguridad</w:t>
            </w:r>
          </w:p>
        </w:tc>
        <w:tc>
          <w:tcPr>
            <w:tcW w:w="3300" w:type="dxa"/>
            <w:tcMar>
              <w:top w:w="80" w:type="dxa"/>
              <w:left w:w="110" w:type="dxa"/>
              <w:bottom w:w="80" w:type="dxa"/>
              <w:right w:w="110" w:type="dxa"/>
            </w:tcMar>
          </w:tcPr>
          <w:p w14:paraId="3406FCDC">
            <w:pPr>
              <w:spacing w:after="0" w:line="260" w:lineRule="auto"/>
              <w:jc w:val="left"/>
            </w:pPr>
            <w:r>
              <w:rPr>
                <w:rFonts w:ascii="Times New Roman" w:hAnsi="Times New Roman" w:eastAsia="Times New Roman" w:cs="Times New Roman"/>
                <w:sz w:val="20"/>
                <w:szCs w:val="20"/>
              </w:rPr>
              <w:t>Identidad centralizada, API Gateway y modelo de confianza cero.</w:t>
            </w:r>
          </w:p>
        </w:tc>
        <w:tc>
          <w:tcPr>
            <w:tcW w:w="3300" w:type="dxa"/>
            <w:tcMar>
              <w:top w:w="80" w:type="dxa"/>
              <w:left w:w="110" w:type="dxa"/>
              <w:bottom w:w="80" w:type="dxa"/>
              <w:right w:w="110" w:type="dxa"/>
            </w:tcMar>
          </w:tcPr>
          <w:p w14:paraId="543126BB">
            <w:pPr>
              <w:spacing w:after="0" w:line="260" w:lineRule="auto"/>
              <w:jc w:val="left"/>
            </w:pPr>
            <w:r>
              <w:rPr>
                <w:rFonts w:ascii="Times New Roman" w:hAnsi="Times New Roman" w:eastAsia="Times New Roman" w:cs="Times New Roman"/>
                <w:sz w:val="20"/>
                <w:szCs w:val="20"/>
              </w:rPr>
              <w:t>Superficie de exposición controlada y trazabilidad unificada.</w:t>
            </w:r>
          </w:p>
        </w:tc>
      </w:tr>
      <w:tr w14:paraId="51D59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10" w:type="dxa"/>
              <w:bottom w:w="80" w:type="dxa"/>
              <w:right w:w="110" w:type="dxa"/>
            </w:tcMar>
          </w:tcPr>
          <w:p w14:paraId="2A1AF8E3">
            <w:pPr>
              <w:spacing w:after="0" w:line="260" w:lineRule="auto"/>
              <w:jc w:val="left"/>
            </w:pPr>
            <w:r>
              <w:rPr>
                <w:rFonts w:ascii="Times New Roman" w:hAnsi="Times New Roman" w:eastAsia="Times New Roman" w:cs="Times New Roman"/>
                <w:sz w:val="20"/>
                <w:szCs w:val="20"/>
              </w:rPr>
              <w:t>Dificultad para generar informes</w:t>
            </w:r>
          </w:p>
        </w:tc>
        <w:tc>
          <w:tcPr>
            <w:tcW w:w="3300" w:type="dxa"/>
            <w:tcMar>
              <w:top w:w="80" w:type="dxa"/>
              <w:left w:w="110" w:type="dxa"/>
              <w:bottom w:w="80" w:type="dxa"/>
              <w:right w:w="110" w:type="dxa"/>
            </w:tcMar>
          </w:tcPr>
          <w:p w14:paraId="755D28A0">
            <w:pPr>
              <w:spacing w:after="0" w:line="260" w:lineRule="auto"/>
              <w:jc w:val="left"/>
            </w:pPr>
            <w:r>
              <w:rPr>
                <w:rFonts w:ascii="Times New Roman" w:hAnsi="Times New Roman" w:eastAsia="Times New Roman" w:cs="Times New Roman"/>
                <w:sz w:val="20"/>
                <w:szCs w:val="20"/>
              </w:rPr>
              <w:t>Bodega de datos alimentada por el flujo de eventos.</w:t>
            </w:r>
          </w:p>
        </w:tc>
        <w:tc>
          <w:tcPr>
            <w:tcW w:w="3300" w:type="dxa"/>
            <w:tcMar>
              <w:top w:w="80" w:type="dxa"/>
              <w:left w:w="110" w:type="dxa"/>
              <w:bottom w:w="80" w:type="dxa"/>
              <w:right w:w="110" w:type="dxa"/>
            </w:tcMar>
          </w:tcPr>
          <w:p w14:paraId="7D94CE8D">
            <w:pPr>
              <w:spacing w:after="0" w:line="260" w:lineRule="auto"/>
              <w:jc w:val="left"/>
            </w:pPr>
            <w:r>
              <w:rPr>
                <w:rFonts w:ascii="Times New Roman" w:hAnsi="Times New Roman" w:eastAsia="Times New Roman" w:cs="Times New Roman"/>
                <w:sz w:val="20"/>
                <w:szCs w:val="20"/>
              </w:rPr>
              <w:t>Informes consolidados sin cruce manual de bases de datos.</w:t>
            </w:r>
          </w:p>
        </w:tc>
      </w:tr>
      <w:tr w14:paraId="2B281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10" w:type="dxa"/>
              <w:bottom w:w="80" w:type="dxa"/>
              <w:right w:w="110" w:type="dxa"/>
            </w:tcMar>
          </w:tcPr>
          <w:p w14:paraId="279FF835">
            <w:pPr>
              <w:spacing w:after="0" w:line="260" w:lineRule="auto"/>
              <w:jc w:val="left"/>
            </w:pPr>
            <w:r>
              <w:rPr>
                <w:rFonts w:ascii="Times New Roman" w:hAnsi="Times New Roman" w:eastAsia="Times New Roman" w:cs="Times New Roman"/>
                <w:sz w:val="20"/>
                <w:szCs w:val="20"/>
              </w:rPr>
              <w:t>Experiencia deficiente del cliente</w:t>
            </w:r>
          </w:p>
        </w:tc>
        <w:tc>
          <w:tcPr>
            <w:tcW w:w="3300" w:type="dxa"/>
            <w:tcMar>
              <w:top w:w="80" w:type="dxa"/>
              <w:left w:w="110" w:type="dxa"/>
              <w:bottom w:w="80" w:type="dxa"/>
              <w:right w:w="110" w:type="dxa"/>
            </w:tcMar>
          </w:tcPr>
          <w:p w14:paraId="60076CA1">
            <w:pPr>
              <w:spacing w:after="0" w:line="260" w:lineRule="auto"/>
              <w:jc w:val="left"/>
            </w:pPr>
            <w:r>
              <w:rPr>
                <w:rFonts w:ascii="Times New Roman" w:hAnsi="Times New Roman" w:eastAsia="Times New Roman" w:cs="Times New Roman"/>
                <w:sz w:val="20"/>
                <w:szCs w:val="20"/>
              </w:rPr>
              <w:t>Canales unificados sobre los mismos servicios e inicio de sesión único.</w:t>
            </w:r>
          </w:p>
        </w:tc>
        <w:tc>
          <w:tcPr>
            <w:tcW w:w="3300" w:type="dxa"/>
            <w:tcMar>
              <w:top w:w="80" w:type="dxa"/>
              <w:left w:w="110" w:type="dxa"/>
              <w:bottom w:w="80" w:type="dxa"/>
              <w:right w:w="110" w:type="dxa"/>
            </w:tcMar>
          </w:tcPr>
          <w:p w14:paraId="1CC4847F">
            <w:pPr>
              <w:spacing w:after="0" w:line="260" w:lineRule="auto"/>
              <w:jc w:val="left"/>
            </w:pPr>
            <w:r>
              <w:rPr>
                <w:rFonts w:ascii="Times New Roman" w:hAnsi="Times New Roman" w:eastAsia="Times New Roman" w:cs="Times New Roman"/>
                <w:sz w:val="20"/>
                <w:szCs w:val="20"/>
              </w:rPr>
              <w:t>Información consistente en todos los canales y proceso sin repetición de datos.</w:t>
            </w:r>
          </w:p>
        </w:tc>
      </w:tr>
    </w:tbl>
    <w:p w14:paraId="7CE782CB">
      <w:pPr>
        <w:spacing w:after="160"/>
      </w:pPr>
    </w:p>
    <w:p w14:paraId="567355EC">
      <w:pPr>
        <w:spacing w:after="160" w:line="300" w:lineRule="auto"/>
        <w:jc w:val="both"/>
      </w:pPr>
      <w:r>
        <w:rPr>
          <w:rFonts w:ascii="Times New Roman" w:hAnsi="Times New Roman" w:eastAsia="Times New Roman" w:cs="Times New Roman"/>
          <w:sz w:val="22"/>
          <w:szCs w:val="22"/>
        </w:rPr>
        <w:t>A estos beneficios directos se suman los valores que la literatura atribuye de manera general a la práctica de la arquitectura empresarial: la identificación y eliminación de la duplicación a lo largo de la organización [1], la reducción del tiempo de entrega de soluciones y de los costos de desarrollo mediante la reutilización de servicios existentes [1], la reducción del riesgo de incumplimiento normativo en un negocio crecientemente regulado [1], y la disponibilidad de una plataforma objetivo que garantice la operación eficiente de las tecnologías de la información, la interoperabilidad y un entorno más flexible para la gestión del cambio [23].</w:t>
      </w:r>
    </w:p>
    <w:p w14:paraId="6648AA84">
      <w:pPr>
        <w:pStyle w:val="2"/>
        <w:keepNext/>
        <w:spacing w:before="320" w:after="180"/>
      </w:pPr>
      <w:r>
        <w:rPr>
          <w:rFonts w:ascii="Times New Roman" w:hAnsi="Times New Roman" w:eastAsia="Times New Roman" w:cs="Times New Roman"/>
          <w:b/>
          <w:bCs/>
          <w:color w:val="000000"/>
          <w:sz w:val="26"/>
          <w:szCs w:val="26"/>
        </w:rPr>
        <w:t>11. Conclusiones</w:t>
      </w:r>
    </w:p>
    <w:p w14:paraId="4CD509A3">
      <w:pPr>
        <w:spacing w:after="160" w:line="300" w:lineRule="auto"/>
        <w:jc w:val="both"/>
      </w:pPr>
      <w:r>
        <w:rPr>
          <w:rFonts w:ascii="Times New Roman" w:hAnsi="Times New Roman" w:eastAsia="Times New Roman" w:cs="Times New Roman"/>
          <w:sz w:val="22"/>
          <w:szCs w:val="22"/>
        </w:rPr>
        <w:t>El diagnóstico realizado permite afirmar que las seis problemáticas reportadas por FinanTech no constituyen seis problemas independientes, sino seis manifestaciones de una única causa raíz: la ausencia de una fuente única de verdad por dominio de información. Esta conclusión es la que orienta toda la propuesta, porque implica que la solución no consiste en adquirir sistemas adicionales ni en conectar los existentes mediante integraciones punto a punto, sino en establecer principios de gobierno del dato y un mecanismo de integración desacoplado.</w:t>
      </w:r>
    </w:p>
    <w:p w14:paraId="41E3419A">
      <w:pPr>
        <w:spacing w:after="160" w:line="300" w:lineRule="auto"/>
        <w:jc w:val="both"/>
      </w:pPr>
      <w:r>
        <w:rPr>
          <w:rFonts w:ascii="Times New Roman" w:hAnsi="Times New Roman" w:eastAsia="Times New Roman" w:cs="Times New Roman"/>
          <w:sz w:val="22"/>
          <w:szCs w:val="22"/>
        </w:rPr>
        <w:t>La arquitectura propuesta —canales unificados, API Gateway, microservicios con propiedad exclusiva de su dominio, bus de eventos y capa de datos con gestión de datos maestros y bodega analítica— responde de manera trazable a cada una de las problemáticas identificadas, según se evidencia en la sección 10. Su valor no reside únicamente en resolver la situación presente, sino en dotar a la organización de una estructura capaz de incorporar nuevos canales, productos y aliados sin necesidad de rediseñar el núcleo del sistema.</w:t>
      </w:r>
    </w:p>
    <w:p w14:paraId="3898BD43">
      <w:pPr>
        <w:spacing w:after="160" w:line="300" w:lineRule="auto"/>
        <w:jc w:val="both"/>
      </w:pPr>
      <w:r>
        <w:rPr>
          <w:rFonts w:ascii="Times New Roman" w:hAnsi="Times New Roman" w:eastAsia="Times New Roman" w:cs="Times New Roman"/>
          <w:sz w:val="22"/>
          <w:szCs w:val="22"/>
        </w:rPr>
        <w:t>La adopción de TOGAF como marco de referencia resultó pertinente porque el reto de FinanTech no es construir desde cero sino transitar desde un estado existente hacia un estado objetivo, y el ciclo ADM proporciona precisamente el método para gestionar esa transición mediante el análisis de brechas y la planeación de la migración.</w:t>
      </w:r>
    </w:p>
    <w:p w14:paraId="3F4F2F99">
      <w:pPr>
        <w:spacing w:after="160" w:line="300" w:lineRule="auto"/>
        <w:jc w:val="both"/>
      </w:pPr>
      <w:r>
        <w:rPr>
          <w:rFonts w:ascii="Times New Roman" w:hAnsi="Times New Roman" w:eastAsia="Times New Roman" w:cs="Times New Roman"/>
          <w:sz w:val="22"/>
          <w:szCs w:val="22"/>
        </w:rPr>
        <w:t>Respecto de la pregunta de debate planteada, el equipo concluye que la seguridad, la velocidad, el costo y la experiencia del cliente no compiten en un mismo plano. La seguridad constituye una condición habilitante no negociable en una entidad vigilada; la experiencia del cliente es la prioridad estratégica por ser la que genera ingresos; la velocidad es un componente de esa experiencia más que una alternativa a ella; y el costo opera como restricción del alcance. Cuando se presenta un compromiso real entre atributos, la respuesta arquitectónica correcta es la calibración por riesgo y no la subordinación de un atributo a otro.</w:t>
      </w:r>
    </w:p>
    <w:p w14:paraId="096294C2">
      <w:pPr>
        <w:spacing w:after="160" w:line="300" w:lineRule="auto"/>
        <w:jc w:val="both"/>
      </w:pPr>
      <w:r>
        <w:rPr>
          <w:rFonts w:ascii="Times New Roman" w:hAnsi="Times New Roman" w:eastAsia="Times New Roman" w:cs="Times New Roman"/>
          <w:sz w:val="22"/>
          <w:szCs w:val="22"/>
        </w:rPr>
        <w:t>Finalmente, se concluye que el factor crítico de éxito de esta transformación no es de naturaleza técnica. Los componentes propuestos son tecnologías maduras y ampliamente probadas en el sector. El riesgo principal reside en la disciplina de gobierno: sostener en el tiempo el principio de dueño único del dato exige un comité de arquitectura con autoridad real para rechazar soluciones que lo vulneren, aun cuando resulten más rápidas de implementar en el corto plazo. Sin ese gobierno, la organización reconstruirá gradualmente el mismo problema que hoy busca resolver.</w:t>
      </w:r>
    </w:p>
    <w:p w14:paraId="2AA39941">
      <w:pPr>
        <w:pStyle w:val="2"/>
        <w:keepNext/>
        <w:spacing w:before="320" w:after="180"/>
      </w:pPr>
      <w:r>
        <w:rPr>
          <w:rFonts w:ascii="Times New Roman" w:hAnsi="Times New Roman" w:eastAsia="Times New Roman" w:cs="Times New Roman"/>
          <w:b/>
          <w:bCs/>
          <w:color w:val="000000"/>
          <w:sz w:val="26"/>
          <w:szCs w:val="26"/>
        </w:rPr>
        <w:t>12. Recomendaciones</w:t>
      </w:r>
    </w:p>
    <w:p w14:paraId="3BB6B78D">
      <w:pPr>
        <w:spacing w:after="160" w:line="300" w:lineRule="auto"/>
        <w:jc w:val="both"/>
      </w:pPr>
      <w:r>
        <w:rPr>
          <w:rFonts w:ascii="Times New Roman" w:hAnsi="Times New Roman" w:eastAsia="Times New Roman" w:cs="Times New Roman"/>
          <w:sz w:val="22"/>
          <w:szCs w:val="22"/>
        </w:rPr>
        <w:t>Como resultado del análisis desarrollado, se formulan las siguientes recomendaciones para FinanTech:</w:t>
      </w:r>
    </w:p>
    <w:p w14:paraId="77657C9B">
      <w:pPr>
        <w:pStyle w:val="16"/>
        <w:numPr>
          <w:ilvl w:val="0"/>
          <w:numId w:val="1"/>
        </w:numPr>
        <w:spacing w:after="90" w:line="300" w:lineRule="auto"/>
        <w:jc w:val="both"/>
      </w:pPr>
      <w:r>
        <w:rPr>
          <w:rFonts w:ascii="Times New Roman" w:hAnsi="Times New Roman" w:eastAsia="Times New Roman" w:cs="Times New Roman"/>
          <w:b/>
          <w:bCs/>
          <w:sz w:val="22"/>
          <w:szCs w:val="22"/>
        </w:rPr>
        <w:t xml:space="preserve">Constituir formalmente un comité de arquitectura </w:t>
      </w:r>
      <w:r>
        <w:rPr>
          <w:rFonts w:ascii="Times New Roman" w:hAnsi="Times New Roman" w:eastAsia="Times New Roman" w:cs="Times New Roman"/>
          <w:sz w:val="22"/>
          <w:szCs w:val="22"/>
        </w:rPr>
        <w:t>antes de iniciar cualquier desarrollo, con participación conjunta de las áreas de negocio y de TI y con autoridad para aprobar o rechazar decisiones de diseño. La arquitectura sin gobierno se degrada.</w:t>
      </w:r>
    </w:p>
    <w:p w14:paraId="5110FBAA">
      <w:pPr>
        <w:pStyle w:val="16"/>
        <w:numPr>
          <w:ilvl w:val="0"/>
          <w:numId w:val="1"/>
        </w:numPr>
        <w:spacing w:after="90" w:line="300" w:lineRule="auto"/>
        <w:jc w:val="both"/>
      </w:pPr>
      <w:r>
        <w:rPr>
          <w:rFonts w:ascii="Times New Roman" w:hAnsi="Times New Roman" w:eastAsia="Times New Roman" w:cs="Times New Roman"/>
          <w:b/>
          <w:bCs/>
          <w:sz w:val="22"/>
          <w:szCs w:val="22"/>
        </w:rPr>
        <w:t xml:space="preserve">Iniciar por la identidad digital. </w:t>
      </w:r>
      <w:r>
        <w:rPr>
          <w:rFonts w:ascii="Times New Roman" w:hAnsi="Times New Roman" w:eastAsia="Times New Roman" w:cs="Times New Roman"/>
          <w:sz w:val="22"/>
          <w:szCs w:val="22"/>
        </w:rPr>
        <w:t>Es la fase que produce el beneficio más visible con el menor riesgo técnico y establece el fundamento de seguridad sobre el cual se apoyan todas las fases posteriores.</w:t>
      </w:r>
    </w:p>
    <w:p w14:paraId="377C5629">
      <w:pPr>
        <w:pStyle w:val="16"/>
        <w:numPr>
          <w:ilvl w:val="0"/>
          <w:numId w:val="1"/>
        </w:numPr>
        <w:spacing w:after="90" w:line="300" w:lineRule="auto"/>
        <w:jc w:val="both"/>
      </w:pPr>
      <w:r>
        <w:rPr>
          <w:rFonts w:ascii="Times New Roman" w:hAnsi="Times New Roman" w:eastAsia="Times New Roman" w:cs="Times New Roman"/>
          <w:b/>
          <w:bCs/>
          <w:sz w:val="22"/>
          <w:szCs w:val="22"/>
        </w:rPr>
        <w:t xml:space="preserve">No apagar los sistemas legados de manera simultánea. </w:t>
      </w:r>
      <w:r>
        <w:rPr>
          <w:rFonts w:ascii="Times New Roman" w:hAnsi="Times New Roman" w:eastAsia="Times New Roman" w:cs="Times New Roman"/>
          <w:sz w:val="22"/>
          <w:szCs w:val="22"/>
        </w:rPr>
        <w:t>El encapsulamiento progresivo permite que la operación continúe durante la transición y hace reversible cada paso en caso de dificultad.</w:t>
      </w:r>
    </w:p>
    <w:p w14:paraId="42925A50">
      <w:pPr>
        <w:pStyle w:val="16"/>
        <w:numPr>
          <w:ilvl w:val="0"/>
          <w:numId w:val="1"/>
        </w:numPr>
        <w:spacing w:after="90" w:line="300" w:lineRule="auto"/>
        <w:jc w:val="both"/>
      </w:pPr>
      <w:r>
        <w:rPr>
          <w:rFonts w:ascii="Times New Roman" w:hAnsi="Times New Roman" w:eastAsia="Times New Roman" w:cs="Times New Roman"/>
          <w:b/>
          <w:bCs/>
          <w:sz w:val="22"/>
          <w:szCs w:val="22"/>
        </w:rPr>
        <w:t xml:space="preserve">Medir el estado inicial antes de comenzar. </w:t>
      </w:r>
      <w:r>
        <w:rPr>
          <w:rFonts w:ascii="Times New Roman" w:hAnsi="Times New Roman" w:eastAsia="Times New Roman" w:cs="Times New Roman"/>
          <w:sz w:val="22"/>
          <w:szCs w:val="22"/>
        </w:rPr>
        <w:t>Registrar el tiempo actual de originación, el número de registros duplicados y las horas mensuales dedicadas a conciliación. Sin línea base no será posible demostrar el valor generado ni sostener la inversión.</w:t>
      </w:r>
    </w:p>
    <w:p w14:paraId="7FE26D7A">
      <w:pPr>
        <w:pStyle w:val="16"/>
        <w:numPr>
          <w:ilvl w:val="0"/>
          <w:numId w:val="1"/>
        </w:numPr>
        <w:spacing w:after="90" w:line="300" w:lineRule="auto"/>
        <w:jc w:val="both"/>
      </w:pPr>
      <w:r>
        <w:rPr>
          <w:rFonts w:ascii="Times New Roman" w:hAnsi="Times New Roman" w:eastAsia="Times New Roman" w:cs="Times New Roman"/>
          <w:b/>
          <w:bCs/>
          <w:sz w:val="22"/>
          <w:szCs w:val="22"/>
        </w:rPr>
        <w:t xml:space="preserve">Incorporar el cumplimiento normativo desde el diseño. </w:t>
      </w:r>
      <w:r>
        <w:rPr>
          <w:rFonts w:ascii="Times New Roman" w:hAnsi="Times New Roman" w:eastAsia="Times New Roman" w:cs="Times New Roman"/>
          <w:sz w:val="22"/>
          <w:szCs w:val="22"/>
        </w:rPr>
        <w:t>Las obligaciones de protección de datos, ciberseguridad y prevención de lavado de activos deben tratarse como requisitos de la arquitectura y no como verificaciones posteriores a la construcción.</w:t>
      </w:r>
    </w:p>
    <w:p w14:paraId="24AEAFCF">
      <w:pPr>
        <w:pStyle w:val="16"/>
        <w:numPr>
          <w:ilvl w:val="0"/>
          <w:numId w:val="1"/>
        </w:numPr>
        <w:spacing w:after="90" w:line="300" w:lineRule="auto"/>
        <w:jc w:val="both"/>
      </w:pPr>
      <w:r>
        <w:rPr>
          <w:rFonts w:ascii="Times New Roman" w:hAnsi="Times New Roman" w:eastAsia="Times New Roman" w:cs="Times New Roman"/>
          <w:b/>
          <w:bCs/>
          <w:sz w:val="22"/>
          <w:szCs w:val="22"/>
        </w:rPr>
        <w:t xml:space="preserve">Gestionar explícitamente el cambio organizacional. </w:t>
      </w:r>
      <w:r>
        <w:rPr>
          <w:rFonts w:ascii="Times New Roman" w:hAnsi="Times New Roman" w:eastAsia="Times New Roman" w:cs="Times New Roman"/>
          <w:sz w:val="22"/>
          <w:szCs w:val="22"/>
        </w:rPr>
        <w:t>La automatización modifica el contenido del trabajo de las personas que hoy realizan las conciliaciones manuales. Anticipar la reconversión de esos roles reduce la resistencia interna al proyecto.</w:t>
      </w:r>
    </w:p>
    <w:p w14:paraId="5A314634">
      <w:pPr>
        <w:pStyle w:val="16"/>
        <w:numPr>
          <w:ilvl w:val="0"/>
          <w:numId w:val="1"/>
        </w:numPr>
        <w:spacing w:after="90" w:line="300" w:lineRule="auto"/>
        <w:jc w:val="both"/>
      </w:pPr>
      <w:r>
        <w:rPr>
          <w:rFonts w:ascii="Times New Roman" w:hAnsi="Times New Roman" w:eastAsia="Times New Roman" w:cs="Times New Roman"/>
          <w:b/>
          <w:bCs/>
          <w:sz w:val="22"/>
          <w:szCs w:val="22"/>
        </w:rPr>
        <w:t xml:space="preserve">Evaluar periódicamente el entorno interno y externo, </w:t>
      </w:r>
      <w:r>
        <w:rPr>
          <w:rFonts w:ascii="Times New Roman" w:hAnsi="Times New Roman" w:eastAsia="Times New Roman" w:cs="Times New Roman"/>
          <w:sz w:val="22"/>
          <w:szCs w:val="22"/>
        </w:rPr>
        <w:t>con el fin de identificar las oportunidades que ofrece el contexto y diseñar estrategias para aprovecharlas, entendiendo la arquitectura como un proceso de evolución permanente y no como un proyecto con fecha de cierre.</w:t>
      </w:r>
    </w:p>
    <w:p w14:paraId="3726A28F">
      <w:r>
        <w:br w:type="page"/>
      </w:r>
    </w:p>
    <w:p w14:paraId="5AAD708B">
      <w:pPr>
        <w:pStyle w:val="2"/>
        <w:keepNext/>
        <w:spacing w:before="320" w:after="180"/>
      </w:pPr>
      <w:r>
        <w:rPr>
          <w:rFonts w:ascii="Times New Roman" w:hAnsi="Times New Roman" w:eastAsia="Times New Roman" w:cs="Times New Roman"/>
          <w:b/>
          <w:bCs/>
          <w:color w:val="000000"/>
          <w:sz w:val="26"/>
          <w:szCs w:val="26"/>
        </w:rPr>
        <w:t>Referencias</w:t>
      </w:r>
    </w:p>
    <w:p w14:paraId="52E3E66E">
      <w:pPr>
        <w:spacing w:after="100" w:line="280" w:lineRule="auto"/>
        <w:ind w:left="540" w:hanging="540"/>
        <w:jc w:val="both"/>
      </w:pPr>
      <w:r>
        <w:rPr>
          <w:rFonts w:ascii="Times New Roman" w:hAnsi="Times New Roman" w:eastAsia="Times New Roman" w:cs="Times New Roman"/>
          <w:sz w:val="20"/>
          <w:szCs w:val="20"/>
        </w:rPr>
        <w:t>[1] The Open Group, "Enterprise Architecture: Value and Benefits," The Open Group Publications.</w:t>
      </w:r>
    </w:p>
    <w:p w14:paraId="4866552F">
      <w:pPr>
        <w:spacing w:after="100" w:line="280" w:lineRule="auto"/>
        <w:ind w:left="540" w:hanging="540"/>
        <w:jc w:val="both"/>
      </w:pPr>
      <w:r>
        <w:rPr>
          <w:rFonts w:ascii="Times New Roman" w:hAnsi="Times New Roman" w:eastAsia="Times New Roman" w:cs="Times New Roman"/>
          <w:sz w:val="20"/>
          <w:szCs w:val="20"/>
        </w:rPr>
        <w:t>[2] The Open Group, "TOGAF Standard, 10th Edition," The Open Group, 2022.</w:t>
      </w:r>
    </w:p>
    <w:p w14:paraId="3E068710">
      <w:pPr>
        <w:spacing w:after="100" w:line="280" w:lineRule="auto"/>
        <w:ind w:left="540" w:hanging="540"/>
        <w:jc w:val="both"/>
      </w:pPr>
      <w:r>
        <w:rPr>
          <w:rFonts w:ascii="Times New Roman" w:hAnsi="Times New Roman" w:eastAsia="Times New Roman" w:cs="Times New Roman"/>
          <w:sz w:val="20"/>
          <w:szCs w:val="20"/>
        </w:rPr>
        <w:t>[3] ISO/IEC/IEEE 42010:2011, "Systems and software engineering — Architecture description," ISO, Ginebra, 2011.</w:t>
      </w:r>
    </w:p>
    <w:p w14:paraId="4232887B">
      <w:pPr>
        <w:spacing w:after="100" w:line="280" w:lineRule="auto"/>
        <w:ind w:left="540" w:hanging="540"/>
        <w:jc w:val="both"/>
      </w:pPr>
      <w:r>
        <w:rPr>
          <w:rFonts w:ascii="Times New Roman" w:hAnsi="Times New Roman" w:eastAsia="Times New Roman" w:cs="Times New Roman"/>
          <w:sz w:val="20"/>
          <w:szCs w:val="20"/>
        </w:rPr>
        <w:t>[4] D. Greefhorst y E. Proper, "Architecture Principles: The Cornerstones of Enterprise Architecture," Springer, 2011.</w:t>
      </w:r>
    </w:p>
    <w:p w14:paraId="23CB837C">
      <w:pPr>
        <w:spacing w:after="100" w:line="280" w:lineRule="auto"/>
        <w:ind w:left="540" w:hanging="540"/>
        <w:jc w:val="both"/>
      </w:pPr>
      <w:r>
        <w:rPr>
          <w:rFonts w:ascii="Times New Roman" w:hAnsi="Times New Roman" w:eastAsia="Times New Roman" w:cs="Times New Roman"/>
          <w:sz w:val="20"/>
          <w:szCs w:val="20"/>
        </w:rPr>
        <w:t>[5] Software Engineering Institute, Carnegie Mellon University, "Software Architecture in Practice," 4.ª ed., Addison-Wesley, 2021.</w:t>
      </w:r>
    </w:p>
    <w:p w14:paraId="2E88C7CC">
      <w:pPr>
        <w:spacing w:after="100" w:line="280" w:lineRule="auto"/>
        <w:ind w:left="540" w:hanging="540"/>
        <w:jc w:val="both"/>
      </w:pPr>
      <w:r>
        <w:rPr>
          <w:rFonts w:ascii="Times New Roman" w:hAnsi="Times New Roman" w:eastAsia="Times New Roman" w:cs="Times New Roman"/>
          <w:sz w:val="20"/>
          <w:szCs w:val="20"/>
        </w:rPr>
        <w:t>[6] R. Whittle y C. B. Myrick, "Enterprise Business Architecture: The Formal Link between Strategy and Results," CRC Press, 2004.</w:t>
      </w:r>
    </w:p>
    <w:p w14:paraId="1E72E329">
      <w:pPr>
        <w:spacing w:after="100" w:line="280" w:lineRule="auto"/>
        <w:ind w:left="540" w:hanging="540"/>
        <w:jc w:val="both"/>
      </w:pPr>
      <w:r>
        <w:rPr>
          <w:rFonts w:ascii="Times New Roman" w:hAnsi="Times New Roman" w:eastAsia="Times New Roman" w:cs="Times New Roman"/>
          <w:sz w:val="20"/>
          <w:szCs w:val="20"/>
        </w:rPr>
        <w:t>[7] DAMA International, "DAMA-DMBOK: Data Management Body of Knowledge," 2.ª ed., Technics Publications, 2017.</w:t>
      </w:r>
    </w:p>
    <w:p w14:paraId="0CD4D2BC">
      <w:pPr>
        <w:spacing w:after="100" w:line="280" w:lineRule="auto"/>
        <w:ind w:left="540" w:hanging="540"/>
        <w:jc w:val="both"/>
      </w:pPr>
      <w:r>
        <w:rPr>
          <w:rFonts w:ascii="Times New Roman" w:hAnsi="Times New Roman" w:eastAsia="Times New Roman" w:cs="Times New Roman"/>
          <w:sz w:val="20"/>
          <w:szCs w:val="20"/>
        </w:rPr>
        <w:t>[8] The Open Group, "TOGAF Standard — Application Architecture," The Open Group, 2022.</w:t>
      </w:r>
    </w:p>
    <w:p w14:paraId="52C205C5">
      <w:pPr>
        <w:spacing w:after="100" w:line="280" w:lineRule="auto"/>
        <w:ind w:left="540" w:hanging="540"/>
        <w:jc w:val="both"/>
      </w:pPr>
      <w:r>
        <w:rPr>
          <w:rFonts w:ascii="Times New Roman" w:hAnsi="Times New Roman" w:eastAsia="Times New Roman" w:cs="Times New Roman"/>
          <w:sz w:val="20"/>
          <w:szCs w:val="20"/>
        </w:rPr>
        <w:t>[9] J. A. Zachman, "A framework for information systems architecture," IBM Systems Journal, vol. 26, n.º 3, pp. 276-292, 1987.</w:t>
      </w:r>
    </w:p>
    <w:p w14:paraId="0DBF0D9A">
      <w:pPr>
        <w:spacing w:after="100" w:line="280" w:lineRule="auto"/>
        <w:ind w:left="540" w:hanging="540"/>
        <w:jc w:val="both"/>
      </w:pPr>
      <w:r>
        <w:rPr>
          <w:rFonts w:ascii="Times New Roman" w:hAnsi="Times New Roman" w:eastAsia="Times New Roman" w:cs="Times New Roman"/>
          <w:sz w:val="20"/>
          <w:szCs w:val="20"/>
        </w:rPr>
        <w:t>[10] Zachman International, "The Zachman Framework for Enterprise Architecture," Zachman International.</w:t>
      </w:r>
    </w:p>
    <w:p w14:paraId="0A69BC2F">
      <w:pPr>
        <w:spacing w:after="100" w:line="280" w:lineRule="auto"/>
        <w:ind w:left="540" w:hanging="540"/>
        <w:jc w:val="both"/>
      </w:pPr>
      <w:r>
        <w:rPr>
          <w:rFonts w:ascii="Times New Roman" w:hAnsi="Times New Roman" w:eastAsia="Times New Roman" w:cs="Times New Roman"/>
          <w:sz w:val="20"/>
          <w:szCs w:val="20"/>
        </w:rPr>
        <w:t>[11] J. Schekkerman, "How to Survive in the Jungle of Enterprise Architecture Frameworks," 2.ª ed., Trafford Publishing, 2004.</w:t>
      </w:r>
    </w:p>
    <w:p w14:paraId="30F7007F">
      <w:pPr>
        <w:spacing w:after="100" w:line="280" w:lineRule="auto"/>
        <w:ind w:left="540" w:hanging="540"/>
        <w:jc w:val="both"/>
      </w:pPr>
      <w:r>
        <w:rPr>
          <w:rFonts w:ascii="Times New Roman" w:hAnsi="Times New Roman" w:eastAsia="Times New Roman" w:cs="Times New Roman"/>
          <w:sz w:val="20"/>
          <w:szCs w:val="20"/>
        </w:rPr>
        <w:t>[12] Institute For Enterprise Architecture Developments (IFEAD), "Extended Enterprise Architecture Framework (E2AF) Essentials Guide," IFEAD.</w:t>
      </w:r>
    </w:p>
    <w:p w14:paraId="0702D32C">
      <w:pPr>
        <w:spacing w:after="100" w:line="280" w:lineRule="auto"/>
        <w:ind w:left="540" w:hanging="540"/>
        <w:jc w:val="both"/>
      </w:pPr>
      <w:r>
        <w:rPr>
          <w:rFonts w:ascii="Times New Roman" w:hAnsi="Times New Roman" w:eastAsia="Times New Roman" w:cs="Times New Roman"/>
          <w:sz w:val="20"/>
          <w:szCs w:val="20"/>
        </w:rPr>
        <w:t>[13] The Open Group, "TOGAF Standard — Introduction and Core Concepts," The Open Group, 2022.</w:t>
      </w:r>
    </w:p>
    <w:p w14:paraId="130F8DD0">
      <w:pPr>
        <w:spacing w:after="100" w:line="280" w:lineRule="auto"/>
        <w:ind w:left="540" w:hanging="540"/>
        <w:jc w:val="both"/>
      </w:pPr>
      <w:r>
        <w:rPr>
          <w:rFonts w:ascii="Times New Roman" w:hAnsi="Times New Roman" w:eastAsia="Times New Roman" w:cs="Times New Roman"/>
          <w:sz w:val="20"/>
          <w:szCs w:val="20"/>
        </w:rPr>
        <w:t>[14] The Open Group, "TOGAF Standard — Architecture Development Method (ADM)," The Open Group, 2022.</w:t>
      </w:r>
    </w:p>
    <w:p w14:paraId="15100C47">
      <w:pPr>
        <w:spacing w:after="100" w:line="280" w:lineRule="auto"/>
        <w:ind w:left="540" w:hanging="540"/>
        <w:jc w:val="both"/>
      </w:pPr>
      <w:r>
        <w:rPr>
          <w:rFonts w:ascii="Times New Roman" w:hAnsi="Times New Roman" w:eastAsia="Times New Roman" w:cs="Times New Roman"/>
          <w:sz w:val="20"/>
          <w:szCs w:val="20"/>
        </w:rPr>
        <w:t>[15] D. Hardt, "The OAuth 2.0 Authorization Framework," RFC 6749, IETF, octubre de 2012.</w:t>
      </w:r>
    </w:p>
    <w:p w14:paraId="4CE69A50">
      <w:pPr>
        <w:spacing w:after="100" w:line="280" w:lineRule="auto"/>
        <w:ind w:left="540" w:hanging="540"/>
        <w:jc w:val="both"/>
      </w:pPr>
      <w:r>
        <w:rPr>
          <w:rFonts w:ascii="Times New Roman" w:hAnsi="Times New Roman" w:eastAsia="Times New Roman" w:cs="Times New Roman"/>
          <w:sz w:val="20"/>
          <w:szCs w:val="20"/>
        </w:rPr>
        <w:t>[16] OpenID Foundation, "OpenID Connect Core 1.0," OpenID Foundation.</w:t>
      </w:r>
    </w:p>
    <w:p w14:paraId="50A18B41">
      <w:pPr>
        <w:spacing w:after="100" w:line="280" w:lineRule="auto"/>
        <w:ind w:left="540" w:hanging="540"/>
        <w:jc w:val="both"/>
      </w:pPr>
      <w:r>
        <w:rPr>
          <w:rFonts w:ascii="Times New Roman" w:hAnsi="Times New Roman" w:eastAsia="Times New Roman" w:cs="Times New Roman"/>
          <w:sz w:val="20"/>
          <w:szCs w:val="20"/>
        </w:rPr>
        <w:t>[17] National Institute of Standards and Technology, "NIST SP 800-207: Zero Trust Architecture," NIST, agosto de 2020.</w:t>
      </w:r>
    </w:p>
    <w:p w14:paraId="4753346B">
      <w:pPr>
        <w:spacing w:after="100" w:line="280" w:lineRule="auto"/>
        <w:ind w:left="540" w:hanging="540"/>
        <w:jc w:val="both"/>
      </w:pPr>
      <w:r>
        <w:rPr>
          <w:rFonts w:ascii="Times New Roman" w:hAnsi="Times New Roman" w:eastAsia="Times New Roman" w:cs="Times New Roman"/>
          <w:sz w:val="20"/>
          <w:szCs w:val="20"/>
        </w:rPr>
        <w:t>[18] OWASP Foundation, "OWASP Top Ten: Web Application Security Risks," OWASP.</w:t>
      </w:r>
    </w:p>
    <w:p w14:paraId="1E668C08">
      <w:pPr>
        <w:spacing w:after="100" w:line="280" w:lineRule="auto"/>
        <w:ind w:left="540" w:hanging="540"/>
        <w:jc w:val="both"/>
      </w:pPr>
      <w:r>
        <w:rPr>
          <w:rFonts w:ascii="Times New Roman" w:hAnsi="Times New Roman" w:eastAsia="Times New Roman" w:cs="Times New Roman"/>
          <w:sz w:val="20"/>
          <w:szCs w:val="20"/>
        </w:rPr>
        <w:t>[19] Congreso de la República de Colombia, "Ley 1581 de 2012, por la cual se dictan disposiciones generales para la protección de datos personales," Bogotá, 2012.</w:t>
      </w:r>
    </w:p>
    <w:p w14:paraId="7727F15C">
      <w:pPr>
        <w:spacing w:after="100" w:line="280" w:lineRule="auto"/>
        <w:ind w:left="540" w:hanging="540"/>
        <w:jc w:val="both"/>
      </w:pPr>
      <w:r>
        <w:rPr>
          <w:rFonts w:ascii="Times New Roman" w:hAnsi="Times New Roman" w:eastAsia="Times New Roman" w:cs="Times New Roman"/>
          <w:sz w:val="20"/>
          <w:szCs w:val="20"/>
        </w:rPr>
        <w:t>[20] Superintendencia Financiera de Colombia, "Circular Básica Jurídica — requerimientos mínimos de seguridad de la información y ciberseguridad para entidades vigiladas," Bogotá.</w:t>
      </w:r>
    </w:p>
    <w:p w14:paraId="22507168">
      <w:pPr>
        <w:spacing w:after="100" w:line="280" w:lineRule="auto"/>
        <w:ind w:left="540" w:hanging="540"/>
        <w:jc w:val="both"/>
      </w:pPr>
      <w:r>
        <w:rPr>
          <w:rFonts w:ascii="Times New Roman" w:hAnsi="Times New Roman" w:eastAsia="Times New Roman" w:cs="Times New Roman"/>
          <w:sz w:val="20"/>
          <w:szCs w:val="20"/>
        </w:rPr>
        <w:t>[21] Superintendencia Financiera de Colombia, "Sistema de Administración del Riesgo de Lavado de Activos y de la Financiación del Terrorismo (SARLAFT)," Bogotá.</w:t>
      </w:r>
    </w:p>
    <w:p w14:paraId="33AD3FD7">
      <w:pPr>
        <w:spacing w:after="100" w:line="280" w:lineRule="auto"/>
        <w:ind w:left="540" w:hanging="540"/>
        <w:jc w:val="both"/>
      </w:pPr>
      <w:r>
        <w:rPr>
          <w:rFonts w:ascii="Times New Roman" w:hAnsi="Times New Roman" w:eastAsia="Times New Roman" w:cs="Times New Roman"/>
          <w:sz w:val="20"/>
          <w:szCs w:val="20"/>
        </w:rPr>
        <w:t>[22] PCI Security Standards Council, "Payment Card Industry Data Security Standard (PCI DSS)," PCI SSC.</w:t>
      </w:r>
    </w:p>
    <w:p w14:paraId="1A63BC44">
      <w:pPr>
        <w:spacing w:after="100" w:line="280" w:lineRule="auto"/>
        <w:ind w:left="540" w:hanging="540"/>
        <w:jc w:val="both"/>
      </w:pPr>
      <w:r>
        <w:rPr>
          <w:rFonts w:ascii="Times New Roman" w:hAnsi="Times New Roman" w:eastAsia="Times New Roman" w:cs="Times New Roman"/>
          <w:sz w:val="20"/>
          <w:szCs w:val="20"/>
        </w:rPr>
        <w:t>[23] C. Richardson, "Microservices Patterns: With Examples in Java," Manning Publications, 2018.</w:t>
      </w:r>
    </w:p>
    <w:p w14:paraId="39F73EE8">
      <w:pPr>
        <w:spacing w:after="100" w:line="280" w:lineRule="auto"/>
        <w:ind w:left="540" w:hanging="540"/>
        <w:jc w:val="both"/>
      </w:pPr>
      <w:r>
        <w:rPr>
          <w:rFonts w:ascii="Times New Roman" w:hAnsi="Times New Roman" w:eastAsia="Times New Roman" w:cs="Times New Roman"/>
          <w:sz w:val="20"/>
          <w:szCs w:val="20"/>
        </w:rPr>
        <w:t>[24] M. Fowler, "Patterns of Enterprise Application Architecture," Addison-Wesley, 2002.</w:t>
      </w:r>
    </w:p>
    <w:sectPr>
      <w:footerReference r:id="rId4" w:type="first"/>
      <w:footerReference r:id="rId3" w:type="default"/>
      <w:pgSz w:w="11906" w:h="16838"/>
      <w:pgMar w:top="1440" w:right="1440" w:bottom="1440" w:left="144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A0493">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83E5A"/>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7D9254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paragraph" w:styleId="14">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8694</Words>
  <Characters>49223</Characters>
  <TotalTime>8</TotalTime>
  <ScaleCrop>false</ScaleCrop>
  <LinksUpToDate>false</LinksUpToDate>
  <CharactersWithSpaces>57454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2026-09-02T20:09:00Z</dcterms:created>
  <dc:creator>Un-named</dc:creator>
  <cp:lastModifiedBy>satmo</cp:lastModifiedBy>
  <dcterms:modified xsi:type="dcterms:W3CDTF">2026-09-02T22:03:39Z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eyJoZGlkIjoiOTM0MzY0NGE2MzA5NDU1MTE5ZWMzNmNhMzc2YWNkZTgifQ==</vt:lpwstr>
  </property>
  <property fmtid="{D5CDD505-2E9C-101B-9397-08002B2CF9AE}" pid="3" name="KSOProductBuildVer">
    <vt:lpwstr>3082-12.1.0.28032</vt:lpwstr>
  </property>
  <property fmtid="{D5CDD505-2E9C-101B-9397-08002B2CF9AE}" pid="4" name="ICV">
    <vt:lpwstr>F62A316BBCE345CBAA0A8F8832FD9B69_12</vt:lpwstr>
  </property>
</Properties>
</file>