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F140A">
              <w:rPr>
                <w:rFonts w:ascii="Arial" w:hAnsi="Arial" w:cs="Arial"/>
                <w:bCs/>
                <w:sz w:val="22"/>
                <w:szCs w:val="22"/>
              </w:rPr>
              <w:t>1910/0/2</w:t>
            </w:r>
          </w:p>
          <w:p w:rsidR="005E67D8" w:rsidRPr="0075337D" w:rsidRDefault="005E67D8" w:rsidP="006B337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F140A">
              <w:rPr>
                <w:rFonts w:ascii="Arial" w:hAnsi="Arial" w:cs="Arial"/>
                <w:bCs/>
                <w:sz w:val="22"/>
                <w:szCs w:val="22"/>
              </w:rPr>
              <w:t xml:space="preserve">cubilete de 200ml 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4F140A" w:rsidRPr="004F140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????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F140A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F140A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4F14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4F140A">
              <w:rPr>
                <w:rFonts w:ascii="Arial" w:hAnsi="Arial" w:cs="Arial"/>
                <w:bCs/>
                <w:sz w:val="22"/>
                <w:szCs w:val="22"/>
              </w:rPr>
              <w:t>Blanco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4F140A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El clipaje sobre todo de la figura 2 sigue girando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F13D8D" w:rsidRPr="004F140A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6B337D" w:rsidRDefault="00CF2F83" w:rsidP="004F140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lang w:val="ca-ES" w:eastAsia="ca-ES"/>
              </w:rPr>
              <w:drawing>
                <wp:inline distT="0" distB="0" distL="0" distR="0" wp14:anchorId="1A21A44D" wp14:editId="17A8CDA1">
                  <wp:extent cx="2000250" cy="168173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910_0_2 foto anclaje2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10" t="37536" r="42338" b="49001"/>
                          <a:stretch/>
                        </pic:blipFill>
                        <pic:spPr bwMode="auto">
                          <a:xfrm>
                            <a:off x="0" y="0"/>
                            <a:ext cx="2020498" cy="169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Cs/>
              </w:rPr>
              <w:t xml:space="preserve">                   </w: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1809750" cy="168567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910_0_2 foto anclaje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32" t="40902" r="32193" b="34516"/>
                          <a:stretch/>
                        </pic:blipFill>
                        <pic:spPr bwMode="auto">
                          <a:xfrm flipH="1">
                            <a:off x="0" y="0"/>
                            <a:ext cx="1832918" cy="1707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4F140A">
            <w:pPr>
              <w:jc w:val="center"/>
              <w:rPr>
                <w:rFonts w:ascii="Arial" w:hAnsi="Arial" w:cstheme="minorBidi"/>
                <w:color w:val="1F497D"/>
              </w:rPr>
            </w:pPr>
            <w:r>
              <w:rPr>
                <w:noProof/>
                <w:lang w:val="ca-ES" w:eastAsia="ca-ES"/>
              </w:rPr>
              <w:drawing>
                <wp:inline distT="0" distB="0" distL="0" distR="0" wp14:anchorId="592B5115" wp14:editId="7DADC381">
                  <wp:extent cx="2238375" cy="207775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794" cy="20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CF2F83" w:rsidRDefault="00CF2F83" w:rsidP="00CF2F83">
            <w:pPr>
              <w:rPr>
                <w:rFonts w:ascii="Arial" w:hAnsi="Arial" w:cstheme="minorBidi"/>
                <w:color w:val="1F497D"/>
                <w:szCs w:val="22"/>
                <w:lang w:val="ca-ES" w:eastAsia="en-US"/>
              </w:rPr>
            </w:pPr>
            <w:r>
              <w:rPr>
                <w:rFonts w:ascii="Arial" w:hAnsi="Arial" w:cstheme="minorBidi"/>
                <w:color w:val="1F497D"/>
              </w:rPr>
              <w:t xml:space="preserve">Ya que el punto que se </w:t>
            </w:r>
            <w:r>
              <w:rPr>
                <w:rFonts w:ascii="Arial" w:hAnsi="Arial" w:cstheme="minorBidi"/>
                <w:color w:val="1F497D"/>
              </w:rPr>
              <w:t>está</w:t>
            </w:r>
            <w:r>
              <w:rPr>
                <w:rFonts w:ascii="Arial" w:hAnsi="Arial" w:cstheme="minorBidi"/>
                <w:color w:val="1F497D"/>
              </w:rPr>
              <w:t xml:space="preserve"> tocando es el anclaje por favor hacer un corte y mirarlo en el perfilador y ajustarlo con el tarro. </w:t>
            </w:r>
          </w:p>
          <w:p w:rsidR="00CF2F83" w:rsidRDefault="00CF2F83" w:rsidP="00CF2F83">
            <w:p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t>La ampliación visual del problema  os ayudara a  ver y</w:t>
            </w:r>
            <w:r>
              <w:rPr>
                <w:rFonts w:ascii="Arial" w:hAnsi="Arial" w:cstheme="minorBidi"/>
                <w:color w:val="1F497D"/>
              </w:rPr>
              <w:t xml:space="preserve"> dejar este punto acondicionado.</w:t>
            </w:r>
            <w:r w:rsidR="004F140A">
              <w:rPr>
                <w:rFonts w:ascii="Arial" w:hAnsi="Arial" w:cstheme="minorBidi"/>
                <w:color w:val="1F497D"/>
              </w:rPr>
              <w:t xml:space="preserve">el espacio que debe de ocupar el anclaje del tarro dentro del cubilete no es adecuado. </w:t>
            </w:r>
          </w:p>
          <w:p w:rsidR="00CF2F83" w:rsidRDefault="00CF2F83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CF2F83" w:rsidRDefault="00CF2F83" w:rsidP="00CF2F83">
            <w:p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lastRenderedPageBreak/>
              <w:t>E</w:t>
            </w:r>
            <w:r>
              <w:rPr>
                <w:rFonts w:ascii="Arial" w:hAnsi="Arial" w:cstheme="minorBidi"/>
                <w:color w:val="1F497D"/>
              </w:rPr>
              <w:t xml:space="preserve">l tema del clipaje de </w:t>
            </w:r>
            <w:r w:rsidR="004F140A">
              <w:rPr>
                <w:rFonts w:ascii="Arial" w:hAnsi="Arial" w:cstheme="minorBidi"/>
                <w:color w:val="1F497D"/>
              </w:rPr>
              <w:t xml:space="preserve">los </w:t>
            </w:r>
            <w:r>
              <w:rPr>
                <w:rFonts w:ascii="Arial" w:hAnsi="Arial" w:cstheme="minorBidi"/>
                <w:color w:val="1F497D"/>
              </w:rPr>
              <w:t xml:space="preserve">cubiletes ya se </w:t>
            </w:r>
            <w:r>
              <w:rPr>
                <w:rFonts w:ascii="Arial" w:hAnsi="Arial" w:cstheme="minorBidi"/>
                <w:color w:val="1F497D"/>
              </w:rPr>
              <w:t>explicó</w:t>
            </w:r>
            <w:r>
              <w:rPr>
                <w:rFonts w:ascii="Arial" w:hAnsi="Arial" w:cstheme="minorBidi"/>
                <w:color w:val="1F497D"/>
              </w:rPr>
              <w:t xml:space="preserve"> </w:t>
            </w:r>
            <w:r w:rsidR="004F140A">
              <w:rPr>
                <w:rFonts w:ascii="Arial" w:hAnsi="Arial" w:cstheme="minorBidi"/>
                <w:color w:val="1F497D"/>
              </w:rPr>
              <w:t>en una reunión</w:t>
            </w:r>
            <w:r w:rsidR="00C81213">
              <w:rPr>
                <w:rFonts w:ascii="Arial" w:hAnsi="Arial" w:cstheme="minorBidi"/>
                <w:color w:val="1F497D"/>
              </w:rPr>
              <w:t xml:space="preserve">, </w:t>
            </w:r>
            <w:r w:rsidR="004F140A">
              <w:rPr>
                <w:rFonts w:ascii="Arial" w:hAnsi="Arial" w:cstheme="minorBidi"/>
                <w:color w:val="1F497D"/>
              </w:rPr>
              <w:t xml:space="preserve"> </w:t>
            </w:r>
            <w:r w:rsidR="00C81213">
              <w:rPr>
                <w:rFonts w:ascii="Arial" w:hAnsi="Arial" w:cstheme="minorBidi"/>
                <w:color w:val="1F497D"/>
              </w:rPr>
              <w:t>no coincide</w:t>
            </w:r>
            <w:r>
              <w:rPr>
                <w:rFonts w:ascii="Arial" w:hAnsi="Arial" w:cstheme="minorBidi"/>
                <w:color w:val="1F497D"/>
              </w:rPr>
              <w:t xml:space="preserve"> la forma que tienen los cubiletes c</w:t>
            </w:r>
            <w:r>
              <w:rPr>
                <w:rFonts w:ascii="Arial" w:hAnsi="Arial" w:cstheme="minorBidi"/>
                <w:color w:val="1F497D"/>
              </w:rPr>
              <w:t xml:space="preserve">on la del anclaje de los tarros, </w:t>
            </w:r>
            <w:r>
              <w:rPr>
                <w:rFonts w:ascii="Arial" w:hAnsi="Arial" w:cstheme="minorBidi"/>
                <w:color w:val="1F497D"/>
              </w:rPr>
              <w:t>sobre</w:t>
            </w:r>
            <w:r w:rsidR="00C81213">
              <w:rPr>
                <w:rFonts w:ascii="Arial" w:hAnsi="Arial" w:cstheme="minorBidi"/>
                <w:color w:val="1F497D"/>
              </w:rPr>
              <w:t xml:space="preserve"> </w:t>
            </w:r>
            <w:r>
              <w:rPr>
                <w:rFonts w:ascii="Arial" w:hAnsi="Arial" w:cstheme="minorBidi"/>
                <w:color w:val="1F497D"/>
              </w:rPr>
              <w:t xml:space="preserve">todo cuando se </w:t>
            </w:r>
            <w:r w:rsidR="00C81213">
              <w:rPr>
                <w:rFonts w:ascii="Arial" w:hAnsi="Arial" w:cstheme="minorBidi"/>
                <w:color w:val="1F497D"/>
              </w:rPr>
              <w:t>combinan</w:t>
            </w:r>
            <w:r>
              <w:rPr>
                <w:rFonts w:ascii="Arial" w:hAnsi="Arial" w:cstheme="minorBidi"/>
                <w:color w:val="1F497D"/>
              </w:rPr>
              <w:t xml:space="preserve"> con varios tarros.</w:t>
            </w:r>
          </w:p>
          <w:p w:rsidR="00CF2F83" w:rsidRDefault="004F140A" w:rsidP="00CF2F83">
            <w:p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t xml:space="preserve">Este sistema debería de ser universal en todas las piezas y encontramos diseños distintos que al </w:t>
            </w:r>
            <w:r w:rsidR="00C81213">
              <w:rPr>
                <w:rFonts w:ascii="Arial" w:hAnsi="Arial" w:cstheme="minorBidi"/>
                <w:color w:val="1F497D"/>
              </w:rPr>
              <w:t>combinarlos</w:t>
            </w:r>
            <w:r>
              <w:rPr>
                <w:rFonts w:ascii="Arial" w:hAnsi="Arial" w:cstheme="minorBidi"/>
                <w:color w:val="1F497D"/>
              </w:rPr>
              <w:t xml:space="preserve"> con otras piezas no casan bien. </w:t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CF2F83" w:rsidRDefault="00CF2F83" w:rsidP="00CF2F83">
            <w:p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t xml:space="preserve">Solo con comprobar que hasta en los planos son diferentes </w:t>
            </w:r>
            <w:r w:rsidR="004F140A">
              <w:rPr>
                <w:rFonts w:ascii="Arial" w:hAnsi="Arial" w:cstheme="minorBidi"/>
                <w:color w:val="1F497D"/>
              </w:rPr>
              <w:t xml:space="preserve">las formas de los anclajes de los cubiletes </w:t>
            </w:r>
            <w:r w:rsidR="00C81213">
              <w:rPr>
                <w:rFonts w:ascii="Arial" w:hAnsi="Arial" w:cstheme="minorBidi"/>
                <w:color w:val="1F497D"/>
              </w:rPr>
              <w:t xml:space="preserve">y se </w:t>
            </w:r>
            <w:r>
              <w:rPr>
                <w:rFonts w:ascii="Arial" w:hAnsi="Arial" w:cstheme="minorBidi"/>
                <w:color w:val="1F497D"/>
              </w:rPr>
              <w:t xml:space="preserve"> montar en los mismos tarros</w:t>
            </w:r>
            <w:r w:rsidR="004F140A">
              <w:rPr>
                <w:rFonts w:ascii="Arial" w:hAnsi="Arial" w:cstheme="minorBidi"/>
                <w:color w:val="1F497D"/>
              </w:rPr>
              <w:t xml:space="preserve"> T-65</w:t>
            </w:r>
            <w:r>
              <w:rPr>
                <w:rFonts w:ascii="Arial" w:hAnsi="Arial" w:cstheme="minorBidi"/>
                <w:color w:val="1F497D"/>
              </w:rPr>
              <w:t>:</w:t>
            </w:r>
          </w:p>
          <w:p w:rsidR="00C81213" w:rsidRDefault="00C81213" w:rsidP="00CF2F83">
            <w:pPr>
              <w:rPr>
                <w:rFonts w:ascii="Arial" w:hAnsi="Arial" w:cstheme="minorBidi"/>
                <w:color w:val="1F497D"/>
              </w:rPr>
            </w:pPr>
          </w:p>
          <w:p w:rsidR="00C81213" w:rsidRDefault="00C81213" w:rsidP="00CF2F83">
            <w:pPr>
              <w:rPr>
                <w:rFonts w:ascii="Arial" w:hAnsi="Arial" w:cstheme="minorBidi"/>
                <w:color w:val="1F497D"/>
              </w:rPr>
            </w:pPr>
          </w:p>
          <w:p w:rsidR="00CF2F83" w:rsidRDefault="00CF2F83" w:rsidP="00C81213">
            <w:pPr>
              <w:jc w:val="center"/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t>Ej M1905-0-1</w:t>
            </w:r>
            <w:r w:rsidR="00C81213">
              <w:rPr>
                <w:rFonts w:ascii="Arial" w:hAnsi="Arial" w:cstheme="minorBidi"/>
                <w:color w:val="1F497D"/>
              </w:rPr>
              <w:t xml:space="preserve">                </w:t>
            </w:r>
            <w:r>
              <w:rPr>
                <w:rFonts w:ascii="Arial" w:hAnsi="Arial" w:cstheme="minorBidi"/>
                <w:color w:val="1F497D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theme="minorBidi"/>
                <w:color w:val="1F497D"/>
              </w:rPr>
              <w:t>M1846</w:t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4F140A">
            <w:pPr>
              <w:jc w:val="center"/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0B20F931" wp14:editId="0B0478A3">
                  <wp:extent cx="4543425" cy="227171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605123b-f741-4b84-b6dd-ca1bf497e5a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241" cy="227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F13D8D" w:rsidRPr="003356F2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lastRenderedPageBreak/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4F140A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4F140A">
              <w:rPr>
                <w:rFonts w:ascii="Arial" w:hAnsi="Arial" w:cs="Arial"/>
                <w:b/>
                <w:bCs/>
              </w:rPr>
              <w:t>24/09/2020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063" w:rsidRDefault="00A37063">
      <w:r>
        <w:separator/>
      </w:r>
    </w:p>
  </w:endnote>
  <w:endnote w:type="continuationSeparator" w:id="0">
    <w:p w:rsidR="00A37063" w:rsidRDefault="00A3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C73B45" w:rsidRPr="00C73B45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063" w:rsidRDefault="00A37063">
      <w:r>
        <w:separator/>
      </w:r>
    </w:p>
  </w:footnote>
  <w:footnote w:type="continuationSeparator" w:id="0">
    <w:p w:rsidR="00A37063" w:rsidRDefault="00A37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Molde nuevo :</w:t>
          </w:r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A3706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A3706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A3706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A3706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A3706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39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140A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37063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3B45"/>
    <w:rsid w:val="00C74769"/>
    <w:rsid w:val="00C75758"/>
    <w:rsid w:val="00C7612B"/>
    <w:rsid w:val="00C80B7D"/>
    <w:rsid w:val="00C81213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CF2F83"/>
    <w:rsid w:val="00D11D3A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FC896-4254-4684-9A22-B908134E2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2</cp:revision>
  <cp:lastPrinted>2018-07-30T14:08:00Z</cp:lastPrinted>
  <dcterms:created xsi:type="dcterms:W3CDTF">2020-09-24T17:33:00Z</dcterms:created>
  <dcterms:modified xsi:type="dcterms:W3CDTF">2020-09-24T17:33:00Z</dcterms:modified>
</cp:coreProperties>
</file>