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EF4D46">
        <w:rPr>
          <w:rFonts w:ascii="Tahoma" w:hAnsi="Tahoma" w:cs="Tahoma"/>
          <w:b/>
          <w:bCs/>
          <w:sz w:val="20"/>
          <w:szCs w:val="20"/>
          <w:u w:val="single"/>
        </w:rPr>
        <w:t>90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BD667E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 se ha podido terminar la prueba porque las piezas se quedan dentro de la caja (Parte fija)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BD667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15/03/2019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BD667E" w:rsidRDefault="00BD667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>Se han instalado 2 válvulas neumáticas de Ø10 en cada una de las figuras.</w:t>
            </w:r>
          </w:p>
          <w:p w:rsidR="00BD667E" w:rsidRPr="00BD667E" w:rsidRDefault="00BD667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 vuelto a pulir a espejo las válvulas y los dos 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noyo</w:t>
            </w: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>s.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BD667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D667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  <w:bookmarkStart w:id="0" w:name="_GoBack"/>
            <w:bookmarkEnd w:id="0"/>
            <w:r w:rsidR="00EF4D46">
              <w:rPr>
                <w:rFonts w:ascii="Arial" w:hAnsi="Arial" w:cs="Arial"/>
                <w:b/>
                <w:bCs/>
                <w:sz w:val="28"/>
                <w:szCs w:val="28"/>
              </w:rPr>
              <w:t>/03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0E" w:rsidRDefault="0050670E">
      <w:r>
        <w:separator/>
      </w:r>
    </w:p>
  </w:endnote>
  <w:endnote w:type="continuationSeparator" w:id="0">
    <w:p w:rsidR="0050670E" w:rsidRDefault="0050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BD667E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0E" w:rsidRDefault="0050670E">
      <w:r>
        <w:separator/>
      </w:r>
    </w:p>
  </w:footnote>
  <w:footnote w:type="continuationSeparator" w:id="0">
    <w:p w:rsidR="0050670E" w:rsidRDefault="0050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0670E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814C15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5BFC5-8840-43C4-A866-F3D4497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82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9</cp:revision>
  <cp:lastPrinted>2015-01-07T11:41:00Z</cp:lastPrinted>
  <dcterms:created xsi:type="dcterms:W3CDTF">2017-04-11T10:27:00Z</dcterms:created>
  <dcterms:modified xsi:type="dcterms:W3CDTF">2019-03-20T17:14:00Z</dcterms:modified>
</cp:coreProperties>
</file>