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top w:val="nil"/>
          <w:left w:val="nil"/>
          <w:bottom w:val="nil"/>
          <w:right w:val="nil"/>
          <w:between w:val="nil"/>
        </w:pBdr>
      </w:pPr>
      <w:r>
        <w:t>Portafolio de Investigación Orientado a Datos para Paraguay</w:t>
      </w:r>
    </w:p>
    <w:p>
      <w:pPr>
        <w:jc w:val="center"/>
      </w:pPr>
      <w:r>
        <w:rPr>
          <w:i/>
        </w:rPr>
        <w:t>Reorganización conceptual de la agenda de investigación</w:t>
      </w:r>
    </w:p>
    <w:p>
      <w:pPr>
        <w:spacing w:after="100" w:line="259" w:lineRule="auto"/>
      </w:pPr>
      <w:r>
        <w:t>Propósito. Convertir una agenda amplia de propuestas en opciones de investigación con preguntas, estimandos, escalera de datos y criterios de credibilidad explícitos. El documento no presupone disponibilidad de datos ni recomienda implementar todos los proyectos.</w:t>
      </w:r>
    </w:p>
    <w:p>
      <w:pPr>
        <w:pStyle w:val="Heading1"/>
      </w:pPr>
      <w:r>
        <w:t>Diagnóstico ejecutivo</w:t>
      </w:r>
    </w:p>
    <w:p>
      <w:pPr>
        <w:spacing w:after="100" w:line="259" w:lineRule="auto"/>
      </w:pPr>
      <w:r>
        <w:t>La agenda tiene una fortaleza poco común: formula mecanismos económicos relevantes para Paraguay y, en general, reconoce que el mismo título puede requerir evidencia muy distinta según el nivel de datos. Su principal problema es de escala y solapamiento: 35 títulos combinan infraestructura, notas de política, pilotos de acceso a microdatos y potenciales artículos. Como cartera, no como lista de tareas, se ordena mejor en 16 fichas estratégicas con módulos separables. La decisión crítica no es elegir el método más sofisticado; es verificar si el estimando, la unidad de observación y la variación disponible permiten la afirmación que da nombre al proyecto.</w:t>
      </w:r>
    </w:p>
    <w:p>
      <w:pPr>
        <w:spacing w:after="100" w:line="259" w:lineRule="auto"/>
      </w:pPr>
      <w:r>
        <w:t>Tres principios gobiernan la reorganización. Primero, separar resultados agregados útiles de mecanismos causales heterogéneos: una respuesta de crédito agregada no identifica oferta de crédito. Segundo, los activos de información -vintages, identificadores anonimizados, calendarios institucionales, metadatos de cambios y concordancias- son capital compartido, no anexos. Tercero, los proyectos que dependen de un tratamiento o variable central aún no validada deben comenzar como piloto de medición y factibilidad, no como artículo prometido.</w:t>
      </w:r>
    </w:p>
    <w:p>
      <w:pPr>
        <w:pStyle w:val="Heading1"/>
      </w:pPr>
      <w:r>
        <w:t>Arquitectura de programas</w:t>
      </w:r>
    </w:p>
    <w:p>
      <w:pPr>
        <w:spacing w:after="80"/>
      </w:pPr>
      <w:r>
        <w:rPr>
          <w:b/>
        </w:rPr>
        <w:t xml:space="preserve">A. Implementación monetaria y liquidez. </w:t>
      </w:r>
      <w:r>
        <w:t>Cómo reservas, liquidación de operaciones FX y esterilización se traducen en tasas de corto plazo y condiciones bancarias. Fusiona F1 y F4, preservando su separación de estimandos.</w:t>
      </w:r>
    </w:p>
    <w:p>
      <w:pPr>
        <w:spacing w:after="80"/>
      </w:pPr>
      <w:r>
        <w:rPr>
          <w:b/>
        </w:rPr>
        <w:t xml:space="preserve">B. Tipo de cambio y funcionamiento del mercado FX. </w:t>
      </w:r>
      <w:r>
        <w:t>Tres objetos no intercambiables: eficacia de intervención, explicación multi-horizonte y microestructura/orden de flujo. Reúne F3, F5 y F10.</w:t>
      </w:r>
    </w:p>
    <w:p>
      <w:pPr>
        <w:spacing w:after="80"/>
      </w:pPr>
      <w:r>
        <w:rPr>
          <w:b/>
        </w:rPr>
        <w:t xml:space="preserve">C. Intermediación financiera y mercados de capitales. </w:t>
      </w:r>
      <w:r>
        <w:t>Liquidez dólar, dolarización y mismatch, depósitos, bonos versus banca, deuda pública, cooperativas, riesgo bancario y repricing. Reúne F2, F6, F9, F11, N2, N3, N6 y N7.</w:t>
      </w:r>
    </w:p>
    <w:p>
      <w:pPr>
        <w:spacing w:after="80"/>
      </w:pPr>
      <w:r>
        <w:rPr>
          <w:b/>
        </w:rPr>
        <w:t xml:space="preserve">D. Clima, actividad, inflación y estabilidad. </w:t>
      </w:r>
      <w:r>
        <w:t>Núcleo ENSO, mecanismo meteorológico, anticipación, riesgo inflacionario, inflación relativa y riesgo de crédito. Reúne C1-C6.</w:t>
      </w:r>
    </w:p>
    <w:p>
      <w:pPr>
        <w:spacing w:after="80"/>
      </w:pPr>
      <w:r>
        <w:rPr>
          <w:b/>
        </w:rPr>
        <w:t xml:space="preserve">E. Pronóstico, datos en tiempo real y expectativas. </w:t>
      </w:r>
      <w:r>
        <w:t>Combinación, reconciliación, nowcasting, revisiones, densidades, desacuerdo y anclaje. Reúne G1-G7.</w:t>
      </w:r>
    </w:p>
    <w:p>
      <w:pPr>
        <w:spacing w:after="80"/>
      </w:pPr>
      <w:r>
        <w:rPr>
          <w:b/>
        </w:rPr>
        <w:t xml:space="preserve">F. Digitalización y microtransmisión. </w:t>
      </w:r>
      <w:r>
        <w:t>Facturación electrónica, cadenas de pagos, pagos instantáneos, importación-precios, logística fluvial, desigualdad inflacionaria, comunicación y arbitraje fronterizo. Reúne F7-F8 y N1, N4-N11.</w:t>
      </w:r>
    </w:p>
    <w:p>
      <w:pPr>
        <w:pStyle w:val="Heading1"/>
      </w:pPr>
      <w:r>
        <w:t>Fichas estandarizadas</w:t>
      </w:r>
    </w:p>
    <w:p>
      <w:pPr>
        <w:pStyle w:val="Heading2"/>
        <w:keepNext/>
        <w:spacing w:before="280"/>
      </w:pPr>
      <w:r>
        <w:rPr>
          <w:color w:val="000000"/>
        </w:rPr>
        <w:t>A1  Demanda de reservas y huella de liquidez de operaciones FX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Listo para ser diseñado empíricamente; la extensión causal a crédito requiere variación de liquidez defendible.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la tasa de política no llega mecánicamente al crédito; la escasez de reservas, la liquidación FX y la esterilización pueden cambiar el premio de liquidez. Paraguay permite una contribución operativa valiosa si se distingue el nivel de reservas del shock neto de liquidez.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¿cómo cambian el spread interbancario, uso de facilidades y condiciones bancarias ante la escasez de reservas o una sorpresa de liquidez por liquidación FX? Estimando: curva condicional reservas-spread y respuesta dinámica a innovación neta de reservas. Mecanismo: gestión de liquidez bancaria. Evidencia: descriptiva/forma reducida; causal sólo con sorpresa institucionalmente validada.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contabilidad diaria de reservas, liquidación y esterilización; curva flexible del spread sobre reservas con calendario y régimen. Intermedio: proyecciones locales diarias; banco-mes con exposición predeterminada. Frontera: reservas y pagos intradía, contrapartes y préstamos nuevos. Unidad banco-día y banco-mes; horizonte 1 día a 12 meses; splines y LP son preferibles por no imponer linealidad ni dinámica.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reservas agregadas, corredor, tasa interbancaria, operaciones y regímenes fechados. Suficiente: reservas/operaciones diarias y resultados bancarios mensuales. Ideal: reservas, participación FX, facilidades, posiciones interbancarias y tasas/cantidades de crédito por banco-moneda-sector. Óptimo: cuentas intradía, pagos SIPAP, trades interbancarios, colateral y originaciones. Metadatos: hora de liquidación, reglas de encaje/facilidades, calendario fiscal y definición de esterilización; preservar breaks y revisiones.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La reacción del BCP a presión cambiaria y de liquidez genera endogeneidad; los flujos del Tesoro pueden responder a actividad. Exigir identidad de liquidez que cuadre, pre-tendencias, placebos de calendario, medidas alternativas de escasez y diagnóstico de instrumentos débiles. Un resultado nulo fuera de la zona de escasez es informativo.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Primero construir un libro de operaciones y calendario de liquidación. Sólo promover a causalidad bancaria si se valida una fuente de variación autónoma o sorpresiva. Este activo alimenta intervención FX, depósitos, riesgo bancario y pagos instantáneos.</w:t>
      </w:r>
    </w:p>
    <w:p>
      <w:pPr>
        <w:pStyle w:val="Heading2"/>
        <w:keepNext/>
        <w:spacing w:before="280"/>
      </w:pPr>
      <w:r>
        <w:rPr>
          <w:color w:val="000000"/>
        </w:rPr>
        <w:t>B1  Intervención cambiaria y eficacia en el mercado FX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Requiere acotar el estimando y reconstruir la función de reacción; depende de información institucional o alta frecuencia para causalidad.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las intervenciones ocurren cuando la presión cambiaria es excepcional. El aporte sería estimar duración, magnitud y estado de los efectos, no un coeficiente promedio con causalidad invertida.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¿cuál es el efecto dinámico de una operación FX exógena o mejor identificada sobre retorno, volatilidad y riesgo de cola del PYG/USD? Estimando: respuesta acumulada por monto y tipo de operación. Mecanismo: absorción de presión, señalización o capacidad dealer. Evidencia: asociación condicionada con diario; causal con timing/reglas/narrativa creíbles.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cronología diaria de operación, tipo compensatoria/complementaria, retorno y presión previa; estudios de eventos condicionados. Intermedio: LP diarias y matching con controles globales. Frontera: ventanas intradía, quotes, spreads, flujo firmado y documentos de decisión. Unidad día o minuto; horizonte impacto a 20 días. No usar turnover como flujo ni ventas brutas como tratamiento neto.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monto y fecha exactos, dirección y tipo, tipo de cambio. Suficiente: operaciones diarias por tipo, volatilidad, variables globales/regionales y comunicaciones. Ideal: ventana/estado de anuncio, ejecución, spreads y profundidad. Óptimo: órdenes y ejecuciones fechadas, flujo dealer-cliente, información interna y calendario compensatorio. Metadatos: decisión versus ejecución, objetivo, anuncio, contraparte, esterilización y revisiones.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La selección de la intervención es central. Exigir balance de presión previa, falsos eventos, exclusión de episodios extremos, efectos por horizonte y defensa documental de cada instrumento. Un efecto corto o sólo en volatilidad sigue siendo una conclusión de política valiosa.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Crear primero una taxonomía auditable de operaciones y un memo de la función de reacción. Luego conectar, sin confundir, con A1 y B3. Si no se separan propósito y timing, conservar como evaluación condicional de operaciones.</w:t>
      </w:r>
    </w:p>
    <w:p>
      <w:pPr>
        <w:pStyle w:val="Heading2"/>
        <w:keepNext/>
        <w:spacing w:before="280"/>
      </w:pPr>
      <w:r>
        <w:rPr>
          <w:color w:val="000000"/>
        </w:rPr>
        <w:t>B2  Marco multi-horizonte del guaraní-dólar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Listo para ser diseñado empíricamente como marco descriptivo y predictivo; requiere microdatos para afirmar microestructura.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nivel de equilibrio, retorno mensual y movimiento intradía son objetos distintos. Un marco recurrente mejora diagnóstico y pronóstico sin convertir una estimación de valor justo en objetivo de política.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¿qué variables explican y predicen el PYG/USD por horizonte? Estimando: contribuciones y desempeño fuera de muestra de modelos por frecuencia, no el efecto causal de cada fundamental. Mecanismo: ajuste macro lento versus presión financiera de alta frecuencia. Evidencia: descriptiva, predictiva y forma reducida.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ECM/BEER mensual y benchmarking contra random walk; descomposición histórica con bandas amplias. Intermedio: BVAR/factores y evaluación recursiva diaria-mensual. Frontera: modelo de espacio de estados que combine componente lento con presión de mercado. Unidad diaria/mensual; horizontes 1 día a 24 meses; separar nivel, retorno y variación interanual.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PYG/USD mensual, dólar amplio, Brasil/Argentina, commodities, inflación y tasas relativas, comercio y actividad. Suficiente: serie diaria, intervención y controles globales más fundamentos mensuales. Ideal: forwards, expectativas y compras netas bancarias por cliente. Óptimo: flujo firmado, quotes/profundidad y vintages macro. Metadatos: horario de cierre, fuente de cada precio, cambios de metodología y fecha de disponibilidad.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Sobreajuste, inestabilidad y endogeneidad de fundamentales. Exigir benchmark simple, evaluación recursiva, tests de estabilidad, bandas y episodios históricos predefinidos. Ausencia de ganancia frente al random walk delimita honestamente el uso del marco.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Construir un archivo de datos por frecuencia y decisiones de transformación. El valor compartido va a B1, B3, N4/N11 y forecasting. Sólo integrar flujo de órdenes si se valida B3.</w:t>
      </w:r>
    </w:p>
    <w:p>
      <w:pPr>
        <w:pStyle w:val="Heading2"/>
        <w:keepNext/>
        <w:spacing w:before="280"/>
      </w:pPr>
      <w:r>
        <w:rPr>
          <w:color w:val="000000"/>
        </w:rPr>
        <w:t>B3  Flujo de órdenes, posiciones bancarias y microestructura FX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Depende de información institucional, microdatos y alta frecuencia; debe permanecer como piloto de medición.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a horizonte corto el flujo firmado y la capacidad dealer pueden explicar precios mejor que fundamentos agregados. La oportunidad es alta, pero la variable central no puede sustituirse por turnover.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¿cuál es el impacto de flujo FX firmado por tipo de agente sobre el PYG/USD y cómo depende de capacidad de posición? Estimando: elasticidad precio-flujo y heterogeneidad por balance. Mecanismo: información dispersa o absorción de inventario. Evidencia: forma reducida; causal sólo con calendarios/exógenos de flujo.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validar definición, signo y cobertura del flujo; describir concentración y balance de inventarios. Intermedio: regresiones de impacto/LP con noticias globales. Frontera: trades y quotes intradía, posiciones intradía y shocks de flujo ligados a liquidación comercial predeterminada. Unidad trade/minuto o banco-día.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no existe sustituto; flujo neto firmado y tipo de cambio son indispensables. Suficiente: flujo diario por categoría y turnover. Ideal: banco-día, posiciones y spreads. Óptimo: trade-time, dirección, cliente, quotes, profundidad y posiciones intradía. Metadatos: convención de signo, neteo, cambios de plataforma, categoría de contraparte, hora y cobertura.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Precio y flujo se determinan simultáneamente; clasificación errónea destruye el estimando. Exigir conciliación contable, estabilidad de signos, observaciones faltantes, controles de anuncios y tests de anticipación. Un piloto que muestre baja cobertura es un resultado decisivo para no avanzar.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Entregar primero serie validada y nota de identificación. Si supera validación, enlaza con B1; si no, limitar B2 a marco macro.</w:t>
      </w:r>
    </w:p>
    <w:p>
      <w:pPr>
        <w:pStyle w:val="Heading2"/>
        <w:keepNext/>
        <w:spacing w:before="280"/>
      </w:pPr>
      <w:r>
        <w:rPr>
          <w:color w:val="000000"/>
        </w:rPr>
        <w:t>C1  Liquidez dólar, dolarización y descalce cambiario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Requiere datos que probablemente deban construirse; versión causal depende de microdatos bancarios y de shocks externos identificados.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posición neta y dolarización agregada no miden liquidez de liquidación ni riesgo del prestatario. El proyecto integra F2 y F11 bajo una pregunta de estabilidad financiera coherente.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¿cómo amplifican la vulnerabilidad de liquidez USD y el descalce del prestatario los shocks externos/depreciaciones hacia tasas, crédito y default? Estimandos: respuesta de préstamo a shock externo × vulnerabilidad bancaria; diferencia de incumplimiento tras depreciación × deuda USD × cobertura natural. Mecanismos: capacidad de balance y cash flow. Evidencia: forma reducida; causal con shocks y comparaciones dentro de prestatario.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panel banco-moneda y mapa de exposición; descriptivo de fuentes y usos USD. Intermedio: LP banco-sector con shocks globales identificados y exposiciones predeterminadas; default por sector exportador. Frontera: crédito-registro ligado a moneda de ingresos/exportación y deuda de corto plazo. Unidad banco-mes, préstamo-mes; horizonte 1-24 meses.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activos, depósitos, crédito, capital y NPL por moneda. Suficiente: banco-moneda-sector, fondeo externo y shocks globales validados. Ideal: liquidez USD por plazo, originaciones, tasas, madurez, sector y proxy de cobertura. Óptimo: contratos/solicitudes y datos de ingresos en moneda/exportación, corresponsalías, vencimientos y garantías. Metadatos: moneda original, residual maturity, conversión, reestructuración, definición de NPL y vínculo anonimizado empresa-banco.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DXY no es shock exógeno; la deuda USD refleja selección y cobertura medida con error. Exigir USD/PYG por separado, pre-tendencias, exposición congelada antes del shock, comparación del mismo prestatario y sensibilidad a proxies de hedge. Un hallazgo de que sólo importa el sector exportador refina, no invalida, el mecanismo.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Prioridad de construcción: panel banco-moneda-plazo y concordancia crédito-registro-comercio. Alimenta N2, N6, N7, C5 y análisis macroprudencial.</w:t>
      </w:r>
    </w:p>
    <w:p>
      <w:pPr>
        <w:pStyle w:val="Heading2"/>
        <w:keepNext/>
        <w:spacing w:before="280"/>
      </w:pPr>
      <w:r>
        <w:rPr>
          <w:color w:val="000000"/>
        </w:rPr>
        <w:t>C2  Depósitos, crédito y sustitución entre intermediarios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Listo para ser diseñado empíricamente en una versión bancaria; la sustitución entre bancos y cooperativas requiere identificadores comunes.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en un sistema dual, política monetaria puede redistribuir depósitos entre moneda, bancos, valores y cooperativas. Mirar solo crédito bancario puede sobredimensionar o subestimar la transmisión.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¿cómo cambia el fondeo -precio, cantidad y moneda- ante política, y qué sucede con el crédito? Estimandos: beta de depósitos y respuesta de flujos; sustitución de crédito entre tipos de prestamista. Mecanismo: poder de mercado y fricción de cambio. Evidencia: descriptiva/forma reducida; causal de oferta sólo con exposición predeterminada y comparación común de demanda.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betas banco-producto-moneda y mapa de flujos. Intermedio: LP con concentración/geografía y exposición de franquicia. Frontera: cuenta-cliente y registro unificado banco-cooperativa, con borrower-time FE. Unidad banco-producto-mes; cliente/banco-mes en frontera.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depósitos y tasas bancarias por moneda/madurez; crédito y balance por tipo de entidad. Suficiente: banco-producto-moneda, concentración y balance; panel homogéneo de cooperativas. Ideal: branch-product, uso digital, fondeo mayorista y características de riesgo comparables. Óptimo: cuentas/transferencias y préstamos por prestatario inter-lender. Metadatos: definición armonizada de depósito/crédito, moneda, tasa efectiva, madurez, entidad y cambios regulatorios.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La tasa de política reacciona a macro; flujos observados pueden ser reasignación, no destrucción. Exigir suma de flujos, asimetría tightening/easing, pre-tendencias y comparabilidad contable entre reguladores. Un resultado de sustitución sin aumento de deuda total es informativo.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Construir panel financiero armonizado y diccionario BCP-INCOOP. Promover a causalidad micro sólo al validar identificadores y estabilidad del marco institucional.</w:t>
      </w:r>
    </w:p>
    <w:p>
      <w:pPr>
        <w:pStyle w:val="Heading2"/>
        <w:keepNext/>
        <w:spacing w:before="280"/>
      </w:pPr>
      <w:r>
        <w:rPr>
          <w:color w:val="000000"/>
        </w:rPr>
        <w:t>C3  Bonos corporativos, crédito bancario y deuda pública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Requiere datos que probablemente deban construirse y colaboración institucional; dividir en dos módulos antes de afirmar crowding out.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spreads de bonos y préstamos no son comparables sin ajustar riesgo, plazo, moneda y liquidez; las subastas públicas pueden afectar yields por capacidad de intermediarios. Son preguntas de mercados distintas, aunque comparten curvas y holdings.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¿cuál es el spread ajustado de financiamiento bono-banco y cómo responde a condiciones monetarias? ¿cuál es la elasticidad de yields a oferta inesperada del Tesoro? Estimandos: spread hedónico/matched y pendiente de demanda por instrumento. Mecanismo: selección de emisores, liquidez y capacidad. Evidencia: descriptiva/forma reducida; causal con sorpresas de oferta/financiación.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curvas comparables, matching por rating-moneda-duración y tablero de subastas. Intermedio: panel instrumento-emisor y evento anuncio-subasta-liquidación. Frontera: bids, asignaciones, tenencias, transacciones secundarias y préstamos a mismos emisores. Unidad security-día/mes y subasta.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yields/curvas por rating-moneda-madurez, tasas bancarias por bucket y resultados de subasta. Suficiente: emisiones con emisor, maturity, currency; ofertas, adjudicaciones y rendimientos. Ideal: transacciones secundarias, estados del emisor, holdings bancarios y curvas soberanas/CDA. Óptimo: curvas de bids, identidades/asignaciones, inventarios dealer, repo y contratos de crédito. Metadatos: yield convention, fees, duration, opción/covenant, calendario anunciado y fecha de settlement.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Selección de emisores y emisión endógena; anuncios fiscales correlacionan con noticias macro. Exigir matched samples, issuer FE, sorpresas respecto a calendario/expectativas y separar anuncio de liquidación. Ausencia de crowding-out con capacidad amplia también es evidencia útil.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Primero homologar curvas y security master. Mantener el módulo bonos-banca y el módulo deuda pública separados hasta que los datos de holdings permitan un vínculo defendible.</w:t>
      </w:r>
    </w:p>
    <w:p>
      <w:pPr>
        <w:pStyle w:val="Heading2"/>
        <w:keepNext/>
        <w:spacing w:before="280"/>
      </w:pPr>
      <w:r>
        <w:rPr>
          <w:color w:val="000000"/>
        </w:rPr>
        <w:t>C4  Riesgo bancario, repricing contractual y toma de riesgo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Depende de microdatos; el subproyecto de repricing puede ser diseñado si existen reset dates contractuales.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tasa promedio no mide la incidencia de un endurecimiento. Riesgo al originar y cash-flow de deuda existente son mecanismos distintos y deben mantener estimandos separados.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¿política más laxa cambia riesgo ex ante de nuevas aprobaciones? ¿un shock de tasa afecta mora vía calendarios predeterminados de repricing? Estimandos: cambio en aprobación/términos/riesgo; efecto de exposure-to-reset × shock sobre deuda-servicio y default. Mecanismos: risk-taking y cash-flow. Evidencia: causal posible si hay solicitudes/contratos y variación de tasa identificada.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cohortes de cartera por tasa fija/variable, moneda y madurez; stress test descriptivo. Intermedio: eventos con grupos de reset cercano/lejos y hazards de mora. Frontera: aplicaciones aprobadas/rechazadas, varios bancos por cliente y resultados reales de firmas/hogares. Unidad préstamo-prestatario-mes; horizonte 1-36 meses.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stocks por tipo de tasa/madurez/moneda y NPL. Suficiente: cohortes con pago posterior. Ideal: contrato, reset, cuota, amortización, borrower ID, restructuring y performance. Óptimo: aplicaciones, income/liquidity, todos los prestamistas y ventas/empleo. Metadatos: fórmula de tasa, fecha de reset, grace period, refinanciación, moneda y cambios de clasificación.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Selección hacia tasa fija/variable y política endógena. Exigir balance dentro de cohorte de originación-riesgo, pre-trends, adding-up de deuda y definición de default no contaminada por forbearance. Nulos por contratos fijos identifican la heterogeneidad esperada.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Auditar campos contractuales antes de escoger artículo. Los datos son activos comunes con C1, C2, C5 y análisis de estabilidad.</w:t>
      </w:r>
    </w:p>
    <w:p>
      <w:pPr>
        <w:pStyle w:val="Heading2"/>
        <w:keepNext/>
        <w:spacing w:before="280"/>
      </w:pPr>
      <w:r>
        <w:rPr>
          <w:color w:val="000000"/>
        </w:rPr>
        <w:t>D1  ENSO no lineal y respuestas macroeconómicas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Listo para ser diseñado empíricamente; requiere disciplina por tamaño efectivo de muestra.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El Niño y La Niña pueden tener signo, intensidad y timing distintos. El aporte es una respuesta de estado no lineal, no un supuesto shock mensual inesperado.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¿cómo se asocian actividad, sectores e inflación con intensidad y fase ENSO? Estimando: perfil dinámico condicional a intensidad por fase. Mecanismo: clima, agricultura, río, precios y expectativas, separados del estimando. Evidencia: forma reducida; no causalidad específica de canal.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LP mensuales con base spline preespecificada por fase y bandas simultáneas. Intermedio: familias de outcomes sector/CPI y leave-one-event-out. Frontera: combinar con D2-D4. Unidad mensual, 0-24 meses, muestra tan larga como series homogéneas; LP permite perfiles dinámicos sin VAR rígido.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IMAEP/actividad, CPI y ONI consistentes. Suficiente: principales sectores, alimentos, controles globales parsimoniosos. Ideal: CPI detallado, varios índices ENSO, agricultura física, tipo de cambio y expectativas. Óptimo: vintages, clima diario, río y series de mecanismos. Metadatos: definición ENSO, cobertura temporal, cambios de base de cuentas/CPI y fecha de publicación.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Pocos episodios independientes y p-hacking de nudos/horizontes. Exigir nudos fijados, joint tests, eventos omitidos, índices alternativos y control de multiplicidad. Un perfil inestable al quitar un evento exige reducir ambición.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Es el núcleo climático. Preservar especificación y muestra congelada; profundizar sólo en mecanismos que sobrevivan las pruebas de robustez.</w:t>
      </w:r>
    </w:p>
    <w:p>
      <w:pPr>
        <w:pStyle w:val="Heading2"/>
        <w:keepNext/>
        <w:spacing w:before="280"/>
      </w:pPr>
      <w:r>
        <w:rPr>
          <w:color w:val="000000"/>
        </w:rPr>
        <w:t>D2  Clima por calendario agrícola y transmisión sectorial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Requiere datos que probablemente deban construirse; listo como módulo de mecanismo, no como IV automático.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totales mensuales de lluvia ocultan exposición en etapas sensibles. El valor reside en medición física económicamente informada y validación contra benchmarks simples.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¿métricas de clima por fase del cultivo explican mejor producción, actividad agrícola y precios que promedios de calendario? Estimando: relación clima-etapa-resultado y ganancia predictiva. Mecanismo: daño físico/tiempo logístico. Evidencia: descriptiva, predictiva y forma reducida; causal estrecha sólo para outcomes con primer estadio fuerte.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indicadores nacionales de clima y ventanas fijadas por cultivo. Intermedio: panel cultivo-año y LP mensuales para precios/actividad. Frontera: grillas, áreas cultivadas, datos subnacionales y origen de productos CPI. Unidad cultivo-año y mes; comparar con promedios estacionales.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clima mensual, producción anual de cultivos mayores y food CPI. Suficiente: clima diario nacional, calendarios fijos, producción, actividad agrícola y CPI alimentos. Ideal: CHIRPS/ERA5-Land, pesos de área, rendimiento/área, ganado, construcción y río. Óptimo: estación/grilla, origen de producto, pronósticos agrícolas en tiempo real. Metadatos: versión de grilla, estaciones, calendario, pesos fijos y cambios de medición agrícola.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Selección ex post de métricas, ventanas y cultivos. Exigir calendario predefinido, sensibilidad sistemática, primer estadio físico y comparación OOS. No controlar por precipitación post-tratamiento en una ecuación que busca efecto ENSO.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Crear biblioteca de clima-calendario reutilizable para D1, D3-D5 y N5. Detener si no mejora sobre promedios sencillos.</w:t>
      </w:r>
    </w:p>
    <w:p>
      <w:pPr>
        <w:pStyle w:val="Heading2"/>
        <w:keepNext/>
        <w:spacing w:before="280"/>
      </w:pPr>
      <w:r>
        <w:rPr>
          <w:color w:val="000000"/>
        </w:rPr>
        <w:t>D3  Pronósticos ENSO, sorpresas y adaptación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Depende de vintages y datos prospectivos; debe esperar hasta reconstruir información disponible en cada decisión.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previsible no equivale a inesperado. El proyecto evita atribuir adaptación anticipada a un shock no anticipado.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¿difieren las respuestas a componente ENSO pronosticable y error de pronóstico? Estimando: coeficientes conjuntos de exposición anticipada y sorpresa alineados con fechas de decisión. Mecanismo: adaptación en siembra, inventarios, crédito y logística. Evidencia: forma reducida; causal de adaptación sólo si se observan acciones pre-evento.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archivo de probabilidades ENSO por vintage y fecha de decisión. Intermedio: LP con anticipado/error y outcomes agregados. Frontera: siembra, insumos, inventarios, seguro, crédito y precios de alta frecuencia. Unidad mes/decisión; leads definidos por calendario, no elegidos ex post.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vintages genuinos suficientes para varios episodios. Suficiente: panel forecast-realización y macro/agro/trade. Ideal: pronósticos probabilísticos, calendarios y variables de anticipación. Óptimo: decisiones productivas y financieras micro. Metadatos: timestamp, horizonte, método, disponibilidad pública/interna, revisión y definición de error.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Reconstruir forecasts ex post invalida el estimando; muestra corta. Exigir que todo dato sea disponible entonces, tests de igualdad, pre-outcomes y AR confidence sets si se instrumenta. Hallar anticipación sin menor pérdida puede mostrar desplazamiento temporal, no fracaso.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El archivo de vintages es la puerta de entrada. No promover hasta validar cobertura y decisiones relevantes.</w:t>
      </w:r>
    </w:p>
    <w:p>
      <w:pPr>
        <w:pStyle w:val="Heading2"/>
        <w:keepNext/>
        <w:spacing w:before="280"/>
      </w:pPr>
      <w:r>
        <w:rPr>
          <w:color w:val="000000"/>
        </w:rPr>
        <w:t>D4  Inflación climática, precios relativos y riesgo de cola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Requiere acotar el estimando; puede producir dos módulos complementarios: media/propagación y predicción de distribución.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un efecto medio de ENSO no dice dónde cae en la canasta ni cuánto eleva el riesgo de inflación alta. C4 y C6 se integran sin confundir predicción de cola con causalidad de segunda vuelta.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¿qué componentes cargan el efecto ENSO y mejora el pronóstico de cuantiles/densidad? Estimandos: perfiles por componente y cambios en cuantiles/probabilidad de superar umbral. Mecanismos: oferta alimentaria, precios regionales, FX y expectativas. Evidencia: forma reducida para componentes; predictiva para densidades.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headline-food-core, LP de D1 y cuantiles a 1-12 meses. Intermedio: tradables/no tradables, flexibles/sticky, EVE y evaluación recursiva de CRPS/WIS. Frontera: microprecios, origen, mayorista, distribuciones de expectativas. Unidad mensual; no inferir política óptima de la reacción histórica.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CPI headline/food/core, ONI, clima y tasa. Suficiente: global food, FX, EVE y componentes. Ideal: jerarquía CPI estable, precios mayoristas, mappings de canastas y vintages. Óptimo: microprecios por outlet/ítem, origen, margen y expectativas individuales. Metadatos: pesos y base CPI, mapping de ítems, publicación/vintage, definición de core y medidas de error de pronóstico.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Cuantiles inestables y multiplicidad de componentes; alimento es post-tratamiento si se controla para estimar efecto ENSO sobre core. Exigir evaluación OOS, cobertura, joint tests, muestras consistentes y escenarios sin afirmación estructural. Un resultado sin ganancia de densidad es decisivo para no añadir complejidad.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Primero auditar jerarquía CPI. Los mappings y vintages sirven N4, N9 y N11. Tratar segundo-round como hipótesis a validar, no conclusión incorporada.</w:t>
      </w:r>
    </w:p>
    <w:p>
      <w:pPr>
        <w:pStyle w:val="Heading2"/>
        <w:keepNext/>
        <w:spacing w:before="280"/>
      </w:pPr>
      <w:r>
        <w:rPr>
          <w:color w:val="000000"/>
        </w:rPr>
        <w:t>D5  Clima y riesgo de crédito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Depende de microdatos y exposiciones geográficas/sectoriales; requiere construcción de datos.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NPL agregado puede ocultar concentración de vulnerabilidad y mezcla riesgo realizado con oferta de crédito. Es puente prioritario entre clima y estabilidad.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¿ENSO/clima afecta mora y oferta según exposición preexistente de bancos/prestatarios? Estimando: respuesta de outcomes a shock × peso de cartera expuesto. Mecanismo: cash flow, garantía, seguro, capital bancario. Evidencia: forma reducida; causal más fuerte con comparación mismo prestatario o sector-banco.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mapa banco-sector de cartera y actividad climática. Intermedio: event study/LP banco-mes con shares congeladas. Frontera: loan-level con ubicación, seguro, colateral y resultados firma. Unidad banco-mes, banco-sector-mes o préstamo-mes; separar default, nueva oferta, precio y restructuración.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NPL banco y shares sectoriales + ENSO/clima. Suficiente: crédito/tasa/provisión banco-sector, capital/liquidez y exposición. Ideal: banco-prestatario por región-moneda-madurez, seguro y clima geográfico. Óptimo: loan registry, colateral, estados firma y clima granular. Metadatos: ubicación, sector, definición de morosidad/restructuración, exposición al momento pre-evento y cambios regulatorios.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Clima también afecta demanda, shares endógenas y eventos pocos. Exigir shares anteriores, pre-trends, geografías/placebos no expuestos, límites de extrapolación y escenarios prudentes. Sin efecto en bancos diversificados es un benchmark valioso.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Depende de biblioteca D2 y panel C1/C4. Usar primero para stress test transparente; promover a paper si exposición y outcomes son vinculables.</w:t>
      </w:r>
    </w:p>
    <w:p>
      <w:pPr>
        <w:pStyle w:val="Heading2"/>
        <w:keepNext/>
        <w:spacing w:before="280"/>
      </w:pPr>
      <w:r>
        <w:rPr>
          <w:color w:val="000000"/>
        </w:rPr>
        <w:t>E1  Combinación y reconciliación de pronósticos de PIB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Listo para ser diseñado empíricamente; limitar complejidad por pocas fechas de origen.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combinación y reconciliación son mejoras distintas: la primera mezcla información, la segunda impone coherencia. La contribución no debe ser “aplicar MinT”, sino identificar cuándo mejora precisión, estabilidad y coherencia.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¿qué reglas combinan y reconcilian mejor pronósticos jerárquicos de PIB fuera de muestra? Estimandos: diferencia de pérdida/coherencia por método y nivel. Mecanismo: diversidad de modelos y estructura de errores. Evidencia: predictiva/operativa, no causal.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equal weights, trimmed inverse loss, bottom-up/top-down y diagonal covariance. Intermedio: shrinkage MinT y combinación nested OOS. Frontera: reconciliación temporal/probabilística supply-demand con densidades. Unidad variable-horizonte-origen; ideal 30-40 orígenes, evaluación rolling/expanding.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cuentas coherentes, summing matrix y archivo pequeño de forecast/errors. Suficiente: forecasts de modelos/origen y errores consistentes. Ideal: pseudo-real-time, todos los niveles supply/demand y draws. Óptimo: vintages de cuentas y distribuciones completas. Metadatos: versión de jerarquía, discrepancia estadística, transformación/nivel, horizonte, fecha de origen y realización first/final.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Muestra corta, horizonte solapado y tuning que ve test. Exigir nested evaluation, benchmarks simples, shrinkage, bootstrap/block inference y métricas por nivel. Coherencia sin ganancia de RMSE sigue siendo útil si reduce inconsistencias operativas.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Archivar todos los forecasts base y matrices. Vincula E2-E3; no vender métodos de alta dimensión si la historia no los identifica.</w:t>
      </w:r>
    </w:p>
    <w:p>
      <w:pPr>
        <w:pStyle w:val="Heading2"/>
        <w:keepNext/>
        <w:spacing w:before="280"/>
      </w:pPr>
      <w:r>
        <w:rPr>
          <w:color w:val="000000"/>
        </w:rPr>
        <w:t>E2  Vintages, nowcasting, densidades y valor del juicio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Requiere construir datos prospectivamente; es infraestructura y proyecto gradual.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una evaluación con información final no mide desempeño real. Vintages y logs de juicio son una infraestructura irreversible para forecasting y para decisiones de política.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¿qué release aporta news al nowcast, qué parte del error viene de revisiones y cuándo mejora el juicio? Estimandos: contribución de news, revisión news/noise y diferencia de pérdida pre/post juicio. Mecanismos: flujo de información y expertise. Evidencia: predictiva/institucional; no causal sobre economía.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calendario de publicaciones, snapshots, forecasts antes/después de juicio e intervalos. Intermedio: dynamic factor/MIDAS vs bridge y descomposición de news. Frontera: densities/draws, first/final targets, ajuste con rationale y modelos de shrinkage de juicio. Unidad release-fecha-origen; 1 a 12 meses.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forecasts fechados, datos finales y grandes ajustes documentados. Suficiente: calendarios reales, major vintages, run archive y intervalos. Ideal: cada release/input/model state, pre/post reconciliation/judgment y first/final realization. Óptimo: densidades, timestamp exacto, rationale/source de juicio y comunicaciones. Metadatos: información disponible en fecha, timestamp, revisiones, error de carga y definición de target.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Pseudotiempo real no sustituye vintage real; juicio es selectivo. Exigir archive inmutable, evaluación contra first/final, logs antes de resultado, tests de calibración y benchmarks. Un nowcast complejo sin ganancia es una mejora porque evita complejidad inútil.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Comenzar a archivar de inmediato. Este activo de mayor valor compartido habilita E1, E3, G3, D3/D4 y evaluación del sistema GDP.</w:t>
      </w:r>
    </w:p>
    <w:p>
      <w:pPr>
        <w:pStyle w:val="Heading2"/>
        <w:keepNext/>
        <w:spacing w:before="280"/>
      </w:pPr>
      <w:r>
        <w:rPr>
          <w:color w:val="000000"/>
        </w:rPr>
        <w:t>E3  Desacuerdo y anclaje de expectativas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Listo para una versión agregada; requiere microdatos para inferir aprendizaje individual o incertidumbre subjetiva.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dispersión de modelos, dispersión de EVE y anclaje son objetos distintos. La agenda gana al tratarlos como validaciones empíricas, no como sinónimos de incertidumbre o credibilidad.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¿el desacuerdo añade información sobre errores/riesgo y cuán sensible es la expectativa de largo plazo a sorpresas y cambios de meta? Estimandos: ganancia predictiva de dispersión; sensibilidad/revisión de expectativa larga. Mecanismos: información heterogénea y credibilidad. Evidencia: descriptiva/predictiva; causal sólo en eventos claramente fechados y con microdatos.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armonizar target date/horizons; series EVE públicas y dispersión de modelos; event study de recalibración de meta. Intermedio: horse races OOS y coeficientes time-varying. Frontera: panel anónimo de respondentes, densidades/confianza y firmas/hogares. Unidad encuesta-vintage-horizonte/individuo.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media de expectativas corta/larga y series de meta/inflación. Suficiente: media, mediana, moda, desviación y n de respuestas + forecasts modelo. Ideal: identificación estable de encuestado, tipo, cuestionario y revisiones. Óptimo: densidades de expectativas, encuestas de empresas/hogares y variables de mercado. Metadatos: fecha de levantamiento/publicación, horizonte/target, cambio de cuestionario y composición.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Panel cambiante, redondeo, baja frecuencia y sorpresa mal medida. Exigir targets equivalentes, entry-exit decomposition, sensibilidad a n, pretrend del evento meta y comparar con volatilidad/revisiones. Falta de relación desacuerdo-incertidumbre es evidencia útil.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Crear diccionario de encuesta/vintages y solicitar microdatos anonimizados. Los datos también sirven D4 y N10.</w:t>
      </w:r>
    </w:p>
    <w:p>
      <w:pPr>
        <w:pStyle w:val="Heading2"/>
        <w:keepNext/>
        <w:spacing w:before="280"/>
      </w:pPr>
      <w:r>
        <w:rPr>
          <w:color w:val="000000"/>
        </w:rPr>
        <w:t>F1  Facturación electrónica, cadenas de pagos y formalización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Depende de microdatos, vínculo institucional y reglas de privacidad; tres módulos deben pasar factibilidad separada.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SIFEN puede cambiar observabilidad y formalización; facturas impagas pueden propagar restricciones de capital de trabajo. Adoptar no es el mismo tratamiento que sufrir atraso de pago.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¿la adopción de facturación electrónica altera resultados firm-level y acceso a crédito? ¿atrasos recibidos causan atrasos pagados? Estimandos: ITT de adopción; respuesta de pago saliente a shock de pago entrante. Mecanismos: información/verificación y fricción financiera. Evidencia: causal sólo con cohortes/reglas o shocks de pago defendibles.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piloto de linkage y medición de adopción, invoice-to-payment match rate. Intermedio: staggered DiD de cohortes con event study moderno; redes con exposures preexistentes. Frontera: firmas-facturas-pagos-crédito-impuestos-empleo. Unidad firma-mes y relación firma-par; horizonte meses/años.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fecha de adopción/regla y outcome de firma; para pagos, no hay sustituto de fechas factura-vencimiento-pago. Suficiente: adopción + ventas/impuestos/crédito o atrasos sector-pair. Ideal: factura firma-mes ligada a crédito y tax/employment. Óptimo: invoice-payment records, red cliente-proveedor, aplicaciones de crédito y cuentas bancarias anonimizadas. Metadatos: cohortes/eligibilidad, fecha de emisión/vencimiento/settlement, cobertura, match quality y cambios de enforcement.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Adopción dirigida, cumplimiento endógeno, red incompleta y pagos no observados. Exigir razonamiento de cohortes, pre-trends, thresholds si existen, negative-control links y medición de nonmatch. Resultado de baja tasa de match detiene el módulo de cadenas.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Separar: F1a evaluación de adopción, F1b acceso a crédito, F1c cadenas de pagos. El asset de identificador firma sirve N4, N5, N8 y N10.</w:t>
      </w:r>
    </w:p>
    <w:p>
      <w:pPr>
        <w:pStyle w:val="Heading2"/>
        <w:keepNext/>
        <w:spacing w:before="280"/>
      </w:pPr>
      <w:r>
        <w:rPr>
          <w:color w:val="000000"/>
        </w:rPr>
        <w:t>F2  Precios de importación, arbitraje fronterizo e inflación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Requiere datos que probablemente deban construirse; el mecanismo fronterizo depende de geografía/producto.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DXY, PYG/USD, real y peso pueden actuar por facturación, comercio regional y arbitrage. Un pass-through agregado no identifica cuál canal domina.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¿cómo se transmite FX desde precio de importación a CPI y cuándo se concentra en bienes/zonas fronterizas? Estimandos: pass-through por producto-origen/etapa; diferencial border-interior por gap relativo. Mecanismos: moneda dominante, inventarios, márgenes y arbitrage. Evidencia: forma reducida; causal de arbitrage necesita concentración geográfica/producto.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panel producto-origen de unit values y CPI detallado; comparar dólar/bilateral. Intermedio: lags/LP con pesos de comercio y flujos de frontera. Frontera: customs invoice currency, importador, microprecios outlet, precios vecinos y cruces. Unidad producto-origen-mes y ítem-outlet-mes.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import prices/CPI por producto y tipos de cambio. Suficiente: unit values, quantities, bilateral/dólar, CPI tradable y comercio/reexport. Ideal: transacciones aduaneras, importador, currency, precios regionales/border flows y dimensión CPI regional. Óptimo: microprecios comparables, stock/inventario, márgenes y vendedor. Metadatos: HS-CPC-COICOP concordances, moneda de factura, calidad/unit value, ubicación outlet, tipo de cambio paralelo y revisiones.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Unit values mezclan precio/calidad; colinealidad de FX y confusión con inflación regional. Exigir productos emparejados, composición, benchmarks, predefinir umbrales con datos de flujos y border/interior placebos. Sin concentración, renombrar como pass-through regional.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Construir concordancias y archivo de precios antes de regresiones. Este activo sirve D4, N9 y N11; promover el subproyecto frontera sólo con validación espacial.</w:t>
      </w:r>
    </w:p>
    <w:p>
      <w:pPr>
        <w:pStyle w:val="Heading2"/>
        <w:keepNext/>
        <w:spacing w:before="280"/>
      </w:pPr>
      <w:r>
        <w:rPr>
          <w:color w:val="000000"/>
        </w:rPr>
        <w:t>F3  Río, logística, hidroelectricidad y transmisión real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Requiere datos que probablemente deban construirse; debe separar logística de energía/fiscalidad.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hidrología afecta navegación y generación, con canales y timing distintos. Una única regresión de nivel de río sobre inflación no los identifica.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¿qué efecto tienen restricciones de navegación sobre transporte/comercio/precios y qué efecto separado tiene generación hidroeléctrica sobre exportaciones/recursos? Estimandos: respuesta por exposición predeterminada a restricción; respuesta de generación/settlement. Mecanismos: capacidad logística y energía. Evidencia: forma reducida; causal plausible sólo por cadena física y exclusión defendida.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cronología de gauges, restricciones y narrativa de episodios. Intermedio: LP/event studies producto-puerto con shift-share de exposición pre-evento. Frontera: AIS, manifests, contratos de flete, firmas, inventarios y créditos; módulo energético separado. Unidad día/semana y producto-puerto-mes.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nivel río, comercio agregado, flete proxy y CPI. Suficiente: restricciones fechadas, comercio producto-puerto, precios y actividad. Ideal: throughput/tiempo de envío, customs firma-producto, crédito, generación/exportación/receipts. Óptimo: AIS, manifests, draft limits, fletes, inventories, invoices y settlement binacional. Metadatos: gauge/location, regla de restricción, puerto/ruta, fecha de anuncio y definición de generación/royalty.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El clima afecta agricultura directamente, invalidando río como instrumento genérico. Exigir cadena water-restriction-shipping-outcome, tests en productos no ribereños, control estacional y módulos separados. Resultado sin pass-through pero con demora de envío es económicamente útil.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Primero construir panel físico y definir exposiciones antes del evento. Los datos de río/navegación sirven D1-D4 y forecasting.</w:t>
      </w:r>
    </w:p>
    <w:p>
      <w:pPr>
        <w:pStyle w:val="Heading2"/>
        <w:keepNext/>
        <w:spacing w:before="280"/>
      </w:pPr>
      <w:r>
        <w:rPr>
          <w:color w:val="000000"/>
        </w:rPr>
        <w:t>F4  Pagos instantáneos, competencia y movilidad de depósitos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Depende de microdatos o variación institucional; debe permanecer como piloto de monitoreo.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volumen agregado SPI no muestra adopción, movilidad ni externalidades de red. La posible eficiencia y riesgo de salidas rápidas requieren los mismos datos granulares.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¿la adopción/participación de SPI altera uso de efectivo, movilidad de depósitos, competencia e intradía de reservas? Estimandos: efecto de acceso/adopción sobre outcomes por cliente/entidad; no inferir estrés desde crecimiento normal. Mecanismo: menor costo de transferir y externalidades. Evidencia: descriptiva con agregados; causal con rollout exógeno.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tablero institución-día, participación y fechas de cambios. Intermedio: DiD/event study de entrada, horas, límites o QR con verificación de timing. Frontera: panel cliente/merchant, transacciones, balances y reservas intradía. Unidad entidad-día; cliente/merchant-día.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volúmenes SPI y hitos, sólo monitoreo. Suficiente: entidad-día, otras rails, efectivo, depósitos y liquidez. Ideal: adopción cliente/merchant, pricing, ubicación y balances. Óptimo: sender-receiver anonimizado, tiempo, account balances, cash withdrawal, crédito y reservas. Metadatos: participación, límites, reglas/horarios, reversos, identificadores estables y cambios de pricing.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Entrada selectiva, efectos de red/reflexión y confusión marketing-tendencia. Exigir pre-trends, cohortes verificadas, red predeterminada, outcomes placebo y eventos de estrés específicos. Nulo de movilidad con más pagos evita confundir uso con competencia.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Empezar como data/measurement pilot; comparte activos con A1 y C2. No prometer artículo sin microadopción o rollout defendible.</w:t>
      </w:r>
    </w:p>
    <w:p>
      <w:pPr>
        <w:pStyle w:val="Heading2"/>
        <w:keepNext/>
        <w:spacing w:before="280"/>
      </w:pPr>
      <w:r>
        <w:rPr>
          <w:color w:val="000000"/>
        </w:rPr>
        <w:t>F5  Inflación desigual y comunicación experimental</w:t>
      </w:r>
    </w:p>
    <w:p>
      <w:pPr>
        <w:spacing w:after="100" w:line="259" w:lineRule="auto"/>
      </w:pPr>
      <w:r>
        <w:rPr>
          <w:b/>
        </w:rPr>
        <w:t>Clasificación de factibilidad:</w:t>
      </w:r>
      <w:r>
        <w:t xml:space="preserve"> N9 está listo como ejercicio descriptivo; N10 depende de diseño prospectivo y debe tratarse como experimento separado.</w:t>
      </w:r>
    </w:p>
    <w:p>
      <w:pPr>
        <w:spacing w:before="140" w:after="40"/>
      </w:pPr>
      <w:r>
        <w:rPr>
          <w:b/>
          <w:color w:val="000000"/>
          <w:sz w:val="21"/>
        </w:rPr>
        <w:t>1. Motivación y contribución potencial</w:t>
      </w:r>
    </w:p>
    <w:p>
      <w:pPr>
        <w:spacing w:after="100" w:line="259" w:lineRule="auto"/>
      </w:pPr>
      <w:r>
        <w:t>Problema: inflación promedio no representa cestas ni capacidad de sustitución de hogares; mensajes de banco central pueden cambiar creencias pero no necesariamente conducta. Son dos preguntas de bienestar/comunicación, no un mismo experimento.</w:t>
      </w:r>
    </w:p>
    <w:p>
      <w:pPr>
        <w:spacing w:before="140" w:after="40"/>
      </w:pPr>
      <w:r>
        <w:rPr>
          <w:b/>
          <w:color w:val="000000"/>
          <w:sz w:val="21"/>
        </w:rPr>
        <w:t>2. Objetivo, pregunta y estimando</w:t>
      </w:r>
    </w:p>
    <w:p>
      <w:pPr>
        <w:spacing w:after="100" w:line="259" w:lineRule="auto"/>
      </w:pPr>
      <w:r>
        <w:t>Pregunta: ¿cuáles grupos enfrentan distinta inflación y por qué? ¿qué mensaje cambia expectativas y decisiones declaradas? Estimandos: índice/grupo y descomposición de brecha; ITT de tratamiento informativo. Mecanismos: exposición/cesta y actualización de creencias. Evidencia: descriptiva/predictiva para N9; causal de creencias en N10, no necesariamente de conducta real.</w:t>
      </w:r>
    </w:p>
    <w:p>
      <w:pPr>
        <w:spacing w:before="140" w:after="40"/>
      </w:pPr>
      <w:r>
        <w:rPr>
          <w:b/>
          <w:color w:val="000000"/>
          <w:sz w:val="21"/>
        </w:rPr>
        <w:t>3. Ejercicios empíricos posibles</w:t>
      </w:r>
    </w:p>
    <w:p>
      <w:pPr>
        <w:spacing w:after="100" w:line="259" w:lineRule="auto"/>
      </w:pPr>
      <w:r>
        <w:t>Inicial: índices Laspeyres por grupos con pesos de encuesta; módulo aleatorio pre/post expectativas. Intermedio: CPI microprice y follow-up experimental. Frontera: scanner/transacciones y link a outcomes administrativos. Unidad grupo-mes; respondente-onda.</w:t>
      </w:r>
    </w:p>
    <w:p>
      <w:pPr>
        <w:spacing w:before="140" w:after="40"/>
      </w:pPr>
      <w:r>
        <w:rPr>
          <w:b/>
          <w:color w:val="000000"/>
          <w:sz w:val="21"/>
        </w:rPr>
        <w:t>4. Escalera de datos</w:t>
      </w:r>
    </w:p>
    <w:p>
      <w:pPr>
        <w:spacing w:after="100" w:line="259" w:lineRule="auto"/>
      </w:pPr>
      <w:r>
        <w:t>Mínimamente necesario: CPI amplio y pesos por grupo; para experimento, aleatorización y beliefs pre/post. Suficiente: CPI detallado/encuesta de gasto y encuesta aleatoria. Ideal: microprecios/outlet + panel respondents y follow-up. Óptimo: scanner household, consumo/ingreso y outcomes administrativos consentidos. Metadatos: pesos de encuesta, canasta/base, imputaciones/missing prices; protocolo de randomización, attrition, cuestionario y consentimientos.</w:t>
      </w:r>
    </w:p>
    <w:p>
      <w:pPr>
        <w:spacing w:before="140" w:after="40"/>
      </w:pPr>
      <w:r>
        <w:rPr>
          <w:b/>
          <w:color w:val="000000"/>
          <w:sz w:val="21"/>
        </w:rPr>
        <w:t>5. Amenazas y requisitos de credibilidad</w:t>
      </w:r>
    </w:p>
    <w:p>
      <w:pPr>
        <w:spacing w:after="100" w:line="259" w:lineRule="auto"/>
      </w:pPr>
      <w:r>
        <w:t>Canastas desactualizadas y sustitución no observada; en experimento, múltiples outcomes, demanda del experimentador y attrition. Exigir sensibilidad de índices, descomposición explícita, preregistro, ITT, ajuste múltiple y réplica. Un efecto en creencias sin conducta debe reportarse como tal.</w:t>
      </w:r>
    </w:p>
    <w:p>
      <w:pPr>
        <w:spacing w:before="140" w:after="40"/>
      </w:pPr>
      <w:r>
        <w:rPr>
          <w:b/>
          <w:color w:val="000000"/>
          <w:sz w:val="21"/>
        </w:rPr>
        <w:t>6. Ruta de crecimiento</w:t>
      </w:r>
    </w:p>
    <w:p>
      <w:pPr>
        <w:spacing w:after="100" w:line="259" w:lineRule="auto"/>
      </w:pPr>
      <w:r>
        <w:t>Primero crear medidas de inflación por grupos. Diseñar N10 sólo después de elegir audiencia, outcome primario y seguimiento; no usar EVE pequeño para afirmar conducta de hogares.</w:t>
      </w:r>
    </w:p>
    <w:p>
      <w:pPr>
        <w:pStyle w:val="Heading1"/>
      </w:pPr>
      <w:r>
        <w:t>Mapa transversal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169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Variables y granularidad</w:t>
            </w:r>
          </w:p>
        </w:tc>
        <w:tc>
          <w:tcPr>
            <w:tcW w:type="dxa" w:w="169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Metadatos críticos</w:t>
            </w:r>
          </w:p>
        </w:tc>
        <w:tc>
          <w:tcPr>
            <w:tcW w:type="dxa" w:w="169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Proyectos</w:t>
            </w:r>
          </w:p>
        </w:tc>
        <w:tc>
          <w:tcPr>
            <w:tcW w:type="dxa" w:w="169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Nivel que habilita</w:t>
            </w:r>
          </w:p>
        </w:tc>
        <w:tc>
          <w:tcPr>
            <w:tcW w:type="dxa" w:w="169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Riesgo principal</w:t>
            </w:r>
          </w:p>
        </w:tc>
      </w:tr>
      <w:tr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Vintages y calendario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Release, timestamp, first/final, modelos, judgment; serie-vintage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disponibilidad real, revisión, target, cambios metodológicos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D3 D4 E1 E2 E3 B2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Mínimo a óptimo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usar información ex post</w:t>
            </w:r>
          </w:p>
        </w:tc>
      </w:tr>
      <w:tr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Panel banco moneda plazo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reservas, depósitos, crédito, tasas, liquidez, capital, NPL; banco-mes/día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moneda original, maturity residual, definición regulatoria, fusiones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A1 C1 C2 C4 D5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Suficiente/ideal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medición inconsistente de exposición</w:t>
            </w:r>
          </w:p>
        </w:tc>
      </w:tr>
      <w:tr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Contratos y registro crédito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préstamo-prestatario, reset, cuota, riesgo, default, relación banco; mensual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IDs anonimizados, restructuración, moneda, cobertura natural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C1 C2 C4 D5 F1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Ideal/óptimo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selección y falta de linkage</w:t>
            </w:r>
          </w:p>
        </w:tc>
      </w:tr>
      <w:tr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Mercado FX y pagos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operaciones, ejecución, flujo firmado, quotes, reservas, SIPAP; intradía/día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signo, hora, contraparte, neteo, settlement, propósito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A1 B1 B3 F4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Ideal/óptimo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confundir turnover con flujo</w:t>
            </w:r>
          </w:p>
        </w:tc>
      </w:tr>
      <w:tr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Precios y comercio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CPI micro, customs producto-origen, invoice currency, precios vecinos; ítem/mes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COICOP HS CPC, pesos/base, calidad, ubicación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D4 F2 F5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Suficiente/óptimo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concordancias y unit values</w:t>
            </w:r>
          </w:p>
        </w:tc>
      </w:tr>
      <w:tr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Clima y logística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ENSO, clima diario/grilla, río, restricciones, puertos; día/semana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versión, geografía, calendario, regla física, pronóstico vintage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D1-D5 F3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Suficiente/óptimo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canales físicos mezclados</w:t>
            </w:r>
          </w:p>
        </w:tc>
      </w:tr>
      <w:tr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Firmas y redes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SIFEN, pago, tax, empleo, crédito, proveedores; firma/relación/mes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ID, cobertura, due date, adopción, match quality, privacidad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F1 F3 F4 F2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Ideal/óptimo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red incompleta y acceso legal</w:t>
            </w:r>
          </w:p>
        </w:tc>
      </w:tr>
      <w:tr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Encuestas expectativas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forecast individual/agregado, horizonte, respuesta, tratamiento; onda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fecha, target, cuestionario, panel, weights, consent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D4 E3 F5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Suficiente/óptimo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r>
              <w:rPr>
                <w:sz w:val="15"/>
              </w:rPr>
              <w:t>composición y attrition</w:t>
            </w:r>
          </w:p>
        </w:tc>
      </w:tr>
    </w:tbl>
    <w:p>
      <w:pPr>
        <w:pStyle w:val="Heading1"/>
      </w:pPr>
      <w:r>
        <w:t>Priorización conceptual</w:t>
      </w:r>
    </w:p>
    <w:p>
      <w:pPr>
        <w:spacing w:after="100" w:line="259" w:lineRule="auto"/>
      </w:pPr>
      <w:r>
        <w:t>Prioridad A - iniciar diseño y preservar datos. A1 (implementación y liquidez), B2 (marco cambiario), D1 (ENSO no lineal), E1 (combinación/reconciliación), E2 (archivo real-time), E3 (anclaje/desacuerdo agregado), C2 (depósitos duales) y F5-N9 (índices de inflación por grupos). Combinan pregunta clara, valor de política y producto útil aun sin causalidad fuerte.</w:t>
      </w:r>
    </w:p>
    <w:p>
      <w:pPr>
        <w:spacing w:after="100" w:line="259" w:lineRule="auto"/>
      </w:pPr>
      <w:r>
        <w:t>Prioridad B - avanzar sólo tras gate de datos. B1 (intervención), C1 (liquidez USD/mismatch), C3 (bonos/deuda), C4 (contratos/riesgo), D2-D5 (mecanismos climáticos), F2 (pass-through/border) y F3 (río). Son prometedores, pero su título debe ajustarse al nivel de datos alcanzado.</w:t>
      </w:r>
    </w:p>
    <w:p>
      <w:pPr>
        <w:spacing w:after="100" w:line="259" w:lineRule="auto"/>
      </w:pPr>
      <w:r>
        <w:t>Prioridad C - pilotos de medición o acceso. B3 (orden flow), F1 (facturas-pagos-red), F4 (pagos instantáneos), N10 dentro de F5 (experimento) y sustitución micro de C2. El criterio no es entusiasmo ni novedad: validar la variable central, los identificadores y la variación de tratamiento antes de invertir en especificaciones.</w:t>
      </w:r>
    </w:p>
    <w:p>
      <w:pPr>
        <w:spacing w:after="100" w:line="259" w:lineRule="auto"/>
      </w:pPr>
      <w:r>
        <w:t>Regla de promoción. Profundizar cuando se alcance el nivel suficiente, el estimando mantenga una comparación creíble y el resultado nulo siga siendo útil. Rediseñar cuando los datos sostienen una descripción o predicción, pero no el mecanismo del título. Relegar cuando falte la variable central, la cobertura sea inestable o la identificación dependa de una historia institucional no verificable. Abandonar cuando el activo de datos no tenga valor compartido y no permita una versión honesta de menor alcance.</w:t>
      </w:r>
    </w:p>
    <w:p>
      <w:pPr>
        <w:pStyle w:val="Heading1"/>
      </w:pPr>
      <w:r>
        <w:t>Decisión de arquitectura</w:t>
      </w:r>
    </w:p>
    <w:p>
      <w:pPr>
        <w:spacing w:after="100" w:line="259" w:lineRule="auto"/>
      </w:pPr>
      <w:r>
        <w:t>Antes de contrastar la agenda con cualquier base existente, conviene evaluar cada activo transversal por cuatro preguntas: ¿mide exactamente el objeto del estimando?, ¿tiene fecha de disponibilidad y definición conservadas?, ¿es enlazable con identificadores estables bajo un marco de confidencialidad?, ¿cubre suficientes episodios y heterogeneidad para el diseño? Esa secuencia evita que la disponibilidad aparente de una tabla dicte una pregunta de investigación demasiado ambiciosa.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