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top w:val="nil"/>
          <w:left w:val="nil"/>
          <w:bottom w:val="nil"/>
          <w:right w:val="nil"/>
          <w:between w:val="nil"/>
        </w:pBdr>
      </w:pPr>
      <w:r>
        <w:t>Portafolio de Investigación Orientado a Datos para Paraguay</w:t>
      </w:r>
    </w:p>
    <w:p>
      <w:pPr>
        <w:jc w:val="center"/>
      </w:pPr>
      <w:r>
        <w:rPr>
          <w:i/>
        </w:rPr>
        <w:t>Reorganización conceptual de la agenda de investigación</w:t>
      </w:r>
    </w:p>
    <w:p>
      <w:pPr>
        <w:spacing w:after="100" w:line="259" w:lineRule="auto"/>
      </w:pPr>
      <w:r>
        <w:t>Propósito. Convertir una agenda amplia de propuestas en opciones de investigación con preguntas, estimandos, escalera de datos y criterios de credibilidad explícitos. El documento no presupone disponibilidad de datos ni recomienda implementar todos los proyectos.</w:t>
      </w:r>
    </w:p>
    <w:p>
      <w:pPr>
        <w:spacing w:after="100" w:line="259" w:lineRule="auto"/>
      </w:pPr>
      <w:r>
        <w:rPr>
          <w:b/>
        </w:rPr>
        <w:t xml:space="preserve">Versión 2 (septiembre 2026).</w:t>
      </w:r>
      <w:r>
        <w:t xml:space="preserve"> Esta versión contrasta la agenda con la base de datos macro-financiera del BCP (esquema 49) y agrega doce fichas nuevas (A2, A3, C5, C6, D6, F6, F7 y el programa G), seleccionadas por usar datos disponibles no aprovechados o por ofrecer una fuente de identificación causal (shocks fechados, cambios regulatorios con exposición heterogénea, sorpresas de alta frecuencia). Cada ficha, nueva o existente, tiene una carpeta de trabajo en proyectos/ con datos, script de extracción y evaluación de viabilidad. Nota: los códigos entre paréntesis en "Reúne ..." (p. ej. G1-G7, N1-N11) remiten a la agenda original de 35 títulos, no a las fichas.</w:t>
      </w:r>
    </w:p>
    <w:p>
      <w:pPr>
        <w:pStyle w:val="Heading1"/>
      </w:pPr>
      <w:r>
        <w:t>Diagnóstico ejecutivo</w:t>
      </w:r>
    </w:p>
    <w:p>
      <w:pPr>
        <w:spacing w:after="100" w:line="259" w:lineRule="auto"/>
      </w:pPr>
      <w:r>
        <w:t>La agenda tiene una fortaleza poco común: formula mecanismos económicos relevantes para Paraguay y, en general, reconoce que el mismo título puede requerir evidencia muy distinta según el nivel de datos. Su principal problema es de escala y solapamiento: 35 títulos combinan infraestructura, notas de política, pilotos de acceso a microdatos y potenciales artículos. Como cartera, no como lista de tareas, se ordena mejor en 16 fichas estratégicas con módulos separables. La decisión crítica no es elegir el método más sofisticado; es verificar si el estimando, la unidad de observación y la variación disponible permiten la afirmación que da nombre al proyecto.</w:t>
      </w:r>
    </w:p>
    <w:p>
      <w:pPr>
        <w:spacing w:after="100" w:line="259" w:lineRule="auto"/>
      </w:pPr>
      <w:r>
        <w:t>Tres principios gobiernan la reorganización. Primero, separar resultados agregados útiles de mecanismos causales heterogéneos: una respuesta de crédito agregada no identifica oferta de crédito. Segundo, los activos de información -vintages, identificadores anonimizados, calendarios institucionales, metadatos de cambios y concordancias- son capital compartido, no anexos. Tercero, los proyectos que dependen de un tratamiento o variable central aún no validada deben comenzar como piloto de medición y factibilidad, no como artículo prometido.</w:t>
      </w:r>
    </w:p>
    <w:p>
      <w:pPr>
        <w:pStyle w:val="Heading1"/>
      </w:pPr>
      <w:r>
        <w:t>Arquitectura de programas</w:t>
      </w:r>
    </w:p>
    <w:p>
      <w:pPr>
        <w:spacing w:after="80"/>
      </w:pPr>
      <w:r>
        <w:rPr>
          <w:b/>
        </w:rPr>
        <w:t xml:space="preserve">A. Implementación monetaria y liquidez. </w:t>
      </w:r>
      <w:r>
        <w:t>Cómo reservas, liquidación de operaciones FX y esterilización se traducen en tasas de corto plazo y condiciones bancarias. Fusiona F1 y F4, preservando su separación de estimandos. Versión 2: agrega A2 (sorpresas de alta frecuencia) y A3 (canal de crédito bancario).</w:t>
      </w:r>
    </w:p>
    <w:p>
      <w:pPr>
        <w:spacing w:after="80"/>
      </w:pPr>
      <w:r>
        <w:rPr>
          <w:b/>
        </w:rPr>
        <w:t xml:space="preserve">B. Tipo de cambio y funcionamiento del mercado FX. </w:t>
      </w:r>
      <w:r>
        <w:t>Tres objetos no intercambiables: eficacia de intervención, explicación multi-horizonte y microestructura/orden de flujo. Reúne F3, F5 y F10.</w:t>
      </w:r>
    </w:p>
    <w:p>
      <w:pPr>
        <w:spacing w:after="80"/>
      </w:pPr>
      <w:r>
        <w:rPr>
          <w:b/>
        </w:rPr>
        <w:t xml:space="preserve">C. Intermediación financiera y mercados de capitales. </w:t>
      </w:r>
      <w:r>
        <w:t>Liquidez dólar, dolarización y mismatch, depósitos, bonos versus banca, deuda pública, cooperativas, riesgo bancario y repricing. Reúne F2, F6, F9, F11, N2, N3, N6 y N7. Versión 2: agrega C5 (regulación bancaria con exposición heterogénea) y C6 (alivio COVID y mora).</w:t>
      </w:r>
    </w:p>
    <w:p>
      <w:pPr>
        <w:spacing w:after="80"/>
      </w:pPr>
      <w:r>
        <w:rPr>
          <w:b/>
        </w:rPr>
        <w:t xml:space="preserve">D. Clima, actividad, inflación y estabilidad. </w:t>
      </w:r>
      <w:r>
        <w:t>Núcleo ENSO, mecanismo meteorológico, anticipación, riesgo inflacionario, inflación relativa y riesgo de crédito. Reúne C1-C6. Versión 2: agrega D6 (precios administrados de combustibles).</w:t>
      </w:r>
    </w:p>
    <w:p>
      <w:pPr>
        <w:spacing w:after="80"/>
      </w:pPr>
      <w:r>
        <w:rPr>
          <w:b/>
        </w:rPr>
        <w:t xml:space="preserve">E. Pronóstico, datos en tiempo real y expectativas. </w:t>
      </w:r>
      <w:r>
        <w:t>Combinación, reconciliación, nowcasting, revisiones, densidades, desacuerdo y anclaje. Reúne G1-G7.</w:t>
      </w:r>
    </w:p>
    <w:p>
      <w:pPr>
        <w:spacing w:after="80"/>
      </w:pPr>
      <w:r>
        <w:rPr>
          <w:b/>
        </w:rPr>
        <w:t xml:space="preserve">F. Digitalización y microtransmisión. </w:t>
      </w:r>
      <w:r>
        <w:t>Facturación electrónica, cadenas de pagos, pagos instantáneos, importación-precios, logística fluvial, desigualdad inflacionaria, comunicación y arbitraje fronterizo. Reúne F7-F8 y N1, N4-N11. Versión 2: agrega F6 (shocks cambiarios argentinos) y F7 (SPI y efectivo).</w:t>
      </w:r>
    </w:p>
    <w:p>
      <w:pPr>
        <w:spacing w:after="80"/>
      </w:pPr>
      <w:r>
        <w:rPr>
          <w:b/>
        </w:rPr>
        <w:t xml:space="preserve">G. Política fiscal, mercado laboral y sector externo (nuevo). </w:t>
      </w:r>
      <w:r>
        <w:t>Ciclicidad y multiplicadores fiscales, informalidad y holgura laboral, salario mínimo, benchmarking regional con nueve países y remesas. Reúne G1-G5, nuevas en la versión 2; aprovecha el estado de operaciones del MEF, la EPHC y los datos del FMI ya incorporados a la base.</w:t>
      </w:r>
    </w:p>
    <w:p>
      <w:pPr>
        <w:pStyle w:val="Heading1"/>
      </w:pPr>
      <w:r>
        <w:t>Fichas estandarizadas</w:t>
      </w:r>
    </w:p>
    <w:p>
      <w:pPr>
        <w:pStyle w:val="Heading2"/>
        <w:keepNext/>
        <w:spacing w:before="280"/>
      </w:pPr>
      <w:r>
        <w:rPr>
          <w:color w:val="000000"/>
        </w:rPr>
        <w:t>A1  Demanda de reservas y huella de liquidez de operaciones FX</w:t>
      </w:r>
    </w:p>
    <w:p>
      <w:pPr>
        <w:spacing w:after="100" w:line="259" w:lineRule="auto"/>
      </w:pPr>
      <w:r>
        <w:rPr>
          <w:b/>
        </w:rPr>
        <w:t>Clasificación de factibilidad:</w:t>
      </w:r>
      <w:r>
        <w:t xml:space="preserve"> Listo para ser diseñado empíricamente; la extensión causal a crédito requiere variación de liquidez defendible.</w:t>
      </w:r>
    </w:p>
    <w:p>
      <w:pPr>
        <w:spacing w:before="140" w:after="40"/>
      </w:pPr>
      <w:r>
        <w:rPr>
          <w:b/>
          <w:color w:val="000000"/>
          <w:sz w:val="21"/>
        </w:rPr>
        <w:t>1. Motivación y contribución potencial</w:t>
      </w:r>
    </w:p>
    <w:p>
      <w:pPr>
        <w:spacing w:after="100" w:line="259" w:lineRule="auto"/>
      </w:pPr>
      <w:r>
        <w:t>Problema: la tasa de política no llega mecánicamente al crédito; la escasez de reservas, la liquidación FX y la esterilización pueden cambiar el premio de liquidez. Paraguay permite una contribución operativa valiosa si se distingue el nivel de reservas del shock neto de liquidez.</w:t>
      </w:r>
    </w:p>
    <w:p>
      <w:pPr>
        <w:spacing w:before="140" w:after="40"/>
      </w:pPr>
      <w:r>
        <w:rPr>
          <w:b/>
          <w:color w:val="000000"/>
          <w:sz w:val="21"/>
        </w:rPr>
        <w:t>2. Objetivo, pregunta y estimando</w:t>
      </w:r>
    </w:p>
    <w:p>
      <w:pPr>
        <w:spacing w:after="100" w:line="259" w:lineRule="auto"/>
      </w:pPr>
      <w:r>
        <w:t>Pregunta: ¿cómo cambian el spread interbancario, uso de facilidades y condiciones bancarias ante la escasez de reservas o una sorpresa de liquidez por liquidación FX? Estimando: curva condicional reservas-spread y respuesta dinámica a innovación neta de reservas. Mecanismo: gestión de liquidez bancaria. Evidencia: descriptiva/forma reducida; causal sólo con sorpresa institucionalmente validada.</w:t>
      </w:r>
    </w:p>
    <w:p>
      <w:pPr>
        <w:spacing w:before="140" w:after="40"/>
      </w:pPr>
      <w:r>
        <w:rPr>
          <w:b/>
          <w:color w:val="000000"/>
          <w:sz w:val="21"/>
        </w:rPr>
        <w:t>3. Ejercicios empíricos posibles</w:t>
      </w:r>
    </w:p>
    <w:p>
      <w:pPr>
        <w:spacing w:after="100" w:line="259" w:lineRule="auto"/>
      </w:pPr>
      <w:r>
        <w:t>Inicial: contabilidad diaria de reservas, liquidación y esterilización; curva flexible del spread sobre reservas con calendario y régimen. Intermedio: proyecciones locales diarias; banco-mes con exposición predeterminada. Frontera: reservas y pagos intradía, contrapartes y préstamos nuevos. Unidad banco-día y banco-mes; horizonte 1 día a 12 meses; splines y LP son preferibles por no imponer linealidad ni dinámica.</w:t>
      </w:r>
    </w:p>
    <w:p>
      <w:pPr>
        <w:spacing w:before="140" w:after="40"/>
      </w:pPr>
      <w:r>
        <w:rPr>
          <w:b/>
          <w:color w:val="000000"/>
          <w:sz w:val="21"/>
        </w:rPr>
        <w:t>4. Escalera de datos</w:t>
      </w:r>
    </w:p>
    <w:p>
      <w:pPr>
        <w:spacing w:after="100" w:line="259" w:lineRule="auto"/>
      </w:pPr>
      <w:r>
        <w:t>Mínimamente necesario: reservas agregadas, corredor, tasa interbancaria, operaciones y regímenes fechados. Suficiente: reservas/operaciones diarias y resultados bancarios mensuales. Ideal: reservas, participación FX, facilidades, posiciones interbancarias y tasas/cantidades de crédito por banco-moneda-sector. Óptimo: cuentas intradía, pagos SIPAP, trades interbancarios, colateral y originaciones. Metadatos: hora de liquidación, reglas de encaje/facilidades, calendario fiscal y definición de esterilización; preservar breaks y revisiones.</w:t>
      </w:r>
    </w:p>
    <w:p>
      <w:pPr>
        <w:spacing w:before="140" w:after="40"/>
      </w:pPr>
      <w:r>
        <w:rPr>
          <w:b/>
          <w:color w:val="000000"/>
          <w:sz w:val="21"/>
        </w:rPr>
        <w:t>5. Amenazas y requisitos de credibilidad</w:t>
      </w:r>
    </w:p>
    <w:p>
      <w:pPr>
        <w:spacing w:after="100" w:line="259" w:lineRule="auto"/>
      </w:pPr>
      <w:r>
        <w:t>La reacción del BCP a presión cambiaria y de liquidez genera endogeneidad; los flujos del Tesoro pueden responder a actividad. Exigir identidad de liquidez que cuadre, pre-tendencias, placebos de calendario, medidas alternativas de escasez y diagnóstico de instrumentos débiles. Un resultado nulo fuera de la zona de escasez es informativo.</w:t>
      </w:r>
    </w:p>
    <w:p>
      <w:pPr>
        <w:spacing w:before="140" w:after="40"/>
      </w:pPr>
      <w:r>
        <w:rPr>
          <w:b/>
          <w:color w:val="000000"/>
          <w:sz w:val="21"/>
        </w:rPr>
        <w:t>6. Ruta de crecimiento</w:t>
      </w:r>
    </w:p>
    <w:p>
      <w:pPr>
        <w:spacing w:after="100" w:line="259" w:lineRule="auto"/>
      </w:pPr>
      <w:r>
        <w:t>Primero construir un libro de operaciones y calendario de liquidación. Sólo promover a causalidad bancaria si se valida una fuente de variación autónoma o sorpresiva. Este activo alimenta intervención FX, depósitos, riesgo bancario y pagos instantáneos.</w:t>
      </w:r>
    </w:p>
    <w:p>
      <w:pPr>
        <w:pStyle w:val="Heading2"/>
        <w:keepNext/>
        <w:spacing w:before="280"/>
      </w:pPr>
      <w:r>
        <w:rPr>
          <w:color w:val="000000"/>
        </w:rPr>
        <w:t xml:space="preserve">A2  Sorpresas de política monetaria de alta frecuencia (nueva)</w:t>
      </w:r>
    </w:p>
    <w:p>
      <w:pPr>
        <w:spacing w:after="100" w:line="259" w:lineRule="auto"/>
      </w:pPr>
      <w:r>
        <w:rPr>
          <w:b/>
        </w:rPr>
        <w:t xml:space="preserve">Clasificación de factibilidad:</w:t>
      </w:r>
      <w:r>
        <w:t xml:space="preserve"> Listo para ser diseñado empíricamente una vez fechado el calendario del COPOM; es infraestructura que habilita causalidad en A1, A3, C2, C3, E3 y B2.</w:t>
      </w:r>
    </w:p>
    <w:p>
      <w:pPr>
        <w:spacing w:before="140" w:after="40"/>
      </w:pPr>
      <w:r>
        <w:rPr>
          <w:b/>
          <w:color w:val="000000"/>
          <w:sz w:val="21"/>
        </w:rPr>
        <w:t>1. Motivación y contribución potencial</w:t>
      </w:r>
    </w:p>
    <w:p>
      <w:pPr>
        <w:spacing w:after="100" w:line="259" w:lineRule="auto"/>
      </w:pPr>
      <w:r>
        <w:t xml:space="preserve">Problema: la TPM responde a la inflación y a la actividad, por lo que su nivel no es un shock. Sin una medida de sorpresa, todos los proyectos de transmisión quedan en forma reducida. La contribución es una serie oficial de sorpresas monetarias para Paraguay, reutilizable en toda la agenda.</w:t>
      </w:r>
    </w:p>
    <w:p>
      <w:pPr>
        <w:spacing w:before="140" w:after="40"/>
      </w:pPr>
      <w:r>
        <w:rPr>
          <w:b/>
          <w:color w:val="000000"/>
          <w:sz w:val="21"/>
        </w:rPr>
        <w:t>2. Objetivo, pregunta y estimando</w:t>
      </w:r>
    </w:p>
    <w:p>
      <w:pPr>
        <w:spacing w:after="100" w:line="259" w:lineRule="auto"/>
      </w:pPr>
      <w:r>
        <w:t xml:space="preserve">Pregunta: ¿qué parte de cada decisión del COPOM fue sorpresiva para el mercado y cómo se transmite a tasas interbancarias, LRM, bonos y tipo de cambio? Estimando: sorpresa = cambio de tasas de mercado en la ventana del anuncio; respuesta de tasas y tipo de cambio a la sorpresa. Mecanismo: expectativas de trayectoria de la TPM. Evidencia: causal en sentido de alta frecuencia.</w:t>
      </w:r>
    </w:p>
    <w:p>
      <w:pPr>
        <w:spacing w:before="140" w:after="40"/>
      </w:pPr>
      <w:r>
        <w:rPr>
          <w:b/>
          <w:color w:val="000000"/>
          <w:sz w:val="21"/>
        </w:rPr>
        <w:t>3. Ejercicios empíricos posibles</w:t>
      </w:r>
    </w:p>
    <w:p>
      <w:pPr>
        <w:spacing w:after="100" w:line="259" w:lineRule="auto"/>
      </w:pPr>
      <w:r>
        <w:t xml:space="preserve">Inicial: calendario del COPOM y ventanas diarias en el interbancario (call + REPO + tripartito) y en las facilidades; validación con días placebo. Intermedio: descomposición en sorpresa de nivel y de trayectoria usando LRM y curvas de bonos; proyecciones locales diarias. Frontera: ventanas intradía y forwards. Unidad: reunión-día; horizonte 0 a 60 días.</w:t>
      </w:r>
    </w:p>
    <w:p>
      <w:pPr>
        <w:spacing w:before="140" w:after="40"/>
      </w:pPr>
      <w:r>
        <w:rPr>
          <w:b/>
          <w:color w:val="000000"/>
          <w:sz w:val="21"/>
        </w:rPr>
        <w:t>4. Escalera de datos</w:t>
      </w:r>
    </w:p>
    <w:p>
      <w:pPr>
        <w:spacing w:after="100" w:line="259" w:lineRule="auto"/>
      </w:pPr>
      <w:r>
        <w:t xml:space="preserve">Mínimamente necesario: fechas y horas de anuncio del COPOM y tasas diarias del interbancario. Suficiente: subastas de LRM, curvas de bonos en PYG, TCN diario y expectativas EVE. Ideal: tasas intradía y rendimientos secundarios de bonos del Tesoro. Óptimo: futuros o swaps de tasas. Metadatos: hora del anuncio, fecha de vigencia del nuevo corredor, reuniones sin cambio.</w:t>
      </w:r>
    </w:p>
    <w:p>
      <w:pPr>
        <w:spacing w:before="140" w:after="40"/>
      </w:pPr>
      <w:r>
        <w:rPr>
          <w:b/>
          <w:color w:val="000000"/>
          <w:sz w:val="21"/>
        </w:rPr>
        <w:t>5. Amenazas y requisitos de credibilidad</w:t>
      </w:r>
    </w:p>
    <w:p>
      <w:pPr>
        <w:spacing w:after="100" w:line="259" w:lineRule="auto"/>
      </w:pPr>
      <w:r>
        <w:t xml:space="preserve">Mercado interbancario poco profundo, días sin operaciones y anuncios fuera de horario. Exigir: sorpresas grandes en fechas COPOM y nulas en placebos, no predictibilidad con información pública previa, robustez a la definición de ventana. Un resultado de sorpresas pequeñas indica alta previsibilidad de la política y es informativo en sí mismo.</w:t>
      </w:r>
    </w:p>
    <w:p>
      <w:pPr>
        <w:spacing w:before="140" w:after="40"/>
      </w:pPr>
      <w:r>
        <w:rPr>
          <w:b/>
          <w:color w:val="000000"/>
          <w:sz w:val="21"/>
        </w:rPr>
        <w:t>6. Ruta de crecimiento</w:t>
      </w:r>
    </w:p>
    <w:p>
      <w:pPr>
        <w:spacing w:after="100" w:line="259" w:lineRule="auto"/>
      </w:pPr>
      <w:r>
        <w:t xml:space="preserve">Construir primero el calendario y la serie; publicarla como activo común. Luego usarla como instrumento de la TPM en A1, A3, C2, C3, E3 y B2.</w:t>
      </w:r>
    </w:p>
    <w:p>
      <w:pPr>
        <w:spacing w:after="100" w:line="259" w:lineRule="auto"/>
      </w:pPr>
      <w:r>
        <w:rPr>
          <w:b/>
        </w:rPr>
        <w:t xml:space="preserve">Datos y viabilidad (septiembre 2026):</w:t>
      </w:r>
      <w:r>
        <w:t xml:space="preserve"> Media-alta. Interbancario diario desde 2011; 40 fechas de cambio de TPM reconstruidas de los movimientos paralelos del corredor (2015–2026). Falta el calendario oficial del COPOM. Carpeta de trabajo: proyectos/25_n4_sorpresas_monetarias.</w:t>
      </w:r>
    </w:p>
    <w:p>
      <w:pPr>
        <w:pStyle w:val="Heading2"/>
        <w:keepNext/>
        <w:spacing w:before="280"/>
      </w:pPr>
      <w:r>
        <w:rPr>
          <w:color w:val="000000"/>
        </w:rPr>
        <w:t xml:space="preserve">A3  Canal de crédito bancario de la política monetaria (nueva)</w:t>
      </w:r>
    </w:p>
    <w:p>
      <w:pPr>
        <w:spacing w:after="100" w:line="259" w:lineRule="auto"/>
      </w:pPr>
      <w:r>
        <w:rPr>
          <w:b/>
        </w:rPr>
        <w:t xml:space="preserve">Clasificación de factibilidad:</w:t>
      </w:r>
      <w:r>
        <w:t xml:space="preserve"> Listo para ser diseñado en forma reducida; causal en la heterogeneidad cuando se combine con las sorpresas de A2.</w:t>
      </w:r>
    </w:p>
    <w:p>
      <w:pPr>
        <w:spacing w:before="140" w:after="40"/>
      </w:pPr>
      <w:r>
        <w:rPr>
          <w:b/>
          <w:color w:val="000000"/>
          <w:sz w:val="21"/>
        </w:rPr>
        <w:t>1. Motivación y contribución potencial</w:t>
      </w:r>
    </w:p>
    <w:p>
      <w:pPr>
        <w:spacing w:after="100" w:line="259" w:lineRule="auto"/>
      </w:pPr>
      <w:r>
        <w:t xml:space="preserve">Problema: el efecto agregado de la TPM sobre el crédito mezcla oferta y demanda. La heterogeneidad entre bancos (liquidez, capital, fondeo) permite aislar el componente de oferta si la demanda se absorbe con efectos fijos.</w:t>
      </w:r>
    </w:p>
    <w:p>
      <w:pPr>
        <w:spacing w:before="140" w:after="40"/>
      </w:pPr>
      <w:r>
        <w:rPr>
          <w:b/>
          <w:color w:val="000000"/>
          <w:sz w:val="21"/>
        </w:rPr>
        <w:t>2. Objetivo, pregunta y estimando</w:t>
      </w:r>
    </w:p>
    <w:p>
      <w:pPr>
        <w:spacing w:after="100" w:line="259" w:lineRule="auto"/>
      </w:pPr>
      <w:r>
        <w:t xml:space="preserve">Pregunta: ¿contraen más el crédito, ante una sorpresa contractiva, los bancos con menos liquidez, menos capital o fondeo más sensible a tasas? Estimando: interacción sorpresa × característica predeterminada del banco. Mecanismo: fricciones de financiamiento bancario. Evidencia: causal en la heterogeneidad, no en el nivel.</w:t>
      </w:r>
    </w:p>
    <w:p>
      <w:pPr>
        <w:spacing w:before="140" w:after="40"/>
      </w:pPr>
      <w:r>
        <w:rPr>
          <w:b/>
          <w:color w:val="000000"/>
          <w:sz w:val="21"/>
        </w:rPr>
        <w:t>3. Ejercicios empíricos posibles</w:t>
      </w:r>
    </w:p>
    <w:p>
      <w:pPr>
        <w:spacing w:after="100" w:line="259" w:lineRule="auto"/>
      </w:pPr>
      <w:r>
        <w:t xml:space="preserve">Inicial: panel banco × sector × moneda × mes con características en t−1 y TPM/sorpresa EVE. Intermedio: sorpresas de alta frecuencia de A2 y efectos fijos sector × moneda × mes. Frontera: registro de crédito con prestatarios en varios bancos. Horizonte 0 a 12 meses.</w:t>
      </w:r>
    </w:p>
    <w:p>
      <w:pPr>
        <w:spacing w:before="140" w:after="40"/>
      </w:pPr>
      <w:r>
        <w:rPr>
          <w:b/>
          <w:color w:val="000000"/>
          <w:sz w:val="21"/>
        </w:rPr>
        <w:t>4. Escalera de datos</w:t>
      </w:r>
    </w:p>
    <w:p>
      <w:pPr>
        <w:spacing w:after="100" w:line="259" w:lineRule="auto"/>
      </w:pPr>
      <w:r>
        <w:t xml:space="preserve">Mínimamente necesario: balance por banco y moneda, crédito por sector y TPM. Suficiente: sorpresas de A2, tasas implícitas por banco. Ideal: originaciones y tasas por banco-producto. Óptimo: registro de crédito. Metadatos: fusiones, cambios de clasificación y altas/bajas de entidades.</w:t>
      </w:r>
    </w:p>
    <w:p>
      <w:pPr>
        <w:spacing w:before="140" w:after="40"/>
      </w:pPr>
      <w:r>
        <w:rPr>
          <w:b/>
          <w:color w:val="000000"/>
          <w:sz w:val="21"/>
        </w:rPr>
        <w:t>5. Amenazas y requisitos de credibilidad</w:t>
      </w:r>
    </w:p>
    <w:p>
      <w:pPr>
        <w:spacing w:after="100" w:line="259" w:lineRule="auto"/>
      </w:pPr>
      <w:r>
        <w:t xml:space="preserve">Características bancarias correlacionadas con la cartera de clientes; pocos bancos (≈ 29). Exigir exposición predeterminada, efectos fijos de demanda, wild bootstrap, pre-tendencias. Heterogeneidad nula es evidencia de un canal de crédito débil.</w:t>
      </w:r>
    </w:p>
    <w:p>
      <w:pPr>
        <w:spacing w:before="140" w:after="40"/>
      </w:pPr>
      <w:r>
        <w:rPr>
          <w:b/>
          <w:color w:val="000000"/>
          <w:sz w:val="21"/>
        </w:rPr>
        <w:t>6. Ruta de crecimiento</w:t>
      </w:r>
    </w:p>
    <w:p>
      <w:pPr>
        <w:spacing w:after="100" w:line="259" w:lineRule="auto"/>
      </w:pPr>
      <w:r>
        <w:t xml:space="preserve">Depende de A2 para el tratamiento; comparte panel con C1, C2 y C5.</w:t>
      </w:r>
    </w:p>
    <w:p>
      <w:pPr>
        <w:spacing w:after="100" w:line="259" w:lineRule="auto"/>
      </w:pPr>
      <w:r>
        <w:rPr>
          <w:b/>
        </w:rPr>
        <w:t xml:space="preserve">Datos y viabilidad (septiembre 2026):</w:t>
      </w:r>
      <w:r>
        <w:t xml:space="preserve"> Media (media-alta con A2). Panel completo de balance, crédito por sector y ratios por entidad desde 2016. Carpeta de trabajo: proyectos/29_n8_canal_credito_bancario.</w:t>
      </w:r>
    </w:p>
    <w:p>
      <w:pPr>
        <w:pStyle w:val="Heading2"/>
        <w:keepNext/>
        <w:spacing w:before="280"/>
      </w:pPr>
      <w:r>
        <w:rPr>
          <w:color w:val="000000"/>
        </w:rPr>
        <w:t>B1  Intervención cambiaria y eficacia en el mercado FX</w:t>
      </w:r>
    </w:p>
    <w:p>
      <w:pPr>
        <w:spacing w:after="100" w:line="259" w:lineRule="auto"/>
      </w:pPr>
      <w:r>
        <w:rPr>
          <w:b/>
        </w:rPr>
        <w:t>Clasificación de factibilidad:</w:t>
      </w:r>
      <w:r>
        <w:t xml:space="preserve"> Requiere acotar el estimando y reconstruir la función de reacción; depende de información institucional o alta frecuencia para causalidad.</w:t>
      </w:r>
    </w:p>
    <w:p>
      <w:pPr>
        <w:spacing w:before="140" w:after="40"/>
      </w:pPr>
      <w:r>
        <w:rPr>
          <w:b/>
          <w:color w:val="000000"/>
          <w:sz w:val="21"/>
        </w:rPr>
        <w:t>1. Motivación y contribución potencial</w:t>
      </w:r>
    </w:p>
    <w:p>
      <w:pPr>
        <w:spacing w:after="100" w:line="259" w:lineRule="auto"/>
      </w:pPr>
      <w:r>
        <w:t>Problema: las intervenciones ocurren cuando la presión cambiaria es excepcional. El aporte sería estimar duración, magnitud y estado de los efectos, no un coeficiente promedio con causalidad invertida.</w:t>
      </w:r>
    </w:p>
    <w:p>
      <w:pPr>
        <w:spacing w:before="140" w:after="40"/>
      </w:pPr>
      <w:r>
        <w:rPr>
          <w:b/>
          <w:color w:val="000000"/>
          <w:sz w:val="21"/>
        </w:rPr>
        <w:t>2. Objetivo, pregunta y estimando</w:t>
      </w:r>
    </w:p>
    <w:p>
      <w:pPr>
        <w:spacing w:after="100" w:line="259" w:lineRule="auto"/>
      </w:pPr>
      <w:r>
        <w:t>Pregunta: ¿cuál es el efecto dinámico de una operación FX exógena o mejor identificada sobre retorno, volatilidad y riesgo de cola del PYG/USD? Estimando: respuesta acumulada por monto y tipo de operación. Mecanismo: absorción de presión, señalización o capacidad dealer. Evidencia: asociación condicionada con diario; causal con timing/reglas/narrativa creíbles.</w:t>
      </w:r>
    </w:p>
    <w:p>
      <w:pPr>
        <w:spacing w:before="140" w:after="40"/>
      </w:pPr>
      <w:r>
        <w:rPr>
          <w:b/>
          <w:color w:val="000000"/>
          <w:sz w:val="21"/>
        </w:rPr>
        <w:t>3. Ejercicios empíricos posibles</w:t>
      </w:r>
    </w:p>
    <w:p>
      <w:pPr>
        <w:spacing w:after="100" w:line="259" w:lineRule="auto"/>
      </w:pPr>
      <w:r>
        <w:t>Inicial: cronología diaria de operación, tipo compensatoria/complementaria, retorno y presión previa; estudios de eventos condicionados. Intermedio: LP diarias y matching con controles globales. Frontera: ventanas intradía, quotes, spreads, flujo firmado y documentos de decisión. Unidad día o minuto; horizonte impacto a 20 días. No usar turnover como flujo ni ventas brutas como tratamiento neto.</w:t>
      </w:r>
    </w:p>
    <w:p>
      <w:pPr>
        <w:spacing w:before="140" w:after="40"/>
      </w:pPr>
      <w:r>
        <w:rPr>
          <w:b/>
          <w:color w:val="000000"/>
          <w:sz w:val="21"/>
        </w:rPr>
        <w:t>4. Escalera de datos</w:t>
      </w:r>
    </w:p>
    <w:p>
      <w:pPr>
        <w:spacing w:after="100" w:line="259" w:lineRule="auto"/>
      </w:pPr>
      <w:r>
        <w:t>Mínimamente necesario: monto y fecha exactos, dirección y tipo, tipo de cambio. Suficiente: operaciones diarias por tipo, volatilidad, variables globales/regionales y comunicaciones. Ideal: ventana/estado de anuncio, ejecución, spreads y profundidad. Óptimo: órdenes y ejecuciones fechadas, flujo dealer-cliente, información interna y calendario compensatorio. Metadatos: decisión versus ejecución, objetivo, anuncio, contraparte, esterilización y revisiones.</w:t>
      </w:r>
    </w:p>
    <w:p>
      <w:pPr>
        <w:spacing w:before="140" w:after="40"/>
      </w:pPr>
      <w:r>
        <w:rPr>
          <w:b/>
          <w:color w:val="000000"/>
          <w:sz w:val="21"/>
        </w:rPr>
        <w:t>5. Amenazas y requisitos de credibilidad</w:t>
      </w:r>
    </w:p>
    <w:p>
      <w:pPr>
        <w:spacing w:after="100" w:line="259" w:lineRule="auto"/>
      </w:pPr>
      <w:r>
        <w:t>La selección de la intervención es central. Exigir balance de presión previa, falsos eventos, exclusión de episodios extremos, efectos por horizonte y defensa documental de cada instrumento. Un efecto corto o sólo en volatilidad sigue siendo una conclusión de política valiosa.</w:t>
      </w:r>
    </w:p>
    <w:p>
      <w:pPr>
        <w:spacing w:before="140" w:after="40"/>
      </w:pPr>
      <w:r>
        <w:rPr>
          <w:b/>
          <w:color w:val="000000"/>
          <w:sz w:val="21"/>
        </w:rPr>
        <w:t>6. Ruta de crecimiento</w:t>
      </w:r>
    </w:p>
    <w:p>
      <w:pPr>
        <w:spacing w:after="100" w:line="259" w:lineRule="auto"/>
      </w:pPr>
      <w:r>
        <w:t>Crear primero una taxonomía auditable de operaciones y un memo de la función de reacción. Luego conectar, sin confundir, con A1 y B3. Si no se separan propósito y timing, conservar como evaluación condicional de operaciones.</w:t>
      </w:r>
    </w:p>
    <w:p>
      <w:pPr>
        <w:pStyle w:val="Heading2"/>
        <w:keepNext/>
        <w:spacing w:before="280"/>
      </w:pPr>
      <w:r>
        <w:rPr>
          <w:color w:val="000000"/>
        </w:rPr>
        <w:t>B2  Marco multi-horizonte del guaraní-dólar</w:t>
      </w:r>
    </w:p>
    <w:p>
      <w:pPr>
        <w:spacing w:after="100" w:line="259" w:lineRule="auto"/>
      </w:pPr>
      <w:r>
        <w:rPr>
          <w:b/>
        </w:rPr>
        <w:t>Clasificación de factibilidad:</w:t>
      </w:r>
      <w:r>
        <w:t xml:space="preserve"> Listo para ser diseñado empíricamente como marco descriptivo y predictivo; requiere microdatos para afirmar microestructura.</w:t>
      </w:r>
    </w:p>
    <w:p>
      <w:pPr>
        <w:spacing w:before="140" w:after="40"/>
      </w:pPr>
      <w:r>
        <w:rPr>
          <w:b/>
          <w:color w:val="000000"/>
          <w:sz w:val="21"/>
        </w:rPr>
        <w:t>1. Motivación y contribución potencial</w:t>
      </w:r>
    </w:p>
    <w:p>
      <w:pPr>
        <w:spacing w:after="100" w:line="259" w:lineRule="auto"/>
      </w:pPr>
      <w:r>
        <w:t>Problema: nivel de equilibrio, retorno mensual y movimiento intradía son objetos distintos. Un marco recurrente mejora diagnóstico y pronóstico sin convertir una estimación de valor justo en objetivo de política.</w:t>
      </w:r>
    </w:p>
    <w:p>
      <w:pPr>
        <w:spacing w:before="140" w:after="40"/>
      </w:pPr>
      <w:r>
        <w:rPr>
          <w:b/>
          <w:color w:val="000000"/>
          <w:sz w:val="21"/>
        </w:rPr>
        <w:t>2. Objetivo, pregunta y estimando</w:t>
      </w:r>
    </w:p>
    <w:p>
      <w:pPr>
        <w:spacing w:after="100" w:line="259" w:lineRule="auto"/>
      </w:pPr>
      <w:r>
        <w:t>Pregunta: ¿qué variables explican y predicen el PYG/USD por horizonte? Estimando: contribuciones y desempeño fuera de muestra de modelos por frecuencia, no el efecto causal de cada fundamental. Mecanismo: ajuste macro lento versus presión financiera de alta frecuencia. Evidencia: descriptiva, predictiva y forma reducida.</w:t>
      </w:r>
    </w:p>
    <w:p>
      <w:pPr>
        <w:spacing w:before="140" w:after="40"/>
      </w:pPr>
      <w:r>
        <w:rPr>
          <w:b/>
          <w:color w:val="000000"/>
          <w:sz w:val="21"/>
        </w:rPr>
        <w:t>3. Ejercicios empíricos posibles</w:t>
      </w:r>
    </w:p>
    <w:p>
      <w:pPr>
        <w:spacing w:after="100" w:line="259" w:lineRule="auto"/>
      </w:pPr>
      <w:r>
        <w:t>Inicial: ECM/BEER mensual y benchmarking contra random walk; descomposición histórica con bandas amplias. Intermedio: BVAR/factores y evaluación recursiva diaria-mensual. Frontera: modelo de espacio de estados que combine componente lento con presión de mercado. Unidad diaria/mensual; horizontes 1 día a 24 meses; separar nivel, retorno y variación interanual.</w:t>
      </w:r>
    </w:p>
    <w:p>
      <w:pPr>
        <w:spacing w:before="140" w:after="40"/>
      </w:pPr>
      <w:r>
        <w:rPr>
          <w:b/>
          <w:color w:val="000000"/>
          <w:sz w:val="21"/>
        </w:rPr>
        <w:t>4. Escalera de datos</w:t>
      </w:r>
    </w:p>
    <w:p>
      <w:pPr>
        <w:spacing w:after="100" w:line="259" w:lineRule="auto"/>
      </w:pPr>
      <w:r>
        <w:t>Mínimamente necesario: PYG/USD mensual, dólar amplio, Brasil/Argentina, commodities, inflación y tasas relativas, comercio y actividad. Suficiente: serie diaria, intervención y controles globales más fundamentos mensuales. Ideal: forwards, expectativas y compras netas bancarias por cliente. Óptimo: flujo firmado, quotes/profundidad y vintages macro. Metadatos: horario de cierre, fuente de cada precio, cambios de metodología y fecha de disponibilidad.</w:t>
      </w:r>
    </w:p>
    <w:p>
      <w:pPr>
        <w:spacing w:before="140" w:after="40"/>
      </w:pPr>
      <w:r>
        <w:rPr>
          <w:b/>
          <w:color w:val="000000"/>
          <w:sz w:val="21"/>
        </w:rPr>
        <w:t>5. Amenazas y requisitos de credibilidad</w:t>
      </w:r>
    </w:p>
    <w:p>
      <w:pPr>
        <w:spacing w:after="100" w:line="259" w:lineRule="auto"/>
      </w:pPr>
      <w:r>
        <w:t>Sobreajuste, inestabilidad y endogeneidad de fundamentales. Exigir benchmark simple, evaluación recursiva, tests de estabilidad, bandas y episodios históricos predefinidos. Ausencia de ganancia frente al random walk delimita honestamente el uso del marco.</w:t>
      </w:r>
    </w:p>
    <w:p>
      <w:pPr>
        <w:spacing w:before="140" w:after="40"/>
      </w:pPr>
      <w:r>
        <w:rPr>
          <w:b/>
          <w:color w:val="000000"/>
          <w:sz w:val="21"/>
        </w:rPr>
        <w:t>6. Ruta de crecimiento</w:t>
      </w:r>
    </w:p>
    <w:p>
      <w:pPr>
        <w:spacing w:after="100" w:line="259" w:lineRule="auto"/>
      </w:pPr>
      <w:r>
        <w:t>Construir un archivo de datos por frecuencia y decisiones de transformación. El valor compartido va a B1, B3, N4/N11 y forecasting. Sólo integrar flujo de órdenes si se valida B3.</w:t>
      </w:r>
    </w:p>
    <w:p>
      <w:pPr>
        <w:pStyle w:val="Heading2"/>
        <w:keepNext/>
        <w:spacing w:before="280"/>
      </w:pPr>
      <w:r>
        <w:rPr>
          <w:color w:val="000000"/>
        </w:rPr>
        <w:t>B3  Flujo de órdenes, posiciones bancarias y microestructura FX</w:t>
      </w:r>
    </w:p>
    <w:p>
      <w:pPr>
        <w:spacing w:after="100" w:line="259" w:lineRule="auto"/>
      </w:pPr>
      <w:r>
        <w:rPr>
          <w:b/>
        </w:rPr>
        <w:t>Clasificación de factibilidad:</w:t>
      </w:r>
      <w:r>
        <w:t xml:space="preserve"> Depende de información institucional, microdatos y alta frecuencia; debe permanecer como piloto de medición.</w:t>
      </w:r>
    </w:p>
    <w:p>
      <w:pPr>
        <w:spacing w:before="140" w:after="40"/>
      </w:pPr>
      <w:r>
        <w:rPr>
          <w:b/>
          <w:color w:val="000000"/>
          <w:sz w:val="21"/>
        </w:rPr>
        <w:t>1. Motivación y contribución potencial</w:t>
      </w:r>
    </w:p>
    <w:p>
      <w:pPr>
        <w:spacing w:after="100" w:line="259" w:lineRule="auto"/>
      </w:pPr>
      <w:r>
        <w:t>Problema: a horizonte corto el flujo firmado y la capacidad dealer pueden explicar precios mejor que fundamentos agregados. La oportunidad es alta, pero la variable central no puede sustituirse por turnover.</w:t>
      </w:r>
    </w:p>
    <w:p>
      <w:pPr>
        <w:spacing w:before="140" w:after="40"/>
      </w:pPr>
      <w:r>
        <w:rPr>
          <w:b/>
          <w:color w:val="000000"/>
          <w:sz w:val="21"/>
        </w:rPr>
        <w:t>2. Objetivo, pregunta y estimando</w:t>
      </w:r>
    </w:p>
    <w:p>
      <w:pPr>
        <w:spacing w:after="100" w:line="259" w:lineRule="auto"/>
      </w:pPr>
      <w:r>
        <w:t>Pregunta: ¿cuál es el impacto de flujo FX firmado por tipo de agente sobre el PYG/USD y cómo depende de capacidad de posición? Estimando: elasticidad precio-flujo y heterogeneidad por balance. Mecanismo: información dispersa o absorción de inventario. Evidencia: forma reducida; causal sólo con calendarios/exógenos de flujo.</w:t>
      </w:r>
    </w:p>
    <w:p>
      <w:pPr>
        <w:spacing w:before="140" w:after="40"/>
      </w:pPr>
      <w:r>
        <w:rPr>
          <w:b/>
          <w:color w:val="000000"/>
          <w:sz w:val="21"/>
        </w:rPr>
        <w:t>3. Ejercicios empíricos posibles</w:t>
      </w:r>
    </w:p>
    <w:p>
      <w:pPr>
        <w:spacing w:after="100" w:line="259" w:lineRule="auto"/>
      </w:pPr>
      <w:r>
        <w:t>Inicial: validar definición, signo y cobertura del flujo; describir concentración y balance de inventarios. Intermedio: regresiones de impacto/LP con noticias globales. Frontera: trades y quotes intradía, posiciones intradía y shocks de flujo ligados a liquidación comercial predeterminada. Unidad trade/minuto o banco-día.</w:t>
      </w:r>
    </w:p>
    <w:p>
      <w:pPr>
        <w:spacing w:before="140" w:after="40"/>
      </w:pPr>
      <w:r>
        <w:rPr>
          <w:b/>
          <w:color w:val="000000"/>
          <w:sz w:val="21"/>
        </w:rPr>
        <w:t>4. Escalera de datos</w:t>
      </w:r>
    </w:p>
    <w:p>
      <w:pPr>
        <w:spacing w:after="100" w:line="259" w:lineRule="auto"/>
      </w:pPr>
      <w:r>
        <w:t>Mínimamente necesario: no existe sustituto; flujo neto firmado y tipo de cambio son indispensables. Suficiente: flujo diario por categoría y turnover. Ideal: banco-día, posiciones y spreads. Óptimo: trade-time, dirección, cliente, quotes, profundidad y posiciones intradía. Metadatos: convención de signo, neteo, cambios de plataforma, categoría de contraparte, hora y cobertura.</w:t>
      </w:r>
    </w:p>
    <w:p>
      <w:pPr>
        <w:spacing w:before="140" w:after="40"/>
      </w:pPr>
      <w:r>
        <w:rPr>
          <w:b/>
          <w:color w:val="000000"/>
          <w:sz w:val="21"/>
        </w:rPr>
        <w:t>5. Amenazas y requisitos de credibilidad</w:t>
      </w:r>
    </w:p>
    <w:p>
      <w:pPr>
        <w:spacing w:after="100" w:line="259" w:lineRule="auto"/>
      </w:pPr>
      <w:r>
        <w:t>Precio y flujo se determinan simultáneamente; clasificación errónea destruye el estimando. Exigir conciliación contable, estabilidad de signos, observaciones faltantes, controles de anuncios y tests de anticipación. Un piloto que muestre baja cobertura es un resultado decisivo para no avanzar.</w:t>
      </w:r>
    </w:p>
    <w:p>
      <w:pPr>
        <w:spacing w:before="140" w:after="40"/>
      </w:pPr>
      <w:r>
        <w:rPr>
          <w:b/>
          <w:color w:val="000000"/>
          <w:sz w:val="21"/>
        </w:rPr>
        <w:t>6. Ruta de crecimiento</w:t>
      </w:r>
    </w:p>
    <w:p>
      <w:pPr>
        <w:spacing w:after="100" w:line="259" w:lineRule="auto"/>
      </w:pPr>
      <w:r>
        <w:t>Entregar primero serie validada y nota de identificación. Si supera validación, enlaza con B1; si no, limitar B2 a marco macro.</w:t>
      </w:r>
    </w:p>
    <w:p>
      <w:pPr>
        <w:pStyle w:val="Heading2"/>
        <w:keepNext/>
        <w:spacing w:before="280"/>
      </w:pPr>
      <w:r>
        <w:rPr>
          <w:color w:val="000000"/>
        </w:rPr>
        <w:t>C1  Liquidez dólar, dolarización y descalce cambiario</w:t>
      </w:r>
    </w:p>
    <w:p>
      <w:pPr>
        <w:spacing w:after="100" w:line="259" w:lineRule="auto"/>
      </w:pPr>
      <w:r>
        <w:rPr>
          <w:b/>
        </w:rPr>
        <w:t>Clasificación de factibilidad:</w:t>
      </w:r>
      <w:r>
        <w:t xml:space="preserve"> Requiere datos que probablemente deban construirse; versión causal depende de microdatos bancarios y de shocks externos identificados.</w:t>
      </w:r>
    </w:p>
    <w:p>
      <w:pPr>
        <w:spacing w:before="140" w:after="40"/>
      </w:pPr>
      <w:r>
        <w:rPr>
          <w:b/>
          <w:color w:val="000000"/>
          <w:sz w:val="21"/>
        </w:rPr>
        <w:t>1. Motivación y contribución potencial</w:t>
      </w:r>
    </w:p>
    <w:p>
      <w:pPr>
        <w:spacing w:after="100" w:line="259" w:lineRule="auto"/>
      </w:pPr>
      <w:r>
        <w:t>Problema: posición neta y dolarización agregada no miden liquidez de liquidación ni riesgo del prestatario. El proyecto integra F2 y F11 bajo una pregunta de estabilidad financiera coherente.</w:t>
      </w:r>
    </w:p>
    <w:p>
      <w:pPr>
        <w:spacing w:before="140" w:after="40"/>
      </w:pPr>
      <w:r>
        <w:rPr>
          <w:b/>
          <w:color w:val="000000"/>
          <w:sz w:val="21"/>
        </w:rPr>
        <w:t>2. Objetivo, pregunta y estimando</w:t>
      </w:r>
    </w:p>
    <w:p>
      <w:pPr>
        <w:spacing w:after="100" w:line="259" w:lineRule="auto"/>
      </w:pPr>
      <w:r>
        <w:t>Pregunta: ¿cómo amplifican la vulnerabilidad de liquidez USD y el descalce del prestatario los shocks externos/depreciaciones hacia tasas, crédito y default? Estimandos: respuesta de préstamo a shock externo × vulnerabilidad bancaria; diferencia de incumplimiento tras depreciación × deuda USD × cobertura natural. Mecanismos: capacidad de balance y cash flow. Evidencia: forma reducida; causal con shocks y comparaciones dentro de prestatario.</w:t>
      </w:r>
    </w:p>
    <w:p>
      <w:pPr>
        <w:spacing w:before="140" w:after="40"/>
      </w:pPr>
      <w:r>
        <w:rPr>
          <w:b/>
          <w:color w:val="000000"/>
          <w:sz w:val="21"/>
        </w:rPr>
        <w:t>3. Ejercicios empíricos posibles</w:t>
      </w:r>
    </w:p>
    <w:p>
      <w:pPr>
        <w:spacing w:after="100" w:line="259" w:lineRule="auto"/>
      </w:pPr>
      <w:r>
        <w:t>Inicial: panel banco-moneda y mapa de exposición; descriptivo de fuentes y usos USD. Intermedio: LP banco-sector con shocks globales identificados y exposiciones predeterminadas; default por sector exportador. Frontera: crédito-registro ligado a moneda de ingresos/exportación y deuda de corto plazo. Unidad banco-mes, préstamo-mes; horizonte 1-24 meses.</w:t>
      </w:r>
    </w:p>
    <w:p>
      <w:pPr>
        <w:spacing w:before="140" w:after="40"/>
      </w:pPr>
      <w:r>
        <w:rPr>
          <w:b/>
          <w:color w:val="000000"/>
          <w:sz w:val="21"/>
        </w:rPr>
        <w:t>4. Escalera de datos</w:t>
      </w:r>
    </w:p>
    <w:p>
      <w:pPr>
        <w:spacing w:after="100" w:line="259" w:lineRule="auto"/>
      </w:pPr>
      <w:r>
        <w:t>Mínimamente necesario: activos, depósitos, crédito, capital y NPL por moneda. Suficiente: banco-moneda-sector, fondeo externo y shocks globales validados. Ideal: liquidez USD por plazo, originaciones, tasas, madurez, sector y proxy de cobertura. Óptimo: contratos/solicitudes y datos de ingresos en moneda/exportación, corresponsalías, vencimientos y garantías. Metadatos: moneda original, residual maturity, conversión, reestructuración, definición de NPL y vínculo anonimizado empresa-banco.</w:t>
      </w:r>
    </w:p>
    <w:p>
      <w:pPr>
        <w:spacing w:before="140" w:after="40"/>
      </w:pPr>
      <w:r>
        <w:rPr>
          <w:b/>
          <w:color w:val="000000"/>
          <w:sz w:val="21"/>
        </w:rPr>
        <w:t>5. Amenazas y requisitos de credibilidad</w:t>
      </w:r>
    </w:p>
    <w:p>
      <w:pPr>
        <w:spacing w:after="100" w:line="259" w:lineRule="auto"/>
      </w:pPr>
      <w:r>
        <w:t>DXY no es shock exógeno; la deuda USD refleja selección y cobertura medida con error. Exigir USD/PYG por separado, pre-tendencias, exposición congelada antes del shock, comparación del mismo prestatario y sensibilidad a proxies de hedge. Un hallazgo de que sólo importa el sector exportador refina, no invalida, el mecanismo.</w:t>
      </w:r>
    </w:p>
    <w:p>
      <w:pPr>
        <w:spacing w:before="140" w:after="40"/>
      </w:pPr>
      <w:r>
        <w:rPr>
          <w:b/>
          <w:color w:val="000000"/>
          <w:sz w:val="21"/>
        </w:rPr>
        <w:t>6. Ruta de crecimiento</w:t>
      </w:r>
    </w:p>
    <w:p>
      <w:pPr>
        <w:spacing w:after="100" w:line="259" w:lineRule="auto"/>
      </w:pPr>
      <w:r>
        <w:t>Prioridad de construcción: panel banco-moneda-plazo y concordancia crédito-registro-comercio. Alimenta N2, N6, N7, C5 y análisis macroprudencial.</w:t>
      </w:r>
    </w:p>
    <w:p>
      <w:pPr>
        <w:pStyle w:val="Heading2"/>
        <w:keepNext/>
        <w:spacing w:before="280"/>
      </w:pPr>
      <w:r>
        <w:rPr>
          <w:color w:val="000000"/>
        </w:rPr>
        <w:t>C2  Depósitos, crédito y sustitución entre intermediarios</w:t>
      </w:r>
    </w:p>
    <w:p>
      <w:pPr>
        <w:spacing w:after="100" w:line="259" w:lineRule="auto"/>
      </w:pPr>
      <w:r>
        <w:rPr>
          <w:b/>
        </w:rPr>
        <w:t>Clasificación de factibilidad:</w:t>
      </w:r>
      <w:r>
        <w:t xml:space="preserve"> Listo para ser diseñado empíricamente en una versión bancaria; la sustitución entre bancos y cooperativas requiere identificadores comunes.</w:t>
      </w:r>
    </w:p>
    <w:p>
      <w:pPr>
        <w:spacing w:before="140" w:after="40"/>
      </w:pPr>
      <w:r>
        <w:rPr>
          <w:b/>
          <w:color w:val="000000"/>
          <w:sz w:val="21"/>
        </w:rPr>
        <w:t>1. Motivación y contribución potencial</w:t>
      </w:r>
    </w:p>
    <w:p>
      <w:pPr>
        <w:spacing w:after="100" w:line="259" w:lineRule="auto"/>
      </w:pPr>
      <w:r>
        <w:t>Problema: en un sistema dual, política monetaria puede redistribuir depósitos entre moneda, bancos, valores y cooperativas. Mirar solo crédito bancario puede sobredimensionar o subestimar la transmisión.</w:t>
      </w:r>
    </w:p>
    <w:p>
      <w:pPr>
        <w:spacing w:before="140" w:after="40"/>
      </w:pPr>
      <w:r>
        <w:rPr>
          <w:b/>
          <w:color w:val="000000"/>
          <w:sz w:val="21"/>
        </w:rPr>
        <w:t>2. Objetivo, pregunta y estimando</w:t>
      </w:r>
    </w:p>
    <w:p>
      <w:pPr>
        <w:spacing w:after="100" w:line="259" w:lineRule="auto"/>
      </w:pPr>
      <w:r>
        <w:t>Pregunta: ¿cómo cambia el fondeo -precio, cantidad y moneda- ante política, y qué sucede con el crédito? Estimandos: beta de depósitos y respuesta de flujos; sustitución de crédito entre tipos de prestamista. Mecanismo: poder de mercado y fricción de cambio. Evidencia: descriptiva/forma reducida; causal de oferta sólo con exposición predeterminada y comparación común de demanda.</w:t>
      </w:r>
    </w:p>
    <w:p>
      <w:pPr>
        <w:spacing w:before="140" w:after="40"/>
      </w:pPr>
      <w:r>
        <w:rPr>
          <w:b/>
          <w:color w:val="000000"/>
          <w:sz w:val="21"/>
        </w:rPr>
        <w:t>3. Ejercicios empíricos posibles</w:t>
      </w:r>
    </w:p>
    <w:p>
      <w:pPr>
        <w:spacing w:after="100" w:line="259" w:lineRule="auto"/>
      </w:pPr>
      <w:r>
        <w:t>Inicial: betas banco-producto-moneda y mapa de flujos. Intermedio: LP con concentración/geografía y exposición de franquicia. Frontera: cuenta-cliente y registro unificado banco-cooperativa, con borrower-time FE. Unidad banco-producto-mes; cliente/banco-mes en frontera.</w:t>
      </w:r>
    </w:p>
    <w:p>
      <w:pPr>
        <w:spacing w:before="140" w:after="40"/>
      </w:pPr>
      <w:r>
        <w:rPr>
          <w:b/>
          <w:color w:val="000000"/>
          <w:sz w:val="21"/>
        </w:rPr>
        <w:t>4. Escalera de datos</w:t>
      </w:r>
    </w:p>
    <w:p>
      <w:pPr>
        <w:spacing w:after="100" w:line="259" w:lineRule="auto"/>
      </w:pPr>
      <w:r>
        <w:t>Mínimamente necesario: depósitos y tasas bancarias por moneda/madurez; crédito y balance por tipo de entidad. Suficiente: banco-producto-moneda, concentración y balance; panel homogéneo de cooperativas. Ideal: branch-product, uso digital, fondeo mayorista y características de riesgo comparables. Óptimo: cuentas/transferencias y préstamos por prestatario inter-lender. Metadatos: definición armonizada de depósito/crédito, moneda, tasa efectiva, madurez, entidad y cambios regulatorios.</w:t>
      </w:r>
    </w:p>
    <w:p>
      <w:pPr>
        <w:spacing w:before="140" w:after="40"/>
      </w:pPr>
      <w:r>
        <w:rPr>
          <w:b/>
          <w:color w:val="000000"/>
          <w:sz w:val="21"/>
        </w:rPr>
        <w:t>5. Amenazas y requisitos de credibilidad</w:t>
      </w:r>
    </w:p>
    <w:p>
      <w:pPr>
        <w:spacing w:after="100" w:line="259" w:lineRule="auto"/>
      </w:pPr>
      <w:r>
        <w:t>La tasa de política reacciona a macro; flujos observados pueden ser reasignación, no destrucción. Exigir suma de flujos, asimetría tightening/easing, pre-tendencias y comparabilidad contable entre reguladores. Un resultado de sustitución sin aumento de deuda total es informativo.</w:t>
      </w:r>
    </w:p>
    <w:p>
      <w:pPr>
        <w:spacing w:before="140" w:after="40"/>
      </w:pPr>
      <w:r>
        <w:rPr>
          <w:b/>
          <w:color w:val="000000"/>
          <w:sz w:val="21"/>
        </w:rPr>
        <w:t>6. Ruta de crecimiento</w:t>
      </w:r>
    </w:p>
    <w:p>
      <w:pPr>
        <w:spacing w:after="100" w:line="259" w:lineRule="auto"/>
      </w:pPr>
      <w:r>
        <w:t>Construir panel financiero armonizado y diccionario BCP-INCOOP. Promover a causalidad micro sólo al validar identificadores y estabilidad del marco institucional.</w:t>
      </w:r>
    </w:p>
    <w:p>
      <w:pPr>
        <w:pStyle w:val="Heading2"/>
        <w:keepNext/>
        <w:spacing w:before="280"/>
      </w:pPr>
      <w:r>
        <w:rPr>
          <w:color w:val="000000"/>
        </w:rPr>
        <w:t>C3  Bonos corporativos, crédito bancario y deuda pública</w:t>
      </w:r>
    </w:p>
    <w:p>
      <w:pPr>
        <w:spacing w:after="100" w:line="259" w:lineRule="auto"/>
      </w:pPr>
      <w:r>
        <w:rPr>
          <w:b/>
        </w:rPr>
        <w:t>Clasificación de factibilidad:</w:t>
      </w:r>
      <w:r>
        <w:t xml:space="preserve"> Requiere datos que probablemente deban construirse y colaboración institucional; dividir en dos módulos antes de afirmar crowding out.</w:t>
      </w:r>
    </w:p>
    <w:p>
      <w:pPr>
        <w:spacing w:before="140" w:after="40"/>
      </w:pPr>
      <w:r>
        <w:rPr>
          <w:b/>
          <w:color w:val="000000"/>
          <w:sz w:val="21"/>
        </w:rPr>
        <w:t>1. Motivación y contribución potencial</w:t>
      </w:r>
    </w:p>
    <w:p>
      <w:pPr>
        <w:spacing w:after="100" w:line="259" w:lineRule="auto"/>
      </w:pPr>
      <w:r>
        <w:t>Problema: spreads de bonos y préstamos no son comparables sin ajustar riesgo, plazo, moneda y liquidez; las subastas públicas pueden afectar yields por capacidad de intermediarios. Son preguntas de mercados distintas, aunque comparten curvas y holdings.</w:t>
      </w:r>
    </w:p>
    <w:p>
      <w:pPr>
        <w:spacing w:before="140" w:after="40"/>
      </w:pPr>
      <w:r>
        <w:rPr>
          <w:b/>
          <w:color w:val="000000"/>
          <w:sz w:val="21"/>
        </w:rPr>
        <w:t>2. Objetivo, pregunta y estimando</w:t>
      </w:r>
    </w:p>
    <w:p>
      <w:pPr>
        <w:spacing w:after="100" w:line="259" w:lineRule="auto"/>
      </w:pPr>
      <w:r>
        <w:t>Pregunta: ¿cuál es el spread ajustado de financiamiento bono-banco y cómo responde a condiciones monetarias? ¿cuál es la elasticidad de yields a oferta inesperada del Tesoro? Estimandos: spread hedónico/matched y pendiente de demanda por instrumento. Mecanismo: selección de emisores, liquidez y capacidad. Evidencia: descriptiva/forma reducida; causal con sorpresas de oferta/financiación.</w:t>
      </w:r>
    </w:p>
    <w:p>
      <w:pPr>
        <w:spacing w:before="140" w:after="40"/>
      </w:pPr>
      <w:r>
        <w:rPr>
          <w:b/>
          <w:color w:val="000000"/>
          <w:sz w:val="21"/>
        </w:rPr>
        <w:t>3. Ejercicios empíricos posibles</w:t>
      </w:r>
    </w:p>
    <w:p>
      <w:pPr>
        <w:spacing w:after="100" w:line="259" w:lineRule="auto"/>
      </w:pPr>
      <w:r>
        <w:t>Inicial: curvas comparables, matching por rating-moneda-duración y tablero de subastas. Intermedio: panel instrumento-emisor y evento anuncio-subasta-liquidación. Frontera: bids, asignaciones, tenencias, transacciones secundarias y préstamos a mismos emisores. Unidad security-día/mes y subasta.</w:t>
      </w:r>
    </w:p>
    <w:p>
      <w:pPr>
        <w:spacing w:before="140" w:after="40"/>
      </w:pPr>
      <w:r>
        <w:rPr>
          <w:b/>
          <w:color w:val="000000"/>
          <w:sz w:val="21"/>
        </w:rPr>
        <w:t>4. Escalera de datos</w:t>
      </w:r>
    </w:p>
    <w:p>
      <w:pPr>
        <w:spacing w:after="100" w:line="259" w:lineRule="auto"/>
      </w:pPr>
      <w:r>
        <w:t>Mínimamente necesario: yields/curvas por rating-moneda-madurez, tasas bancarias por bucket y resultados de subasta. Suficiente: emisiones con emisor, maturity, currency; ofertas, adjudicaciones y rendimientos. Ideal: transacciones secundarias, estados del emisor, holdings bancarios y curvas soberanas/CDA. Óptimo: curvas de bids, identidades/asignaciones, inventarios dealer, repo y contratos de crédito. Metadatos: yield convention, fees, duration, opción/covenant, calendario anunciado y fecha de settlement.</w:t>
      </w:r>
    </w:p>
    <w:p>
      <w:pPr>
        <w:spacing w:before="140" w:after="40"/>
      </w:pPr>
      <w:r>
        <w:rPr>
          <w:b/>
          <w:color w:val="000000"/>
          <w:sz w:val="21"/>
        </w:rPr>
        <w:t>5. Amenazas y requisitos de credibilidad</w:t>
      </w:r>
    </w:p>
    <w:p>
      <w:pPr>
        <w:spacing w:after="100" w:line="259" w:lineRule="auto"/>
      </w:pPr>
      <w:r>
        <w:t>Selección de emisores y emisión endógena; anuncios fiscales correlacionan con noticias macro. Exigir matched samples, issuer FE, sorpresas respecto a calendario/expectativas y separar anuncio de liquidación. Ausencia de crowding-out con capacidad amplia también es evidencia útil.</w:t>
      </w:r>
    </w:p>
    <w:p>
      <w:pPr>
        <w:spacing w:before="140" w:after="40"/>
      </w:pPr>
      <w:r>
        <w:rPr>
          <w:b/>
          <w:color w:val="000000"/>
          <w:sz w:val="21"/>
        </w:rPr>
        <w:t>6. Ruta de crecimiento</w:t>
      </w:r>
    </w:p>
    <w:p>
      <w:pPr>
        <w:spacing w:after="100" w:line="259" w:lineRule="auto"/>
      </w:pPr>
      <w:r>
        <w:t>Primero homologar curvas y security master. Mantener el módulo bonos-banca y el módulo deuda pública separados hasta que los datos de holdings permitan un vínculo defendible.</w:t>
      </w:r>
    </w:p>
    <w:p>
      <w:pPr>
        <w:pStyle w:val="Heading2"/>
        <w:keepNext/>
        <w:spacing w:before="280"/>
      </w:pPr>
      <w:r>
        <w:rPr>
          <w:color w:val="000000"/>
        </w:rPr>
        <w:t>C4  Riesgo bancario, repricing contractual y toma de riesgo</w:t>
      </w:r>
    </w:p>
    <w:p>
      <w:pPr>
        <w:spacing w:after="100" w:line="259" w:lineRule="auto"/>
      </w:pPr>
      <w:r>
        <w:rPr>
          <w:b/>
        </w:rPr>
        <w:t>Clasificación de factibilidad:</w:t>
      </w:r>
      <w:r>
        <w:t xml:space="preserve"> Depende de microdatos; el subproyecto de repricing puede ser diseñado si existen reset dates contractuales.</w:t>
      </w:r>
    </w:p>
    <w:p>
      <w:pPr>
        <w:spacing w:before="140" w:after="40"/>
      </w:pPr>
      <w:r>
        <w:rPr>
          <w:b/>
          <w:color w:val="000000"/>
          <w:sz w:val="21"/>
        </w:rPr>
        <w:t>1. Motivación y contribución potencial</w:t>
      </w:r>
    </w:p>
    <w:p>
      <w:pPr>
        <w:spacing w:after="100" w:line="259" w:lineRule="auto"/>
      </w:pPr>
      <w:r>
        <w:t>Problema: tasa promedio no mide la incidencia de un endurecimiento. Riesgo al originar y cash-flow de deuda existente son mecanismos distintos y deben mantener estimandos separados.</w:t>
      </w:r>
    </w:p>
    <w:p>
      <w:pPr>
        <w:spacing w:before="140" w:after="40"/>
      </w:pPr>
      <w:r>
        <w:rPr>
          <w:b/>
          <w:color w:val="000000"/>
          <w:sz w:val="21"/>
        </w:rPr>
        <w:t>2. Objetivo, pregunta y estimando</w:t>
      </w:r>
    </w:p>
    <w:p>
      <w:pPr>
        <w:spacing w:after="100" w:line="259" w:lineRule="auto"/>
      </w:pPr>
      <w:r>
        <w:t>Pregunta: ¿política más laxa cambia riesgo ex ante de nuevas aprobaciones? ¿un shock de tasa afecta mora vía calendarios predeterminados de repricing? Estimandos: cambio en aprobación/términos/riesgo; efecto de exposure-to-reset × shock sobre deuda-servicio y default. Mecanismos: risk-taking y cash-flow. Evidencia: causal posible si hay solicitudes/contratos y variación de tasa identificada.</w:t>
      </w:r>
    </w:p>
    <w:p>
      <w:pPr>
        <w:spacing w:before="140" w:after="40"/>
      </w:pPr>
      <w:r>
        <w:rPr>
          <w:b/>
          <w:color w:val="000000"/>
          <w:sz w:val="21"/>
        </w:rPr>
        <w:t>3. Ejercicios empíricos posibles</w:t>
      </w:r>
    </w:p>
    <w:p>
      <w:pPr>
        <w:spacing w:after="100" w:line="259" w:lineRule="auto"/>
      </w:pPr>
      <w:r>
        <w:t>Inicial: cohortes de cartera por tasa fija/variable, moneda y madurez; stress test descriptivo. Intermedio: eventos con grupos de reset cercano/lejos y hazards de mora. Frontera: aplicaciones aprobadas/rechazadas, varios bancos por cliente y resultados reales de firmas/hogares. Unidad préstamo-prestatario-mes; horizonte 1-36 meses.</w:t>
      </w:r>
    </w:p>
    <w:p>
      <w:pPr>
        <w:spacing w:before="140" w:after="40"/>
      </w:pPr>
      <w:r>
        <w:rPr>
          <w:b/>
          <w:color w:val="000000"/>
          <w:sz w:val="21"/>
        </w:rPr>
        <w:t>4. Escalera de datos</w:t>
      </w:r>
    </w:p>
    <w:p>
      <w:pPr>
        <w:spacing w:after="100" w:line="259" w:lineRule="auto"/>
      </w:pPr>
      <w:r>
        <w:t>Mínimamente necesario: stocks por tipo de tasa/madurez/moneda y NPL. Suficiente: cohortes con pago posterior. Ideal: contrato, reset, cuota, amortización, borrower ID, restructuring y performance. Óptimo: aplicaciones, income/liquidity, todos los prestamistas y ventas/empleo. Metadatos: fórmula de tasa, fecha de reset, grace period, refinanciación, moneda y cambios de clasificación.</w:t>
      </w:r>
    </w:p>
    <w:p>
      <w:pPr>
        <w:spacing w:before="140" w:after="40"/>
      </w:pPr>
      <w:r>
        <w:rPr>
          <w:b/>
          <w:color w:val="000000"/>
          <w:sz w:val="21"/>
        </w:rPr>
        <w:t>5. Amenazas y requisitos de credibilidad</w:t>
      </w:r>
    </w:p>
    <w:p>
      <w:pPr>
        <w:spacing w:after="100" w:line="259" w:lineRule="auto"/>
      </w:pPr>
      <w:r>
        <w:t>Selección hacia tasa fija/variable y política endógena. Exigir balance dentro de cohorte de originación-riesgo, pre-trends, adding-up de deuda y definición de default no contaminada por forbearance. Nulos por contratos fijos identifican la heterogeneidad esperada.</w:t>
      </w:r>
    </w:p>
    <w:p>
      <w:pPr>
        <w:spacing w:before="140" w:after="40"/>
      </w:pPr>
      <w:r>
        <w:rPr>
          <w:b/>
          <w:color w:val="000000"/>
          <w:sz w:val="21"/>
        </w:rPr>
        <w:t>6. Ruta de crecimiento</w:t>
      </w:r>
    </w:p>
    <w:p>
      <w:pPr>
        <w:spacing w:after="100" w:line="259" w:lineRule="auto"/>
      </w:pPr>
      <w:r>
        <w:t>Auditar campos contractuales antes de escoger artículo. Los datos son activos comunes con C1, C2, C5 y análisis de estabilidad.</w:t>
      </w:r>
    </w:p>
    <w:p>
      <w:pPr>
        <w:pStyle w:val="Heading2"/>
        <w:keepNext/>
        <w:spacing w:before="280"/>
      </w:pPr>
      <w:r>
        <w:rPr>
          <w:color w:val="000000"/>
        </w:rPr>
        <w:t xml:space="preserve">C5  Cambios regulatorios con exposición bancaria heterogénea (nueva)</w:t>
      </w:r>
    </w:p>
    <w:p>
      <w:pPr>
        <w:spacing w:after="100" w:line="259" w:lineRule="auto"/>
      </w:pPr>
      <w:r>
        <w:rPr>
          <w:b/>
        </w:rPr>
        <w:t xml:space="preserve">Clasificación de factibilidad:</w:t>
      </w:r>
      <w:r>
        <w:t xml:space="preserve"> Listo para ser diseñado en el módulo de encaje; el módulo de tope a tarjetas requiere datos bancarios previos a 2016.</w:t>
      </w:r>
    </w:p>
    <w:p>
      <w:pPr>
        <w:spacing w:before="140" w:after="40"/>
      </w:pPr>
      <w:r>
        <w:rPr>
          <w:b/>
          <w:color w:val="000000"/>
          <w:sz w:val="21"/>
        </w:rPr>
        <w:t>1. Motivación y contribución potencial</w:t>
      </w:r>
    </w:p>
    <w:p>
      <w:pPr>
        <w:spacing w:after="100" w:line="259" w:lineRule="auto"/>
      </w:pPr>
      <w:r>
        <w:t xml:space="preserve">Problema: el crédito agregado no identifica oferta. Los cambios regulatorios fechados (encaje legal, tope a tasas de tarjetas) afectan de forma distinta a bancos con distinta exposición previa, lo que ofrece un diseño de diferencias en diferencias con tratamiento continuo.</w:t>
      </w:r>
    </w:p>
    <w:p>
      <w:pPr>
        <w:spacing w:before="140" w:after="40"/>
      </w:pPr>
      <w:r>
        <w:rPr>
          <w:b/>
          <w:color w:val="000000"/>
          <w:sz w:val="21"/>
        </w:rPr>
        <w:t>2. Objetivo, pregunta y estimando</w:t>
      </w:r>
    </w:p>
    <w:p>
      <w:pPr>
        <w:spacing w:after="100" w:line="259" w:lineRule="auto"/>
      </w:pPr>
      <w:r>
        <w:t xml:space="preserve">Pregunta: ¿cuánto crédito adicional otorga un banco más liberado por una reducción del encaje? ¿qué efecto tuvo el tope sobre precio, cantidad y acceso a tarjetas? Estimandos: elasticidad del crédito a la liquidez liberada; efecto del tope sobre tasas y saldos. Mecanismo: restricción de liquidez y racionamiento por precio. Evidencia: causal en el módulo de encaje.</w:t>
      </w:r>
    </w:p>
    <w:p>
      <w:pPr>
        <w:spacing w:before="140" w:after="40"/>
      </w:pPr>
      <w:r>
        <w:rPr>
          <w:b/>
          <w:color w:val="000000"/>
          <w:sz w:val="21"/>
        </w:rPr>
        <w:t>3. Ejercicios empíricos posibles</w:t>
      </w:r>
    </w:p>
    <w:p>
      <w:pPr>
        <w:spacing w:after="100" w:line="259" w:lineRule="auto"/>
      </w:pPr>
      <w:r>
        <w:t xml:space="preserve">Inicial: calendario de cambios de encaje por moneda y plazo; exposición = Δ tasa × base encajable previa. Intermedio: Khwaja-Mian con efectos fijos sector × moneda × mes. Módulo tarjetas: serie interrumpida en el quiebre de octubre de 2015; DiD por banco si hay boletines previos. Horizonte 0 a 12 meses.</w:t>
      </w:r>
    </w:p>
    <w:p>
      <w:pPr>
        <w:spacing w:before="140" w:after="40"/>
      </w:pPr>
      <w:r>
        <w:rPr>
          <w:b/>
          <w:color w:val="000000"/>
          <w:sz w:val="21"/>
        </w:rPr>
        <w:t>4. Escalera de datos</w:t>
      </w:r>
    </w:p>
    <w:p>
      <w:pPr>
        <w:spacing w:after="100" w:line="259" w:lineRule="auto"/>
      </w:pPr>
      <w:r>
        <w:t xml:space="preserve">Mínimamente necesario: fechas y valores de cada cambio, encaje y depósitos por banco y moneda. Suficiente: crédito por banco-sector-moneda. Ideal: base encajable por plazo residual y tasas por banco. Óptimo: registro de crédito. Metadatos: fecha de anuncio vs. vigencia, remuneración del encaje, excepciones.</w:t>
      </w:r>
    </w:p>
    <w:p>
      <w:pPr>
        <w:spacing w:before="140" w:after="40"/>
      </w:pPr>
      <w:r>
        <w:rPr>
          <w:b/>
          <w:color w:val="000000"/>
          <w:sz w:val="21"/>
        </w:rPr>
        <w:t>5. Amenazas y requisitos de credibilidad</w:t>
      </w:r>
    </w:p>
    <w:p>
      <w:pPr>
        <w:spacing w:after="100" w:line="259" w:lineRule="auto"/>
      </w:pPr>
      <w:r>
        <w:t xml:space="preserve">Cambios de encaje coincidentes con política monetaria (2020); pocos bancos. Exigir exposición predeterminada, placebos en fechas sin cambio, efectos fijos de demanda. En tarjetas, sin período previo por banco solo se sostiene una serie interrumpida del sistema.</w:t>
      </w:r>
    </w:p>
    <w:p>
      <w:pPr>
        <w:spacing w:before="140" w:after="40"/>
      </w:pPr>
      <w:r>
        <w:rPr>
          <w:b/>
          <w:color w:val="000000"/>
          <w:sz w:val="21"/>
        </w:rPr>
        <w:t>6. Ruta de crecimiento</w:t>
      </w:r>
    </w:p>
    <w:p>
      <w:pPr>
        <w:spacing w:after="100" w:line="259" w:lineRule="auto"/>
      </w:pPr>
      <w:r>
        <w:t xml:space="preserve">Cargar el calendario regulatorio (activo común con A1 y C2) y los boletines SIB 2011–2015.</w:t>
      </w:r>
    </w:p>
    <w:p>
      <w:pPr>
        <w:spacing w:after="100" w:line="259" w:lineRule="auto"/>
      </w:pPr>
      <w:r>
        <w:rPr>
          <w:b/>
        </w:rPr>
        <w:t xml:space="preserve">Datos y viabilidad (septiembre 2026):</w:t>
      </w:r>
      <w:r>
        <w:t xml:space="preserve"> Media-alta (encaje) / media-baja (tarjetas). El tope se observa en octubre de 2015 (tasa promedio de tarjetas 48% → 17%), pero los paneles por banco empiezan en 2016. Carpeta de trabajo: proyectos/27_n6_regulacion_bancaria_did.</w:t>
      </w:r>
    </w:p>
    <w:p>
      <w:pPr>
        <w:pStyle w:val="Heading2"/>
        <w:keepNext/>
        <w:spacing w:before="280"/>
      </w:pPr>
      <w:r>
        <w:rPr>
          <w:color w:val="000000"/>
        </w:rPr>
        <w:t xml:space="preserve">C6  Medidas de alivio COVID, reprogramaciones y mora posterior (nueva)</w:t>
      </w:r>
    </w:p>
    <w:p>
      <w:pPr>
        <w:spacing w:after="100" w:line="259" w:lineRule="auto"/>
      </w:pPr>
      <w:r>
        <w:rPr>
          <w:b/>
        </w:rPr>
        <w:t xml:space="preserve">Clasificación de factibilidad:</w:t>
      </w:r>
      <w:r>
        <w:t xml:space="preserve"> Requiere acotar el estimando por selección; viable como event study por banco con exposición sectorial previa.</w:t>
      </w:r>
    </w:p>
    <w:p>
      <w:pPr>
        <w:spacing w:before="140" w:after="40"/>
      </w:pPr>
      <w:r>
        <w:rPr>
          <w:b/>
          <w:color w:val="000000"/>
          <w:sz w:val="21"/>
        </w:rPr>
        <w:t>1. Motivación y contribución potencial</w:t>
      </w:r>
    </w:p>
    <w:p>
      <w:pPr>
        <w:spacing w:after="100" w:line="259" w:lineRule="auto"/>
      </w:pPr>
      <w:r>
        <w:t xml:space="preserve">Problema: las reprogramaciones masivas de 2020 pudieron evitar quiebras o sólo postergar la mora y reducir el crédito nuevo. La base publica la cartera acogida a la medida excepcional por banco, lo que permite medirlo.</w:t>
      </w:r>
    </w:p>
    <w:p>
      <w:pPr>
        <w:spacing w:before="140" w:after="40"/>
      </w:pPr>
      <w:r>
        <w:rPr>
          <w:b/>
          <w:color w:val="000000"/>
          <w:sz w:val="21"/>
        </w:rPr>
        <w:t>2. Objetivo, pregunta y estimando</w:t>
      </w:r>
    </w:p>
    <w:p>
      <w:pPr>
        <w:spacing w:after="100" w:line="259" w:lineRule="auto"/>
      </w:pPr>
      <w:r>
        <w:t xml:space="preserve">Pregunta: ¿los bancos que más reprogramaron tuvieron luego más mora, más reestructuraciones y menos crédito nuevo? Estimando: efecto de la intensidad de reprogramación (dic-2020) sobre resultados 2021–2024. Mecanismo: puente de liquidez vs. evergreening. Evidencia: forma reducida con selección.</w:t>
      </w:r>
    </w:p>
    <w:p>
      <w:pPr>
        <w:spacing w:before="140" w:after="40"/>
      </w:pPr>
      <w:r>
        <w:rPr>
          <w:b/>
          <w:color w:val="000000"/>
          <w:sz w:val="21"/>
        </w:rPr>
        <w:t>3. Ejercicios empíricos posibles</w:t>
      </w:r>
    </w:p>
    <w:p>
      <w:pPr>
        <w:spacing w:after="100" w:line="259" w:lineRule="auto"/>
      </w:pPr>
      <w:r>
        <w:t xml:space="preserve">Inicial: trayectorias de la cartera COVID vigente y vencida por banco. Intermedio: event study con intensidad instrumentada por la exposición sectorial de 2019. Frontera: préstamo-prestatario con marca de reprogramación. Horizonte 0 a 48 meses.</w:t>
      </w:r>
    </w:p>
    <w:p>
      <w:pPr>
        <w:spacing w:before="140" w:after="40"/>
      </w:pPr>
      <w:r>
        <w:rPr>
          <w:b/>
          <w:color w:val="000000"/>
          <w:sz w:val="21"/>
        </w:rPr>
        <w:t>4. Escalera de datos</w:t>
      </w:r>
    </w:p>
    <w:p>
      <w:pPr>
        <w:spacing w:after="100" w:line="259" w:lineRule="auto"/>
      </w:pPr>
      <w:r>
        <w:t xml:space="preserve">Mínimamente necesario: cartera COVID por banco, mora y crédito por sector. Suficiente: resoluciones de alivio fechadas, categorías de riesgo, previsiones. Ideal: registro de crédito con reprogramaciones. Óptimo: resultados de las empresas. Metadatos: plazos de las medidas, medidas posteriores por sequía.</w:t>
      </w:r>
    </w:p>
    <w:p>
      <w:pPr>
        <w:spacing w:before="140" w:after="40"/>
      </w:pPr>
      <w:r>
        <w:rPr>
          <w:b/>
          <w:color w:val="000000"/>
          <w:sz w:val="21"/>
        </w:rPr>
        <w:t>5. Amenazas y requisitos de credibilidad</w:t>
      </w:r>
    </w:p>
    <w:p>
      <w:pPr>
        <w:spacing w:after="100" w:line="259" w:lineRule="auto"/>
      </w:pPr>
      <w:r>
        <w:t xml:space="preserve">Bancos con clientes más frágiles reprogramaron más. Exigir pre-tendencias 2016–2019, instrumento sectorial, placebos entre bancos y financieras. Un efecto nulo sobre la mora sugiere que la medida funcionó como puente.</w:t>
      </w:r>
    </w:p>
    <w:p>
      <w:pPr>
        <w:spacing w:before="140" w:after="40"/>
      </w:pPr>
      <w:r>
        <w:rPr>
          <w:b/>
          <w:color w:val="000000"/>
          <w:sz w:val="21"/>
        </w:rPr>
        <w:t>6. Ruta de crecimiento</w:t>
      </w:r>
    </w:p>
    <w:p>
      <w:pPr>
        <w:spacing w:after="100" w:line="259" w:lineRule="auto"/>
      </w:pPr>
      <w:r>
        <w:t xml:space="preserve">Complementa D5 y C1; se fortalece con el registro de crédito.</w:t>
      </w:r>
    </w:p>
    <w:p>
      <w:pPr>
        <w:spacing w:after="100" w:line="259" w:lineRule="auto"/>
      </w:pPr>
      <w:r>
        <w:rPr>
          <w:b/>
        </w:rPr>
        <w:t xml:space="preserve">Datos y viabilidad (septiembre 2026):</w:t>
      </w:r>
      <w:r>
        <w:t xml:space="preserve"> Media. Cartera COVID ≈ 20 billones de Gs. en dic-2020 (≈ 11% del crédito) en 23 entidades; período previo desde 2016. Carpeta de trabajo: proyectos/28_n7_alivio_covid.</w:t>
      </w:r>
    </w:p>
    <w:p>
      <w:pPr>
        <w:pStyle w:val="Heading2"/>
        <w:keepNext/>
        <w:spacing w:before="280"/>
      </w:pPr>
      <w:r>
        <w:rPr>
          <w:color w:val="000000"/>
        </w:rPr>
        <w:t>D1  ENSO no lineal y respuestas macroeconómicas</w:t>
      </w:r>
    </w:p>
    <w:p>
      <w:pPr>
        <w:spacing w:after="100" w:line="259" w:lineRule="auto"/>
      </w:pPr>
      <w:r>
        <w:rPr>
          <w:b/>
        </w:rPr>
        <w:t>Clasificación de factibilidad:</w:t>
      </w:r>
      <w:r>
        <w:t xml:space="preserve"> Listo para ser diseñado empíricamente; requiere disciplina por tamaño efectivo de muestra.</w:t>
      </w:r>
    </w:p>
    <w:p>
      <w:pPr>
        <w:spacing w:before="140" w:after="40"/>
      </w:pPr>
      <w:r>
        <w:rPr>
          <w:b/>
          <w:color w:val="000000"/>
          <w:sz w:val="21"/>
        </w:rPr>
        <w:t>1. Motivación y contribución potencial</w:t>
      </w:r>
    </w:p>
    <w:p>
      <w:pPr>
        <w:spacing w:after="100" w:line="259" w:lineRule="auto"/>
      </w:pPr>
      <w:r>
        <w:t>Problema: El Niño y La Niña pueden tener signo, intensidad y timing distintos. El aporte es una respuesta de estado no lineal, no un supuesto shock mensual inesperado.</w:t>
      </w:r>
    </w:p>
    <w:p>
      <w:pPr>
        <w:spacing w:before="140" w:after="40"/>
      </w:pPr>
      <w:r>
        <w:rPr>
          <w:b/>
          <w:color w:val="000000"/>
          <w:sz w:val="21"/>
        </w:rPr>
        <w:t>2. Objetivo, pregunta y estimando</w:t>
      </w:r>
    </w:p>
    <w:p>
      <w:pPr>
        <w:spacing w:after="100" w:line="259" w:lineRule="auto"/>
      </w:pPr>
      <w:r>
        <w:t>Pregunta: ¿cómo se asocian actividad, sectores e inflación con intensidad y fase ENSO? Estimando: perfil dinámico condicional a intensidad por fase. Mecanismo: clima, agricultura, río, precios y expectativas, separados del estimando. Evidencia: forma reducida; no causalidad específica de canal.</w:t>
      </w:r>
    </w:p>
    <w:p>
      <w:pPr>
        <w:spacing w:before="140" w:after="40"/>
      </w:pPr>
      <w:r>
        <w:rPr>
          <w:b/>
          <w:color w:val="000000"/>
          <w:sz w:val="21"/>
        </w:rPr>
        <w:t>3. Ejercicios empíricos posibles</w:t>
      </w:r>
    </w:p>
    <w:p>
      <w:pPr>
        <w:spacing w:after="100" w:line="259" w:lineRule="auto"/>
      </w:pPr>
      <w:r>
        <w:t>Inicial: LP mensuales con base spline preespecificada por fase y bandas simultáneas. Intermedio: familias de outcomes sector/CPI y leave-one-event-out. Frontera: combinar con D2-D4. Unidad mensual, 0-24 meses, muestra tan larga como series homogéneas; LP permite perfiles dinámicos sin VAR rígido.</w:t>
      </w:r>
    </w:p>
    <w:p>
      <w:pPr>
        <w:spacing w:before="140" w:after="40"/>
      </w:pPr>
      <w:r>
        <w:rPr>
          <w:b/>
          <w:color w:val="000000"/>
          <w:sz w:val="21"/>
        </w:rPr>
        <w:t>4. Escalera de datos</w:t>
      </w:r>
    </w:p>
    <w:p>
      <w:pPr>
        <w:spacing w:after="100" w:line="259" w:lineRule="auto"/>
      </w:pPr>
      <w:r>
        <w:t>Mínimamente necesario: IMAEP/actividad, CPI y ONI consistentes. Suficiente: principales sectores, alimentos, controles globales parsimoniosos. Ideal: CPI detallado, varios índices ENSO, agricultura física, tipo de cambio y expectativas. Óptimo: vintages, clima diario, río y series de mecanismos. Metadatos: definición ENSO, cobertura temporal, cambios de base de cuentas/CPI y fecha de publicación.</w:t>
      </w:r>
    </w:p>
    <w:p>
      <w:pPr>
        <w:spacing w:before="140" w:after="40"/>
      </w:pPr>
      <w:r>
        <w:rPr>
          <w:b/>
          <w:color w:val="000000"/>
          <w:sz w:val="21"/>
        </w:rPr>
        <w:t>5. Amenazas y requisitos de credibilidad</w:t>
      </w:r>
    </w:p>
    <w:p>
      <w:pPr>
        <w:spacing w:after="100" w:line="259" w:lineRule="auto"/>
      </w:pPr>
      <w:r>
        <w:t>Pocos episodios independientes y p-hacking de nudos/horizontes. Exigir nudos fijados, joint tests, eventos omitidos, índices alternativos y control de multiplicidad. Un perfil inestable al quitar un evento exige reducir ambición.</w:t>
      </w:r>
    </w:p>
    <w:p>
      <w:pPr>
        <w:spacing w:before="140" w:after="40"/>
      </w:pPr>
      <w:r>
        <w:rPr>
          <w:b/>
          <w:color w:val="000000"/>
          <w:sz w:val="21"/>
        </w:rPr>
        <w:t>6. Ruta de crecimiento</w:t>
      </w:r>
    </w:p>
    <w:p>
      <w:pPr>
        <w:spacing w:after="100" w:line="259" w:lineRule="auto"/>
      </w:pPr>
      <w:r>
        <w:t>Es el núcleo climático. Preservar especificación y muestra congelada; profundizar sólo en mecanismos que sobrevivan las pruebas de robustez.</w:t>
      </w:r>
    </w:p>
    <w:p>
      <w:pPr>
        <w:pStyle w:val="Heading2"/>
        <w:keepNext/>
        <w:spacing w:before="280"/>
      </w:pPr>
      <w:r>
        <w:rPr>
          <w:color w:val="000000"/>
        </w:rPr>
        <w:t>D2  Clima por calendario agrícola y transmisión sectorial</w:t>
      </w:r>
    </w:p>
    <w:p>
      <w:pPr>
        <w:spacing w:after="100" w:line="259" w:lineRule="auto"/>
      </w:pPr>
      <w:r>
        <w:rPr>
          <w:b/>
        </w:rPr>
        <w:t>Clasificación de factibilidad:</w:t>
      </w:r>
      <w:r>
        <w:t xml:space="preserve"> Requiere datos que probablemente deban construirse; listo como módulo de mecanismo, no como IV automático.</w:t>
      </w:r>
    </w:p>
    <w:p>
      <w:pPr>
        <w:spacing w:before="140" w:after="40"/>
      </w:pPr>
      <w:r>
        <w:rPr>
          <w:b/>
          <w:color w:val="000000"/>
          <w:sz w:val="21"/>
        </w:rPr>
        <w:t>1. Motivación y contribución potencial</w:t>
      </w:r>
    </w:p>
    <w:p>
      <w:pPr>
        <w:spacing w:after="100" w:line="259" w:lineRule="auto"/>
      </w:pPr>
      <w:r>
        <w:t>Problema: totales mensuales de lluvia ocultan exposición en etapas sensibles. El valor reside en medición física económicamente informada y validación contra benchmarks simples.</w:t>
      </w:r>
    </w:p>
    <w:p>
      <w:pPr>
        <w:spacing w:before="140" w:after="40"/>
      </w:pPr>
      <w:r>
        <w:rPr>
          <w:b/>
          <w:color w:val="000000"/>
          <w:sz w:val="21"/>
        </w:rPr>
        <w:t>2. Objetivo, pregunta y estimando</w:t>
      </w:r>
    </w:p>
    <w:p>
      <w:pPr>
        <w:spacing w:after="100" w:line="259" w:lineRule="auto"/>
      </w:pPr>
      <w:r>
        <w:t>Pregunta: ¿métricas de clima por fase del cultivo explican mejor producción, actividad agrícola y precios que promedios de calendario? Estimando: relación clima-etapa-resultado y ganancia predictiva. Mecanismo: daño físico/tiempo logístico. Evidencia: descriptiva, predictiva y forma reducida; causal estrecha sólo para outcomes con primer estadio fuerte.</w:t>
      </w:r>
    </w:p>
    <w:p>
      <w:pPr>
        <w:spacing w:before="140" w:after="40"/>
      </w:pPr>
      <w:r>
        <w:rPr>
          <w:b/>
          <w:color w:val="000000"/>
          <w:sz w:val="21"/>
        </w:rPr>
        <w:t>3. Ejercicios empíricos posibles</w:t>
      </w:r>
    </w:p>
    <w:p>
      <w:pPr>
        <w:spacing w:after="100" w:line="259" w:lineRule="auto"/>
      </w:pPr>
      <w:r>
        <w:t>Inicial: indicadores nacionales de clima y ventanas fijadas por cultivo. Intermedio: panel cultivo-año y LP mensuales para precios/actividad. Frontera: grillas, áreas cultivadas, datos subnacionales y origen de productos CPI. Unidad cultivo-año y mes; comparar con promedios estacionales.</w:t>
      </w:r>
    </w:p>
    <w:p>
      <w:pPr>
        <w:spacing w:before="140" w:after="40"/>
      </w:pPr>
      <w:r>
        <w:rPr>
          <w:b/>
          <w:color w:val="000000"/>
          <w:sz w:val="21"/>
        </w:rPr>
        <w:t>4. Escalera de datos</w:t>
      </w:r>
    </w:p>
    <w:p>
      <w:pPr>
        <w:spacing w:after="100" w:line="259" w:lineRule="auto"/>
      </w:pPr>
      <w:r>
        <w:t>Mínimamente necesario: clima mensual, producción anual de cultivos mayores y food CPI. Suficiente: clima diario nacional, calendarios fijos, producción, actividad agrícola y CPI alimentos. Ideal: CHIRPS/ERA5-Land, pesos de área, rendimiento/área, ganado, construcción y río. Óptimo: estación/grilla, origen de producto, pronósticos agrícolas en tiempo real. Metadatos: versión de grilla, estaciones, calendario, pesos fijos y cambios de medición agrícola.</w:t>
      </w:r>
    </w:p>
    <w:p>
      <w:pPr>
        <w:spacing w:before="140" w:after="40"/>
      </w:pPr>
      <w:r>
        <w:rPr>
          <w:b/>
          <w:color w:val="000000"/>
          <w:sz w:val="21"/>
        </w:rPr>
        <w:t>5. Amenazas y requisitos de credibilidad</w:t>
      </w:r>
    </w:p>
    <w:p>
      <w:pPr>
        <w:spacing w:after="100" w:line="259" w:lineRule="auto"/>
      </w:pPr>
      <w:r>
        <w:t>Selección ex post de métricas, ventanas y cultivos. Exigir calendario predefinido, sensibilidad sistemática, primer estadio físico y comparación OOS. No controlar por precipitación post-tratamiento en una ecuación que busca efecto ENSO.</w:t>
      </w:r>
    </w:p>
    <w:p>
      <w:pPr>
        <w:spacing w:before="140" w:after="40"/>
      </w:pPr>
      <w:r>
        <w:rPr>
          <w:b/>
          <w:color w:val="000000"/>
          <w:sz w:val="21"/>
        </w:rPr>
        <w:t>6. Ruta de crecimiento</w:t>
      </w:r>
    </w:p>
    <w:p>
      <w:pPr>
        <w:spacing w:after="100" w:line="259" w:lineRule="auto"/>
      </w:pPr>
      <w:r>
        <w:t>Crear biblioteca de clima-calendario reutilizable para D1, D3-D5 y N5. Detener si no mejora sobre promedios sencillos.</w:t>
      </w:r>
    </w:p>
    <w:p>
      <w:pPr>
        <w:pStyle w:val="Heading2"/>
        <w:keepNext/>
        <w:spacing w:before="280"/>
      </w:pPr>
      <w:r>
        <w:rPr>
          <w:color w:val="000000"/>
        </w:rPr>
        <w:t>D3  Pronósticos ENSO, sorpresas y adaptación</w:t>
      </w:r>
    </w:p>
    <w:p>
      <w:pPr>
        <w:spacing w:after="100" w:line="259" w:lineRule="auto"/>
      </w:pPr>
      <w:r>
        <w:rPr>
          <w:b/>
        </w:rPr>
        <w:t>Clasificación de factibilidad:</w:t>
      </w:r>
      <w:r>
        <w:t xml:space="preserve"> Depende de vintages y datos prospectivos; debe esperar hasta reconstruir información disponible en cada decisión.</w:t>
      </w:r>
    </w:p>
    <w:p>
      <w:pPr>
        <w:spacing w:before="140" w:after="40"/>
      </w:pPr>
      <w:r>
        <w:rPr>
          <w:b/>
          <w:color w:val="000000"/>
          <w:sz w:val="21"/>
        </w:rPr>
        <w:t>1. Motivación y contribución potencial</w:t>
      </w:r>
    </w:p>
    <w:p>
      <w:pPr>
        <w:spacing w:after="100" w:line="259" w:lineRule="auto"/>
      </w:pPr>
      <w:r>
        <w:t>Problema: previsible no equivale a inesperado. El proyecto evita atribuir adaptación anticipada a un shock no anticipado.</w:t>
      </w:r>
    </w:p>
    <w:p>
      <w:pPr>
        <w:spacing w:before="140" w:after="40"/>
      </w:pPr>
      <w:r>
        <w:rPr>
          <w:b/>
          <w:color w:val="000000"/>
          <w:sz w:val="21"/>
        </w:rPr>
        <w:t>2. Objetivo, pregunta y estimando</w:t>
      </w:r>
    </w:p>
    <w:p>
      <w:pPr>
        <w:spacing w:after="100" w:line="259" w:lineRule="auto"/>
      </w:pPr>
      <w:r>
        <w:t>Pregunta: ¿difieren las respuestas a componente ENSO pronosticable y error de pronóstico? Estimando: coeficientes conjuntos de exposición anticipada y sorpresa alineados con fechas de decisión. Mecanismo: adaptación en siembra, inventarios, crédito y logística. Evidencia: forma reducida; causal de adaptación sólo si se observan acciones pre-evento.</w:t>
      </w:r>
    </w:p>
    <w:p>
      <w:pPr>
        <w:spacing w:before="140" w:after="40"/>
      </w:pPr>
      <w:r>
        <w:rPr>
          <w:b/>
          <w:color w:val="000000"/>
          <w:sz w:val="21"/>
        </w:rPr>
        <w:t>3. Ejercicios empíricos posibles</w:t>
      </w:r>
    </w:p>
    <w:p>
      <w:pPr>
        <w:spacing w:after="100" w:line="259" w:lineRule="auto"/>
      </w:pPr>
      <w:r>
        <w:t>Inicial: archivo de probabilidades ENSO por vintage y fecha de decisión. Intermedio: LP con anticipado/error y outcomes agregados. Frontera: siembra, insumos, inventarios, seguro, crédito y precios de alta frecuencia. Unidad mes/decisión; leads definidos por calendario, no elegidos ex post.</w:t>
      </w:r>
    </w:p>
    <w:p>
      <w:pPr>
        <w:spacing w:before="140" w:after="40"/>
      </w:pPr>
      <w:r>
        <w:rPr>
          <w:b/>
          <w:color w:val="000000"/>
          <w:sz w:val="21"/>
        </w:rPr>
        <w:t>4. Escalera de datos</w:t>
      </w:r>
    </w:p>
    <w:p>
      <w:pPr>
        <w:spacing w:after="100" w:line="259" w:lineRule="auto"/>
      </w:pPr>
      <w:r>
        <w:t>Mínimamente necesario: vintages genuinos suficientes para varios episodios. Suficiente: panel forecast-realización y macro/agro/trade. Ideal: pronósticos probabilísticos, calendarios y variables de anticipación. Óptimo: decisiones productivas y financieras micro. Metadatos: timestamp, horizonte, método, disponibilidad pública/interna, revisión y definición de error.</w:t>
      </w:r>
    </w:p>
    <w:p>
      <w:pPr>
        <w:spacing w:before="140" w:after="40"/>
      </w:pPr>
      <w:r>
        <w:rPr>
          <w:b/>
          <w:color w:val="000000"/>
          <w:sz w:val="21"/>
        </w:rPr>
        <w:t>5. Amenazas y requisitos de credibilidad</w:t>
      </w:r>
    </w:p>
    <w:p>
      <w:pPr>
        <w:spacing w:after="100" w:line="259" w:lineRule="auto"/>
      </w:pPr>
      <w:r>
        <w:t>Reconstruir forecasts ex post invalida el estimando; muestra corta. Exigir que todo dato sea disponible entonces, tests de igualdad, pre-outcomes y AR confidence sets si se instrumenta. Hallar anticipación sin menor pérdida puede mostrar desplazamiento temporal, no fracaso.</w:t>
      </w:r>
    </w:p>
    <w:p>
      <w:pPr>
        <w:spacing w:before="140" w:after="40"/>
      </w:pPr>
      <w:r>
        <w:rPr>
          <w:b/>
          <w:color w:val="000000"/>
          <w:sz w:val="21"/>
        </w:rPr>
        <w:t>6. Ruta de crecimiento</w:t>
      </w:r>
    </w:p>
    <w:p>
      <w:pPr>
        <w:spacing w:after="100" w:line="259" w:lineRule="auto"/>
      </w:pPr>
      <w:r>
        <w:t>El archivo de vintages es la puerta de entrada. No promover hasta validar cobertura y decisiones relevantes.</w:t>
      </w:r>
    </w:p>
    <w:p>
      <w:pPr>
        <w:pStyle w:val="Heading2"/>
        <w:keepNext/>
        <w:spacing w:before="280"/>
      </w:pPr>
      <w:r>
        <w:rPr>
          <w:color w:val="000000"/>
        </w:rPr>
        <w:t>D4  Inflación climática, precios relativos y riesgo de cola</w:t>
      </w:r>
    </w:p>
    <w:p>
      <w:pPr>
        <w:spacing w:after="100" w:line="259" w:lineRule="auto"/>
      </w:pPr>
      <w:r>
        <w:rPr>
          <w:b/>
        </w:rPr>
        <w:t>Clasificación de factibilidad:</w:t>
      </w:r>
      <w:r>
        <w:t xml:space="preserve"> Requiere acotar el estimando; puede producir dos módulos complementarios: media/propagación y predicción de distribución.</w:t>
      </w:r>
    </w:p>
    <w:p>
      <w:pPr>
        <w:spacing w:before="140" w:after="40"/>
      </w:pPr>
      <w:r>
        <w:rPr>
          <w:b/>
          <w:color w:val="000000"/>
          <w:sz w:val="21"/>
        </w:rPr>
        <w:t>1. Motivación y contribución potencial</w:t>
      </w:r>
    </w:p>
    <w:p>
      <w:pPr>
        <w:spacing w:after="100" w:line="259" w:lineRule="auto"/>
      </w:pPr>
      <w:r>
        <w:t>Problema: un efecto medio de ENSO no dice dónde cae en la canasta ni cuánto eleva el riesgo de inflación alta. C4 y C6 se integran sin confundir predicción de cola con causalidad de segunda vuelta.</w:t>
      </w:r>
    </w:p>
    <w:p>
      <w:pPr>
        <w:spacing w:before="140" w:after="40"/>
      </w:pPr>
      <w:r>
        <w:rPr>
          <w:b/>
          <w:color w:val="000000"/>
          <w:sz w:val="21"/>
        </w:rPr>
        <w:t>2. Objetivo, pregunta y estimando</w:t>
      </w:r>
    </w:p>
    <w:p>
      <w:pPr>
        <w:spacing w:after="100" w:line="259" w:lineRule="auto"/>
      </w:pPr>
      <w:r>
        <w:t>Pregunta: ¿qué componentes cargan el efecto ENSO y mejora el pronóstico de cuantiles/densidad? Estimandos: perfiles por componente y cambios en cuantiles/probabilidad de superar umbral. Mecanismos: oferta alimentaria, precios regionales, FX y expectativas. Evidencia: forma reducida para componentes; predictiva para densidades.</w:t>
      </w:r>
    </w:p>
    <w:p>
      <w:pPr>
        <w:spacing w:before="140" w:after="40"/>
      </w:pPr>
      <w:r>
        <w:rPr>
          <w:b/>
          <w:color w:val="000000"/>
          <w:sz w:val="21"/>
        </w:rPr>
        <w:t>3. Ejercicios empíricos posibles</w:t>
      </w:r>
    </w:p>
    <w:p>
      <w:pPr>
        <w:spacing w:after="100" w:line="259" w:lineRule="auto"/>
      </w:pPr>
      <w:r>
        <w:t>Inicial: headline-food-core, LP de D1 y cuantiles a 1-12 meses. Intermedio: tradables/no tradables, flexibles/sticky, EVE y evaluación recursiva de CRPS/WIS. Frontera: microprecios, origen, mayorista, distribuciones de expectativas. Unidad mensual; no inferir política óptima de la reacción histórica.</w:t>
      </w:r>
    </w:p>
    <w:p>
      <w:pPr>
        <w:spacing w:before="140" w:after="40"/>
      </w:pPr>
      <w:r>
        <w:rPr>
          <w:b/>
          <w:color w:val="000000"/>
          <w:sz w:val="21"/>
        </w:rPr>
        <w:t>4. Escalera de datos</w:t>
      </w:r>
    </w:p>
    <w:p>
      <w:pPr>
        <w:spacing w:after="100" w:line="259" w:lineRule="auto"/>
      </w:pPr>
      <w:r>
        <w:t>Mínimamente necesario: CPI headline/food/core, ONI, clima y tasa. Suficiente: global food, FX, EVE y componentes. Ideal: jerarquía CPI estable, precios mayoristas, mappings de canastas y vintages. Óptimo: microprecios por outlet/ítem, origen, margen y expectativas individuales. Metadatos: pesos y base CPI, mapping de ítems, publicación/vintage, definición de core y medidas de error de pronóstico.</w:t>
      </w:r>
    </w:p>
    <w:p>
      <w:pPr>
        <w:spacing w:before="140" w:after="40"/>
      </w:pPr>
      <w:r>
        <w:rPr>
          <w:b/>
          <w:color w:val="000000"/>
          <w:sz w:val="21"/>
        </w:rPr>
        <w:t>5. Amenazas y requisitos de credibilidad</w:t>
      </w:r>
    </w:p>
    <w:p>
      <w:pPr>
        <w:spacing w:after="100" w:line="259" w:lineRule="auto"/>
      </w:pPr>
      <w:r>
        <w:t>Cuantiles inestables y multiplicidad de componentes; alimento es post-tratamiento si se controla para estimar efecto ENSO sobre core. Exigir evaluación OOS, cobertura, joint tests, muestras consistentes y escenarios sin afirmación estructural. Un resultado sin ganancia de densidad es decisivo para no añadir complejidad.</w:t>
      </w:r>
    </w:p>
    <w:p>
      <w:pPr>
        <w:spacing w:before="140" w:after="40"/>
      </w:pPr>
      <w:r>
        <w:rPr>
          <w:b/>
          <w:color w:val="000000"/>
          <w:sz w:val="21"/>
        </w:rPr>
        <w:t>6. Ruta de crecimiento</w:t>
      </w:r>
    </w:p>
    <w:p>
      <w:pPr>
        <w:spacing w:after="100" w:line="259" w:lineRule="auto"/>
      </w:pPr>
      <w:r>
        <w:t>Primero auditar jerarquía CPI. Los mappings y vintages sirven N4, N9 y N11. Tratar segundo-round como hipótesis a validar, no conclusión incorporada.</w:t>
      </w:r>
    </w:p>
    <w:p>
      <w:pPr>
        <w:pStyle w:val="Heading2"/>
        <w:keepNext/>
        <w:spacing w:before="280"/>
      </w:pPr>
      <w:r>
        <w:rPr>
          <w:color w:val="000000"/>
        </w:rPr>
        <w:t>D5  Clima y riesgo de crédito</w:t>
      </w:r>
    </w:p>
    <w:p>
      <w:pPr>
        <w:spacing w:after="100" w:line="259" w:lineRule="auto"/>
      </w:pPr>
      <w:r>
        <w:rPr>
          <w:b/>
        </w:rPr>
        <w:t>Clasificación de factibilidad:</w:t>
      </w:r>
      <w:r>
        <w:t xml:space="preserve"> Depende de microdatos y exposiciones geográficas/sectoriales; requiere construcción de datos.</w:t>
      </w:r>
    </w:p>
    <w:p>
      <w:pPr>
        <w:spacing w:before="140" w:after="40"/>
      </w:pPr>
      <w:r>
        <w:rPr>
          <w:b/>
          <w:color w:val="000000"/>
          <w:sz w:val="21"/>
        </w:rPr>
        <w:t>1. Motivación y contribución potencial</w:t>
      </w:r>
    </w:p>
    <w:p>
      <w:pPr>
        <w:spacing w:after="100" w:line="259" w:lineRule="auto"/>
      </w:pPr>
      <w:r>
        <w:t>Problema: NPL agregado puede ocultar concentración de vulnerabilidad y mezcla riesgo realizado con oferta de crédito. Es puente prioritario entre clima y estabilidad.</w:t>
      </w:r>
    </w:p>
    <w:p>
      <w:pPr>
        <w:spacing w:before="140" w:after="40"/>
      </w:pPr>
      <w:r>
        <w:rPr>
          <w:b/>
          <w:color w:val="000000"/>
          <w:sz w:val="21"/>
        </w:rPr>
        <w:t>2. Objetivo, pregunta y estimando</w:t>
      </w:r>
    </w:p>
    <w:p>
      <w:pPr>
        <w:spacing w:after="100" w:line="259" w:lineRule="auto"/>
      </w:pPr>
      <w:r>
        <w:t>Pregunta: ¿ENSO/clima afecta mora y oferta según exposición preexistente de bancos/prestatarios? Estimando: respuesta de outcomes a shock × peso de cartera expuesto. Mecanismo: cash flow, garantía, seguro, capital bancario. Evidencia: forma reducida; causal más fuerte con comparación mismo prestatario o sector-banco.</w:t>
      </w:r>
    </w:p>
    <w:p>
      <w:pPr>
        <w:spacing w:before="140" w:after="40"/>
      </w:pPr>
      <w:r>
        <w:rPr>
          <w:b/>
          <w:color w:val="000000"/>
          <w:sz w:val="21"/>
        </w:rPr>
        <w:t>3. Ejercicios empíricos posibles</w:t>
      </w:r>
    </w:p>
    <w:p>
      <w:pPr>
        <w:spacing w:after="100" w:line="259" w:lineRule="auto"/>
      </w:pPr>
      <w:r>
        <w:t>Inicial: mapa banco-sector de cartera y actividad climática. Intermedio: event study/LP banco-mes con shares congeladas. Frontera: loan-level con ubicación, seguro, colateral y resultados firma. Unidad banco-mes, banco-sector-mes o préstamo-mes; separar default, nueva oferta, precio y restructuración.</w:t>
      </w:r>
    </w:p>
    <w:p>
      <w:pPr>
        <w:spacing w:before="140" w:after="40"/>
      </w:pPr>
      <w:r>
        <w:rPr>
          <w:b/>
          <w:color w:val="000000"/>
          <w:sz w:val="21"/>
        </w:rPr>
        <w:t>4. Escalera de datos</w:t>
      </w:r>
    </w:p>
    <w:p>
      <w:pPr>
        <w:spacing w:after="100" w:line="259" w:lineRule="auto"/>
      </w:pPr>
      <w:r>
        <w:t>Mínimamente necesario: NPL banco y shares sectoriales + ENSO/clima. Suficiente: crédito/tasa/provisión banco-sector, capital/liquidez y exposición. Ideal: banco-prestatario por región-moneda-madurez, seguro y clima geográfico. Óptimo: loan registry, colateral, estados firma y clima granular. Metadatos: ubicación, sector, definición de morosidad/restructuración, exposición al momento pre-evento y cambios regulatorios.</w:t>
      </w:r>
    </w:p>
    <w:p>
      <w:pPr>
        <w:spacing w:before="140" w:after="40"/>
      </w:pPr>
      <w:r>
        <w:rPr>
          <w:b/>
          <w:color w:val="000000"/>
          <w:sz w:val="21"/>
        </w:rPr>
        <w:t>5. Amenazas y requisitos de credibilidad</w:t>
      </w:r>
    </w:p>
    <w:p>
      <w:pPr>
        <w:spacing w:after="100" w:line="259" w:lineRule="auto"/>
      </w:pPr>
      <w:r>
        <w:t>Clima también afecta demanda, shares endógenas y eventos pocos. Exigir shares anteriores, pre-trends, geografías/placebos no expuestos, límites de extrapolación y escenarios prudentes. Sin efecto en bancos diversificados es un benchmark valioso.</w:t>
      </w:r>
    </w:p>
    <w:p>
      <w:pPr>
        <w:spacing w:before="140" w:after="40"/>
      </w:pPr>
      <w:r>
        <w:rPr>
          <w:b/>
          <w:color w:val="000000"/>
          <w:sz w:val="21"/>
        </w:rPr>
        <w:t>6. Ruta de crecimiento</w:t>
      </w:r>
    </w:p>
    <w:p>
      <w:pPr>
        <w:spacing w:after="100" w:line="259" w:lineRule="auto"/>
      </w:pPr>
      <w:r>
        <w:t>Depende de biblioteca D2 y panel C1/C4. Usar primero para stress test transparente; promover a paper si exposición y outcomes son vinculables.</w:t>
      </w:r>
    </w:p>
    <w:p>
      <w:pPr>
        <w:pStyle w:val="Heading2"/>
        <w:keepNext/>
        <w:spacing w:before="280"/>
      </w:pPr>
      <w:r>
        <w:rPr>
          <w:color w:val="000000"/>
        </w:rPr>
        <w:t xml:space="preserve">D6  Precios administrados de combustibles, inflación y expectativas (nueva)</w:t>
      </w:r>
    </w:p>
    <w:p>
      <w:pPr>
        <w:spacing w:after="100" w:line="259" w:lineRule="auto"/>
      </w:pPr>
      <w:r>
        <w:rPr>
          <w:b/>
        </w:rPr>
        <w:t xml:space="preserve">Clasificación de factibilidad:</w:t>
      </w:r>
      <w:r>
        <w:t xml:space="preserve"> Requiere fechas exactas de ajustes; viable como estudio de eventos con componente discrecional.</w:t>
      </w:r>
    </w:p>
    <w:p>
      <w:pPr>
        <w:spacing w:before="140" w:after="40"/>
      </w:pPr>
      <w:r>
        <w:rPr>
          <w:b/>
          <w:color w:val="000000"/>
          <w:sz w:val="21"/>
        </w:rPr>
        <w:t>1. Motivación y contribución potencial</w:t>
      </w:r>
    </w:p>
    <w:p>
      <w:pPr>
        <w:spacing w:after="100" w:line="259" w:lineRule="auto"/>
      </w:pPr>
      <w:r>
        <w:t xml:space="preserve">Problema: los ajustes de combustibles son discretos y visibles para los hogares; su traspaso a la subyacente y a las expectativas es central para la política monetaria, pero responden al petróleo y al tipo de cambio.</w:t>
      </w:r>
    </w:p>
    <w:p>
      <w:pPr>
        <w:spacing w:before="140" w:after="40"/>
      </w:pPr>
      <w:r>
        <w:rPr>
          <w:b/>
          <w:color w:val="000000"/>
          <w:sz w:val="21"/>
        </w:rPr>
        <w:t>2. Objetivo, pregunta y estimando</w:t>
      </w:r>
    </w:p>
    <w:p>
      <w:pPr>
        <w:spacing w:after="100" w:line="259" w:lineRule="auto"/>
      </w:pPr>
      <w:r>
        <w:t xml:space="preserve">Pregunta: ¿cuánto y a qué velocidad se trasladan los ajustes a inflación total, subyacente y expectativas? Estimando: traspaso directo, indirecto y de segunda vuelta; respuesta de expectativas. Mecanismo: costos y señales de precios salientes. Evidencia: forma reducida; causal con componente discrecional.</w:t>
      </w:r>
    </w:p>
    <w:p>
      <w:pPr>
        <w:spacing w:before="140" w:after="40"/>
      </w:pPr>
      <w:r>
        <w:rPr>
          <w:b/>
          <w:color w:val="000000"/>
          <w:sz w:val="21"/>
        </w:rPr>
        <w:t>3. Ejercicios empíricos posibles</w:t>
      </w:r>
    </w:p>
    <w:p>
      <w:pPr>
        <w:spacing w:after="100" w:line="259" w:lineRule="auto"/>
      </w:pPr>
      <w:r>
        <w:t xml:space="preserve">Inicial: cronología de ajustes y función de reacción del precio a Brent y tipo de cambio. Intermedio: LP mensuales sobre el componente discrecional; asimetría subas/bajas. Frontera: microprecios de transporte y fletes. Horizonte 0 a 12 meses.</w:t>
      </w:r>
    </w:p>
    <w:p>
      <w:pPr>
        <w:spacing w:before="140" w:after="40"/>
      </w:pPr>
      <w:r>
        <w:rPr>
          <w:b/>
          <w:color w:val="000000"/>
          <w:sz w:val="21"/>
        </w:rPr>
        <w:t>4. Escalera de datos</w:t>
      </w:r>
    </w:p>
    <w:p>
      <w:pPr>
        <w:spacing w:after="100" w:line="259" w:lineRule="auto"/>
      </w:pPr>
      <w:r>
        <w:t xml:space="preserve">Mínimamente necesario: fechas y montos de ajustes, IPC por componentes. Suficiente: EVE, Brent, tipo de cambio. Ideal: subsidios y fondos de estabilización. Óptimo: precios por estación de servicio. Metadatos: producto, empresa, fecha de vigencia.</w:t>
      </w:r>
    </w:p>
    <w:p>
      <w:pPr>
        <w:spacing w:before="140" w:after="40"/>
      </w:pPr>
      <w:r>
        <w:rPr>
          <w:b/>
          <w:color w:val="000000"/>
          <w:sz w:val="21"/>
        </w:rPr>
        <w:t>5. Amenazas y requisitos de credibilidad</w:t>
      </w:r>
    </w:p>
    <w:p>
      <w:pPr>
        <w:spacing w:after="100" w:line="259" w:lineRule="auto"/>
      </w:pPr>
      <w:r>
        <w:t xml:space="preserve">Endogeneidad al petróleo y a la política. Exigir residualización, placebos sin ajuste, controles de estacionalidad. Traspaso nulo a expectativas de largo plazo indica anclaje.</w:t>
      </w:r>
    </w:p>
    <w:p>
      <w:pPr>
        <w:spacing w:before="140" w:after="40"/>
      </w:pPr>
      <w:r>
        <w:rPr>
          <w:b/>
          <w:color w:val="000000"/>
          <w:sz w:val="21"/>
        </w:rPr>
        <w:t>6. Ruta de crecimiento</w:t>
      </w:r>
    </w:p>
    <w:p>
      <w:pPr>
        <w:spacing w:after="100" w:line="259" w:lineRule="auto"/>
      </w:pPr>
      <w:r>
        <w:t xml:space="preserve">Comparte insumos con D4 y E3.</w:t>
      </w:r>
    </w:p>
    <w:p>
      <w:pPr>
        <w:spacing w:after="100" w:line="259" w:lineRule="auto"/>
      </w:pPr>
      <w:r>
        <w:rPr>
          <w:b/>
        </w:rPr>
        <w:t xml:space="preserve">Datos y viabilidad (septiembre 2026):</w:t>
      </w:r>
      <w:r>
        <w:t xml:space="preserve"> Media. 41 variaciones mensuales del gasoil mayores a 3% desde 2015 (Cuadro 13 a, índice del gasoil). Carpeta de trabajo: proyectos/31_n10_combustibles_expectativas.</w:t>
      </w:r>
    </w:p>
    <w:p>
      <w:pPr>
        <w:pStyle w:val="Heading2"/>
        <w:keepNext/>
        <w:spacing w:before="280"/>
      </w:pPr>
      <w:r>
        <w:rPr>
          <w:color w:val="000000"/>
        </w:rPr>
        <w:t>E1  Combinación y reconciliación de pronósticos de PIB</w:t>
      </w:r>
    </w:p>
    <w:p>
      <w:pPr>
        <w:spacing w:after="100" w:line="259" w:lineRule="auto"/>
      </w:pPr>
      <w:r>
        <w:rPr>
          <w:b/>
        </w:rPr>
        <w:t>Clasificación de factibilidad:</w:t>
      </w:r>
      <w:r>
        <w:t xml:space="preserve"> Listo para ser diseñado empíricamente; limitar complejidad por pocas fechas de origen.</w:t>
      </w:r>
    </w:p>
    <w:p>
      <w:pPr>
        <w:spacing w:before="140" w:after="40"/>
      </w:pPr>
      <w:r>
        <w:rPr>
          <w:b/>
          <w:color w:val="000000"/>
          <w:sz w:val="21"/>
        </w:rPr>
        <w:t>1. Motivación y contribución potencial</w:t>
      </w:r>
    </w:p>
    <w:p>
      <w:pPr>
        <w:spacing w:after="100" w:line="259" w:lineRule="auto"/>
      </w:pPr>
      <w:r>
        <w:t>Problema: combinación y reconciliación son mejoras distintas: la primera mezcla información, la segunda impone coherencia. La contribución no debe ser “aplicar MinT”, sino identificar cuándo mejora precisión, estabilidad y coherencia.</w:t>
      </w:r>
    </w:p>
    <w:p>
      <w:pPr>
        <w:spacing w:before="140" w:after="40"/>
      </w:pPr>
      <w:r>
        <w:rPr>
          <w:b/>
          <w:color w:val="000000"/>
          <w:sz w:val="21"/>
        </w:rPr>
        <w:t>2. Objetivo, pregunta y estimando</w:t>
      </w:r>
    </w:p>
    <w:p>
      <w:pPr>
        <w:spacing w:after="100" w:line="259" w:lineRule="auto"/>
      </w:pPr>
      <w:r>
        <w:t>Pregunta: ¿qué reglas combinan y reconcilian mejor pronósticos jerárquicos de PIB fuera de muestra? Estimandos: diferencia de pérdida/coherencia por método y nivel. Mecanismo: diversidad de modelos y estructura de errores. Evidencia: predictiva/operativa, no causal.</w:t>
      </w:r>
    </w:p>
    <w:p>
      <w:pPr>
        <w:spacing w:before="140" w:after="40"/>
      </w:pPr>
      <w:r>
        <w:rPr>
          <w:b/>
          <w:color w:val="000000"/>
          <w:sz w:val="21"/>
        </w:rPr>
        <w:t>3. Ejercicios empíricos posibles</w:t>
      </w:r>
    </w:p>
    <w:p>
      <w:pPr>
        <w:spacing w:after="100" w:line="259" w:lineRule="auto"/>
      </w:pPr>
      <w:r>
        <w:t>Inicial: equal weights, trimmed inverse loss, bottom-up/top-down y diagonal covariance. Intermedio: shrinkage MinT y combinación nested OOS. Frontera: reconciliación temporal/probabilística supply-demand con densidades. Unidad variable-horizonte-origen; ideal 30-40 orígenes, evaluación rolling/expanding.</w:t>
      </w:r>
    </w:p>
    <w:p>
      <w:pPr>
        <w:spacing w:before="140" w:after="40"/>
      </w:pPr>
      <w:r>
        <w:rPr>
          <w:b/>
          <w:color w:val="000000"/>
          <w:sz w:val="21"/>
        </w:rPr>
        <w:t>4. Escalera de datos</w:t>
      </w:r>
    </w:p>
    <w:p>
      <w:pPr>
        <w:spacing w:after="100" w:line="259" w:lineRule="auto"/>
      </w:pPr>
      <w:r>
        <w:t>Mínimamente necesario: cuentas coherentes, summing matrix y archivo pequeño de forecast/errors. Suficiente: forecasts de modelos/origen y errores consistentes. Ideal: pseudo-real-time, todos los niveles supply/demand y draws. Óptimo: vintages de cuentas y distribuciones completas. Metadatos: versión de jerarquía, discrepancia estadística, transformación/nivel, horizonte, fecha de origen y realización first/final.</w:t>
      </w:r>
    </w:p>
    <w:p>
      <w:pPr>
        <w:spacing w:before="140" w:after="40"/>
      </w:pPr>
      <w:r>
        <w:rPr>
          <w:b/>
          <w:color w:val="000000"/>
          <w:sz w:val="21"/>
        </w:rPr>
        <w:t>5. Amenazas y requisitos de credibilidad</w:t>
      </w:r>
    </w:p>
    <w:p>
      <w:pPr>
        <w:spacing w:after="100" w:line="259" w:lineRule="auto"/>
      </w:pPr>
      <w:r>
        <w:t>Muestra corta, horizonte solapado y tuning que ve test. Exigir nested evaluation, benchmarks simples, shrinkage, bootstrap/block inference y métricas por nivel. Coherencia sin ganancia de RMSE sigue siendo útil si reduce inconsistencias operativas.</w:t>
      </w:r>
    </w:p>
    <w:p>
      <w:pPr>
        <w:spacing w:before="140" w:after="40"/>
      </w:pPr>
      <w:r>
        <w:rPr>
          <w:b/>
          <w:color w:val="000000"/>
          <w:sz w:val="21"/>
        </w:rPr>
        <w:t>6. Ruta de crecimiento</w:t>
      </w:r>
    </w:p>
    <w:p>
      <w:pPr>
        <w:spacing w:after="100" w:line="259" w:lineRule="auto"/>
      </w:pPr>
      <w:r>
        <w:t>Archivar todos los forecasts base y matrices. Vincula E2-E3; no vender métodos de alta dimensión si la historia no los identifica.</w:t>
      </w:r>
    </w:p>
    <w:p>
      <w:pPr>
        <w:pStyle w:val="Heading2"/>
        <w:keepNext/>
        <w:spacing w:before="280"/>
      </w:pPr>
      <w:r>
        <w:rPr>
          <w:color w:val="000000"/>
        </w:rPr>
        <w:t>E2  Vintages, nowcasting, densidades y valor del juicio</w:t>
      </w:r>
    </w:p>
    <w:p>
      <w:pPr>
        <w:spacing w:after="100" w:line="259" w:lineRule="auto"/>
      </w:pPr>
      <w:r>
        <w:rPr>
          <w:b/>
        </w:rPr>
        <w:t>Clasificación de factibilidad:</w:t>
      </w:r>
      <w:r>
        <w:t xml:space="preserve"> Requiere construir datos prospectivamente; es infraestructura y proyecto gradual.</w:t>
      </w:r>
    </w:p>
    <w:p>
      <w:pPr>
        <w:spacing w:before="140" w:after="40"/>
      </w:pPr>
      <w:r>
        <w:rPr>
          <w:b/>
          <w:color w:val="000000"/>
          <w:sz w:val="21"/>
        </w:rPr>
        <w:t>1. Motivación y contribución potencial</w:t>
      </w:r>
    </w:p>
    <w:p>
      <w:pPr>
        <w:spacing w:after="100" w:line="259" w:lineRule="auto"/>
      </w:pPr>
      <w:r>
        <w:t>Problema: una evaluación con información final no mide desempeño real. Vintages y logs de juicio son una infraestructura irreversible para forecasting y para decisiones de política.</w:t>
      </w:r>
    </w:p>
    <w:p>
      <w:pPr>
        <w:spacing w:before="140" w:after="40"/>
      </w:pPr>
      <w:r>
        <w:rPr>
          <w:b/>
          <w:color w:val="000000"/>
          <w:sz w:val="21"/>
        </w:rPr>
        <w:t>2. Objetivo, pregunta y estimando</w:t>
      </w:r>
    </w:p>
    <w:p>
      <w:pPr>
        <w:spacing w:after="100" w:line="259" w:lineRule="auto"/>
      </w:pPr>
      <w:r>
        <w:t>Pregunta: ¿qué release aporta news al nowcast, qué parte del error viene de revisiones y cuándo mejora el juicio? Estimandos: contribución de news, revisión news/noise y diferencia de pérdida pre/post juicio. Mecanismos: flujo de información y expertise. Evidencia: predictiva/institucional; no causal sobre economía.</w:t>
      </w:r>
    </w:p>
    <w:p>
      <w:pPr>
        <w:spacing w:before="140" w:after="40"/>
      </w:pPr>
      <w:r>
        <w:rPr>
          <w:b/>
          <w:color w:val="000000"/>
          <w:sz w:val="21"/>
        </w:rPr>
        <w:t>3. Ejercicios empíricos posibles</w:t>
      </w:r>
    </w:p>
    <w:p>
      <w:pPr>
        <w:spacing w:after="100" w:line="259" w:lineRule="auto"/>
      </w:pPr>
      <w:r>
        <w:t>Inicial: calendario de publicaciones, snapshots, forecasts antes/después de juicio e intervalos. Intermedio: dynamic factor/MIDAS vs bridge y descomposición de news. Frontera: densities/draws, first/final targets, ajuste con rationale y modelos de shrinkage de juicio. Unidad release-fecha-origen; 1 a 12 meses.</w:t>
      </w:r>
    </w:p>
    <w:p>
      <w:pPr>
        <w:spacing w:before="140" w:after="40"/>
      </w:pPr>
      <w:r>
        <w:rPr>
          <w:b/>
          <w:color w:val="000000"/>
          <w:sz w:val="21"/>
        </w:rPr>
        <w:t>4. Escalera de datos</w:t>
      </w:r>
    </w:p>
    <w:p>
      <w:pPr>
        <w:spacing w:after="100" w:line="259" w:lineRule="auto"/>
      </w:pPr>
      <w:r>
        <w:t>Mínimamente necesario: forecasts fechados, datos finales y grandes ajustes documentados. Suficiente: calendarios reales, major vintages, run archive y intervalos. Ideal: cada release/input/model state, pre/post reconciliation/judgment y first/final realization. Óptimo: densidades, timestamp exacto, rationale/source de juicio y comunicaciones. Metadatos: información disponible en fecha, timestamp, revisiones, error de carga y definición de target.</w:t>
      </w:r>
    </w:p>
    <w:p>
      <w:pPr>
        <w:spacing w:before="140" w:after="40"/>
      </w:pPr>
      <w:r>
        <w:rPr>
          <w:b/>
          <w:color w:val="000000"/>
          <w:sz w:val="21"/>
        </w:rPr>
        <w:t>5. Amenazas y requisitos de credibilidad</w:t>
      </w:r>
    </w:p>
    <w:p>
      <w:pPr>
        <w:spacing w:after="100" w:line="259" w:lineRule="auto"/>
      </w:pPr>
      <w:r>
        <w:t>Pseudotiempo real no sustituye vintage real; juicio es selectivo. Exigir archive inmutable, evaluación contra first/final, logs antes de resultado, tests de calibración y benchmarks. Un nowcast complejo sin ganancia es una mejora porque evita complejidad inútil.</w:t>
      </w:r>
    </w:p>
    <w:p>
      <w:pPr>
        <w:spacing w:before="140" w:after="40"/>
      </w:pPr>
      <w:r>
        <w:rPr>
          <w:b/>
          <w:color w:val="000000"/>
          <w:sz w:val="21"/>
        </w:rPr>
        <w:t>6. Ruta de crecimiento</w:t>
      </w:r>
    </w:p>
    <w:p>
      <w:pPr>
        <w:spacing w:after="100" w:line="259" w:lineRule="auto"/>
      </w:pPr>
      <w:r>
        <w:t>Comenzar a archivar de inmediato. Este activo de mayor valor compartido habilita E1, E3, G3, D3/D4 y evaluación del sistema GDP.</w:t>
      </w:r>
    </w:p>
    <w:p>
      <w:pPr>
        <w:pStyle w:val="Heading2"/>
        <w:keepNext/>
        <w:spacing w:before="280"/>
      </w:pPr>
      <w:r>
        <w:rPr>
          <w:color w:val="000000"/>
        </w:rPr>
        <w:t>E3  Desacuerdo y anclaje de expectativas</w:t>
      </w:r>
    </w:p>
    <w:p>
      <w:pPr>
        <w:spacing w:after="100" w:line="259" w:lineRule="auto"/>
      </w:pPr>
      <w:r>
        <w:rPr>
          <w:b/>
        </w:rPr>
        <w:t>Clasificación de factibilidad:</w:t>
      </w:r>
      <w:r>
        <w:t xml:space="preserve"> Listo para una versión agregada; requiere microdatos para inferir aprendizaje individual o incertidumbre subjetiva.</w:t>
      </w:r>
    </w:p>
    <w:p>
      <w:pPr>
        <w:spacing w:before="140" w:after="40"/>
      </w:pPr>
      <w:r>
        <w:rPr>
          <w:b/>
          <w:color w:val="000000"/>
          <w:sz w:val="21"/>
        </w:rPr>
        <w:t>1. Motivación y contribución potencial</w:t>
      </w:r>
    </w:p>
    <w:p>
      <w:pPr>
        <w:spacing w:after="100" w:line="259" w:lineRule="auto"/>
      </w:pPr>
      <w:r>
        <w:t>Problema: dispersión de modelos, dispersión de EVE y anclaje son objetos distintos. La agenda gana al tratarlos como validaciones empíricas, no como sinónimos de incertidumbre o credibilidad.</w:t>
      </w:r>
    </w:p>
    <w:p>
      <w:pPr>
        <w:spacing w:before="140" w:after="40"/>
      </w:pPr>
      <w:r>
        <w:rPr>
          <w:b/>
          <w:color w:val="000000"/>
          <w:sz w:val="21"/>
        </w:rPr>
        <w:t>2. Objetivo, pregunta y estimando</w:t>
      </w:r>
    </w:p>
    <w:p>
      <w:pPr>
        <w:spacing w:after="100" w:line="259" w:lineRule="auto"/>
      </w:pPr>
      <w:r>
        <w:t>Pregunta: ¿el desacuerdo añade información sobre errores/riesgo y cuán sensible es la expectativa de largo plazo a sorpresas y cambios de meta? Estimandos: ganancia predictiva de dispersión; sensibilidad/revisión de expectativa larga. Mecanismos: información heterogénea y credibilidad. Evidencia: descriptiva/predictiva; causal sólo en eventos claramente fechados y con microdatos.</w:t>
      </w:r>
    </w:p>
    <w:p>
      <w:pPr>
        <w:spacing w:before="140" w:after="40"/>
      </w:pPr>
      <w:r>
        <w:rPr>
          <w:b/>
          <w:color w:val="000000"/>
          <w:sz w:val="21"/>
        </w:rPr>
        <w:t>3. Ejercicios empíricos posibles</w:t>
      </w:r>
    </w:p>
    <w:p>
      <w:pPr>
        <w:spacing w:after="100" w:line="259" w:lineRule="auto"/>
      </w:pPr>
      <w:r>
        <w:t>Inicial: armonizar target date/horizons; series EVE públicas y dispersión de modelos; event study de recalibración de meta. Intermedio: horse races OOS y coeficientes time-varying. Frontera: panel anónimo de respondentes, densidades/confianza y firmas/hogares. Unidad encuesta-vintage-horizonte/individuo.</w:t>
      </w:r>
    </w:p>
    <w:p>
      <w:pPr>
        <w:spacing w:before="140" w:after="40"/>
      </w:pPr>
      <w:r>
        <w:rPr>
          <w:b/>
          <w:color w:val="000000"/>
          <w:sz w:val="21"/>
        </w:rPr>
        <w:t>4. Escalera de datos</w:t>
      </w:r>
    </w:p>
    <w:p>
      <w:pPr>
        <w:spacing w:after="100" w:line="259" w:lineRule="auto"/>
      </w:pPr>
      <w:r>
        <w:t>Mínimamente necesario: media de expectativas corta/larga y series de meta/inflación. Suficiente: media, mediana, moda, desviación y n de respuestas + forecasts modelo. Ideal: identificación estable de encuestado, tipo, cuestionario y revisiones. Óptimo: densidades de expectativas, encuestas de empresas/hogares y variables de mercado. Metadatos: fecha de levantamiento/publicación, horizonte/target, cambio de cuestionario y composición.</w:t>
      </w:r>
    </w:p>
    <w:p>
      <w:pPr>
        <w:spacing w:before="140" w:after="40"/>
      </w:pPr>
      <w:r>
        <w:rPr>
          <w:b/>
          <w:color w:val="000000"/>
          <w:sz w:val="21"/>
        </w:rPr>
        <w:t>5. Amenazas y requisitos de credibilidad</w:t>
      </w:r>
    </w:p>
    <w:p>
      <w:pPr>
        <w:spacing w:after="100" w:line="259" w:lineRule="auto"/>
      </w:pPr>
      <w:r>
        <w:t>Panel cambiante, redondeo, baja frecuencia y sorpresa mal medida. Exigir targets equivalentes, entry-exit decomposition, sensibilidad a n, pretrend del evento meta y comparar con volatilidad/revisiones. Falta de relación desacuerdo-incertidumbre es evidencia útil.</w:t>
      </w:r>
    </w:p>
    <w:p>
      <w:pPr>
        <w:spacing w:before="140" w:after="40"/>
      </w:pPr>
      <w:r>
        <w:rPr>
          <w:b/>
          <w:color w:val="000000"/>
          <w:sz w:val="21"/>
        </w:rPr>
        <w:t>6. Ruta de crecimiento</w:t>
      </w:r>
    </w:p>
    <w:p>
      <w:pPr>
        <w:spacing w:after="100" w:line="259" w:lineRule="auto"/>
      </w:pPr>
      <w:r>
        <w:t>Crear diccionario de encuesta/vintages y solicitar microdatos anonimizados. Los datos también sirven D4 y N10.</w:t>
      </w:r>
    </w:p>
    <w:p>
      <w:pPr>
        <w:pStyle w:val="Heading2"/>
        <w:keepNext/>
        <w:spacing w:before="280"/>
      </w:pPr>
      <w:r>
        <w:rPr>
          <w:color w:val="000000"/>
        </w:rPr>
        <w:t>F1  Facturación electrónica, cadenas de pagos y formalización</w:t>
      </w:r>
    </w:p>
    <w:p>
      <w:pPr>
        <w:spacing w:after="100" w:line="259" w:lineRule="auto"/>
      </w:pPr>
      <w:r>
        <w:rPr>
          <w:b/>
        </w:rPr>
        <w:t>Clasificación de factibilidad:</w:t>
      </w:r>
      <w:r>
        <w:t xml:space="preserve"> Depende de microdatos, vínculo institucional y reglas de privacidad; tres módulos deben pasar factibilidad separada.</w:t>
      </w:r>
    </w:p>
    <w:p>
      <w:pPr>
        <w:spacing w:before="140" w:after="40"/>
      </w:pPr>
      <w:r>
        <w:rPr>
          <w:b/>
          <w:color w:val="000000"/>
          <w:sz w:val="21"/>
        </w:rPr>
        <w:t>1. Motivación y contribución potencial</w:t>
      </w:r>
    </w:p>
    <w:p>
      <w:pPr>
        <w:spacing w:after="100" w:line="259" w:lineRule="auto"/>
      </w:pPr>
      <w:r>
        <w:t>Problema: SIFEN puede cambiar observabilidad y formalización; facturas impagas pueden propagar restricciones de capital de trabajo. Adoptar no es el mismo tratamiento que sufrir atraso de pago.</w:t>
      </w:r>
    </w:p>
    <w:p>
      <w:pPr>
        <w:spacing w:before="140" w:after="40"/>
      </w:pPr>
      <w:r>
        <w:rPr>
          <w:b/>
          <w:color w:val="000000"/>
          <w:sz w:val="21"/>
        </w:rPr>
        <w:t>2. Objetivo, pregunta y estimando</w:t>
      </w:r>
    </w:p>
    <w:p>
      <w:pPr>
        <w:spacing w:after="100" w:line="259" w:lineRule="auto"/>
      </w:pPr>
      <w:r>
        <w:t>Pregunta: ¿la adopción de facturación electrónica altera resultados firm-level y acceso a crédito? ¿atrasos recibidos causan atrasos pagados? Estimandos: ITT de adopción; respuesta de pago saliente a shock de pago entrante. Mecanismos: información/verificación y fricción financiera. Evidencia: causal sólo con cohortes/reglas o shocks de pago defendibles.</w:t>
      </w:r>
    </w:p>
    <w:p>
      <w:pPr>
        <w:spacing w:before="140" w:after="40"/>
      </w:pPr>
      <w:r>
        <w:rPr>
          <w:b/>
          <w:color w:val="000000"/>
          <w:sz w:val="21"/>
        </w:rPr>
        <w:t>3. Ejercicios empíricos posibles</w:t>
      </w:r>
    </w:p>
    <w:p>
      <w:pPr>
        <w:spacing w:after="100" w:line="259" w:lineRule="auto"/>
      </w:pPr>
      <w:r>
        <w:t>Inicial: piloto de linkage y medición de adopción, invoice-to-payment match rate. Intermedio: staggered DiD de cohortes con event study moderno; redes con exposures preexistentes. Frontera: firmas-facturas-pagos-crédito-impuestos-empleo. Unidad firma-mes y relación firma-par; horizonte meses/años.</w:t>
      </w:r>
    </w:p>
    <w:p>
      <w:pPr>
        <w:spacing w:before="140" w:after="40"/>
      </w:pPr>
      <w:r>
        <w:rPr>
          <w:b/>
          <w:color w:val="000000"/>
          <w:sz w:val="21"/>
        </w:rPr>
        <w:t>4. Escalera de datos</w:t>
      </w:r>
    </w:p>
    <w:p>
      <w:pPr>
        <w:spacing w:after="100" w:line="259" w:lineRule="auto"/>
      </w:pPr>
      <w:r>
        <w:t>Mínimamente necesario: fecha de adopción/regla y outcome de firma; para pagos, no hay sustituto de fechas factura-vencimiento-pago. Suficiente: adopción + ventas/impuestos/crédito o atrasos sector-pair. Ideal: factura firma-mes ligada a crédito y tax/employment. Óptimo: invoice-payment records, red cliente-proveedor, aplicaciones de crédito y cuentas bancarias anonimizadas. Metadatos: cohortes/eligibilidad, fecha de emisión/vencimiento/settlement, cobertura, match quality y cambios de enforcement.</w:t>
      </w:r>
    </w:p>
    <w:p>
      <w:pPr>
        <w:spacing w:before="140" w:after="40"/>
      </w:pPr>
      <w:r>
        <w:rPr>
          <w:b/>
          <w:color w:val="000000"/>
          <w:sz w:val="21"/>
        </w:rPr>
        <w:t>5. Amenazas y requisitos de credibilidad</w:t>
      </w:r>
    </w:p>
    <w:p>
      <w:pPr>
        <w:spacing w:after="100" w:line="259" w:lineRule="auto"/>
      </w:pPr>
      <w:r>
        <w:t>Adopción dirigida, cumplimiento endógeno, red incompleta y pagos no observados. Exigir razonamiento de cohortes, pre-trends, thresholds si existen, negative-control links y medición de nonmatch. Resultado de baja tasa de match detiene el módulo de cadenas.</w:t>
      </w:r>
    </w:p>
    <w:p>
      <w:pPr>
        <w:spacing w:before="140" w:after="40"/>
      </w:pPr>
      <w:r>
        <w:rPr>
          <w:b/>
          <w:color w:val="000000"/>
          <w:sz w:val="21"/>
        </w:rPr>
        <w:t>6. Ruta de crecimiento</w:t>
      </w:r>
    </w:p>
    <w:p>
      <w:pPr>
        <w:spacing w:after="100" w:line="259" w:lineRule="auto"/>
      </w:pPr>
      <w:r>
        <w:t>Separar: F1a evaluación de adopción, F1b acceso a crédito, F1c cadenas de pagos. El asset de identificador firma sirve N4, N5, N8 y N10.</w:t>
      </w:r>
    </w:p>
    <w:p>
      <w:pPr>
        <w:pStyle w:val="Heading2"/>
        <w:keepNext/>
        <w:spacing w:before="280"/>
      </w:pPr>
      <w:r>
        <w:rPr>
          <w:color w:val="000000"/>
        </w:rPr>
        <w:t>F2  Precios de importación, arbitraje fronterizo e inflación</w:t>
      </w:r>
    </w:p>
    <w:p>
      <w:pPr>
        <w:spacing w:after="100" w:line="259" w:lineRule="auto"/>
      </w:pPr>
      <w:r>
        <w:rPr>
          <w:b/>
        </w:rPr>
        <w:t>Clasificación de factibilidad:</w:t>
      </w:r>
      <w:r>
        <w:t xml:space="preserve"> Requiere datos que probablemente deban construirse; el mecanismo fronterizo depende de geografía/producto.</w:t>
      </w:r>
    </w:p>
    <w:p>
      <w:pPr>
        <w:spacing w:before="140" w:after="40"/>
      </w:pPr>
      <w:r>
        <w:rPr>
          <w:b/>
          <w:color w:val="000000"/>
          <w:sz w:val="21"/>
        </w:rPr>
        <w:t>1. Motivación y contribución potencial</w:t>
      </w:r>
    </w:p>
    <w:p>
      <w:pPr>
        <w:spacing w:after="100" w:line="259" w:lineRule="auto"/>
      </w:pPr>
      <w:r>
        <w:t>Problema: DXY, PYG/USD, real y peso pueden actuar por facturación, comercio regional y arbitrage. Un pass-through agregado no identifica cuál canal domina.</w:t>
      </w:r>
    </w:p>
    <w:p>
      <w:pPr>
        <w:spacing w:before="140" w:after="40"/>
      </w:pPr>
      <w:r>
        <w:rPr>
          <w:b/>
          <w:color w:val="000000"/>
          <w:sz w:val="21"/>
        </w:rPr>
        <w:t>2. Objetivo, pregunta y estimando</w:t>
      </w:r>
    </w:p>
    <w:p>
      <w:pPr>
        <w:spacing w:after="100" w:line="259" w:lineRule="auto"/>
      </w:pPr>
      <w:r>
        <w:t>Pregunta: ¿cómo se transmite FX desde precio de importación a CPI y cuándo se concentra en bienes/zonas fronterizas? Estimandos: pass-through por producto-origen/etapa; diferencial border-interior por gap relativo. Mecanismos: moneda dominante, inventarios, márgenes y arbitrage. Evidencia: forma reducida; causal de arbitrage necesita concentración geográfica/producto.</w:t>
      </w:r>
    </w:p>
    <w:p>
      <w:pPr>
        <w:spacing w:before="140" w:after="40"/>
      </w:pPr>
      <w:r>
        <w:rPr>
          <w:b/>
          <w:color w:val="000000"/>
          <w:sz w:val="21"/>
        </w:rPr>
        <w:t>3. Ejercicios empíricos posibles</w:t>
      </w:r>
    </w:p>
    <w:p>
      <w:pPr>
        <w:spacing w:after="100" w:line="259" w:lineRule="auto"/>
      </w:pPr>
      <w:r>
        <w:t>Inicial: panel producto-origen de unit values y CPI detallado; comparar dólar/bilateral. Intermedio: lags/LP con pesos de comercio y flujos de frontera. Frontera: customs invoice currency, importador, microprecios outlet, precios vecinos y cruces. Unidad producto-origen-mes y ítem-outlet-mes.</w:t>
      </w:r>
    </w:p>
    <w:p>
      <w:pPr>
        <w:spacing w:before="140" w:after="40"/>
      </w:pPr>
      <w:r>
        <w:rPr>
          <w:b/>
          <w:color w:val="000000"/>
          <w:sz w:val="21"/>
        </w:rPr>
        <w:t>4. Escalera de datos</w:t>
      </w:r>
    </w:p>
    <w:p>
      <w:pPr>
        <w:spacing w:after="100" w:line="259" w:lineRule="auto"/>
      </w:pPr>
      <w:r>
        <w:t>Mínimamente necesario: import prices/CPI por producto y tipos de cambio. Suficiente: unit values, quantities, bilateral/dólar, CPI tradable y comercio/reexport. Ideal: transacciones aduaneras, importador, currency, precios regionales/border flows y dimensión CPI regional. Óptimo: microprecios comparables, stock/inventario, márgenes y vendedor. Metadatos: HS-CPC-COICOP concordances, moneda de factura, calidad/unit value, ubicación outlet, tipo de cambio paralelo y revisiones.</w:t>
      </w:r>
    </w:p>
    <w:p>
      <w:pPr>
        <w:spacing w:before="140" w:after="40"/>
      </w:pPr>
      <w:r>
        <w:rPr>
          <w:b/>
          <w:color w:val="000000"/>
          <w:sz w:val="21"/>
        </w:rPr>
        <w:t>5. Amenazas y requisitos de credibilidad</w:t>
      </w:r>
    </w:p>
    <w:p>
      <w:pPr>
        <w:spacing w:after="100" w:line="259" w:lineRule="auto"/>
      </w:pPr>
      <w:r>
        <w:t>Unit values mezclan precio/calidad; colinealidad de FX y confusión con inflación regional. Exigir productos emparejados, composición, benchmarks, predefinir umbrales con datos de flujos y border/interior placebos. Sin concentración, renombrar como pass-through regional.</w:t>
      </w:r>
    </w:p>
    <w:p>
      <w:pPr>
        <w:spacing w:before="140" w:after="40"/>
      </w:pPr>
      <w:r>
        <w:rPr>
          <w:b/>
          <w:color w:val="000000"/>
          <w:sz w:val="21"/>
        </w:rPr>
        <w:t>6. Ruta de crecimiento</w:t>
      </w:r>
    </w:p>
    <w:p>
      <w:pPr>
        <w:spacing w:after="100" w:line="259" w:lineRule="auto"/>
      </w:pPr>
      <w:r>
        <w:t>Construir concordancias y archivo de precios antes de regresiones. Este activo sirve D4, N9 y N11; promover el subproyecto frontera sólo con validación espacial.</w:t>
      </w:r>
    </w:p>
    <w:p>
      <w:pPr>
        <w:pStyle w:val="Heading2"/>
        <w:keepNext/>
        <w:spacing w:before="280"/>
      </w:pPr>
      <w:r>
        <w:rPr>
          <w:color w:val="000000"/>
        </w:rPr>
        <w:t>F3  Río, logística, hidroelectricidad y transmisión real</w:t>
      </w:r>
    </w:p>
    <w:p>
      <w:pPr>
        <w:spacing w:after="100" w:line="259" w:lineRule="auto"/>
      </w:pPr>
      <w:r>
        <w:rPr>
          <w:b/>
        </w:rPr>
        <w:t>Clasificación de factibilidad:</w:t>
      </w:r>
      <w:r>
        <w:t xml:space="preserve"> Requiere datos que probablemente deban construirse; debe separar logística de energía/fiscalidad.</w:t>
      </w:r>
    </w:p>
    <w:p>
      <w:pPr>
        <w:spacing w:before="140" w:after="40"/>
      </w:pPr>
      <w:r>
        <w:rPr>
          <w:b/>
          <w:color w:val="000000"/>
          <w:sz w:val="21"/>
        </w:rPr>
        <w:t>1. Motivación y contribución potencial</w:t>
      </w:r>
    </w:p>
    <w:p>
      <w:pPr>
        <w:spacing w:after="100" w:line="259" w:lineRule="auto"/>
      </w:pPr>
      <w:r>
        <w:t>Problema: hidrología afecta navegación y generación, con canales y timing distintos. Una única regresión de nivel de río sobre inflación no los identifica.</w:t>
      </w:r>
    </w:p>
    <w:p>
      <w:pPr>
        <w:spacing w:before="140" w:after="40"/>
      </w:pPr>
      <w:r>
        <w:rPr>
          <w:b/>
          <w:color w:val="000000"/>
          <w:sz w:val="21"/>
        </w:rPr>
        <w:t>2. Objetivo, pregunta y estimando</w:t>
      </w:r>
    </w:p>
    <w:p>
      <w:pPr>
        <w:spacing w:after="100" w:line="259" w:lineRule="auto"/>
      </w:pPr>
      <w:r>
        <w:t>Pregunta: ¿qué efecto tienen restricciones de navegación sobre transporte/comercio/precios y qué efecto separado tiene generación hidroeléctrica sobre exportaciones/recursos? Estimandos: respuesta por exposición predeterminada a restricción; respuesta de generación/settlement. Mecanismos: capacidad logística y energía. Evidencia: forma reducida; causal plausible sólo por cadena física y exclusión defendida.</w:t>
      </w:r>
    </w:p>
    <w:p>
      <w:pPr>
        <w:spacing w:before="140" w:after="40"/>
      </w:pPr>
      <w:r>
        <w:rPr>
          <w:b/>
          <w:color w:val="000000"/>
          <w:sz w:val="21"/>
        </w:rPr>
        <w:t>3. Ejercicios empíricos posibles</w:t>
      </w:r>
    </w:p>
    <w:p>
      <w:pPr>
        <w:spacing w:after="100" w:line="259" w:lineRule="auto"/>
      </w:pPr>
      <w:r>
        <w:t>Inicial: cronología de gauges, restricciones y narrativa de episodios. Intermedio: LP/event studies producto-puerto con shift-share de exposición pre-evento. Frontera: AIS, manifests, contratos de flete, firmas, inventarios y créditos; módulo energético separado. Unidad día/semana y producto-puerto-mes.</w:t>
      </w:r>
    </w:p>
    <w:p>
      <w:pPr>
        <w:spacing w:before="140" w:after="40"/>
      </w:pPr>
      <w:r>
        <w:rPr>
          <w:b/>
          <w:color w:val="000000"/>
          <w:sz w:val="21"/>
        </w:rPr>
        <w:t>4. Escalera de datos</w:t>
      </w:r>
    </w:p>
    <w:p>
      <w:pPr>
        <w:spacing w:after="100" w:line="259" w:lineRule="auto"/>
      </w:pPr>
      <w:r>
        <w:t>Mínimamente necesario: nivel río, comercio agregado, flete proxy y CPI. Suficiente: restricciones fechadas, comercio producto-puerto, precios y actividad. Ideal: throughput/tiempo de envío, customs firma-producto, crédito, generación/exportación/receipts. Óptimo: AIS, manifests, draft limits, fletes, inventories, invoices y settlement binacional. Metadatos: gauge/location, regla de restricción, puerto/ruta, fecha de anuncio y definición de generación/royalty.</w:t>
      </w:r>
    </w:p>
    <w:p>
      <w:pPr>
        <w:spacing w:before="140" w:after="40"/>
      </w:pPr>
      <w:r>
        <w:rPr>
          <w:b/>
          <w:color w:val="000000"/>
          <w:sz w:val="21"/>
        </w:rPr>
        <w:t>5. Amenazas y requisitos de credibilidad</w:t>
      </w:r>
    </w:p>
    <w:p>
      <w:pPr>
        <w:spacing w:after="100" w:line="259" w:lineRule="auto"/>
      </w:pPr>
      <w:r>
        <w:t>El clima afecta agricultura directamente, invalidando río como instrumento genérico. Exigir cadena water-restriction-shipping-outcome, tests en productos no ribereños, control estacional y módulos separados. Resultado sin pass-through pero con demora de envío es económicamente útil.</w:t>
      </w:r>
    </w:p>
    <w:p>
      <w:pPr>
        <w:spacing w:before="140" w:after="40"/>
      </w:pPr>
      <w:r>
        <w:rPr>
          <w:b/>
          <w:color w:val="000000"/>
          <w:sz w:val="21"/>
        </w:rPr>
        <w:t>6. Ruta de crecimiento</w:t>
      </w:r>
    </w:p>
    <w:p>
      <w:pPr>
        <w:spacing w:after="100" w:line="259" w:lineRule="auto"/>
      </w:pPr>
      <w:r>
        <w:t>Primero construir panel físico y definir exposiciones antes del evento. Los datos de río/navegación sirven D1-D4 y forecasting.</w:t>
      </w:r>
    </w:p>
    <w:p>
      <w:pPr>
        <w:pStyle w:val="Heading2"/>
        <w:keepNext/>
        <w:spacing w:before="280"/>
      </w:pPr>
      <w:r>
        <w:rPr>
          <w:color w:val="000000"/>
        </w:rPr>
        <w:t>F4  Pagos instantáneos, competencia y movilidad de depósitos</w:t>
      </w:r>
    </w:p>
    <w:p>
      <w:pPr>
        <w:spacing w:after="100" w:line="259" w:lineRule="auto"/>
      </w:pPr>
      <w:r>
        <w:rPr>
          <w:b/>
        </w:rPr>
        <w:t>Clasificación de factibilidad:</w:t>
      </w:r>
      <w:r>
        <w:t xml:space="preserve"> Depende de microdatos o variación institucional; debe permanecer como piloto de monitoreo.</w:t>
      </w:r>
    </w:p>
    <w:p>
      <w:pPr>
        <w:spacing w:before="140" w:after="40"/>
      </w:pPr>
      <w:r>
        <w:rPr>
          <w:b/>
          <w:color w:val="000000"/>
          <w:sz w:val="21"/>
        </w:rPr>
        <w:t>1. Motivación y contribución potencial</w:t>
      </w:r>
    </w:p>
    <w:p>
      <w:pPr>
        <w:spacing w:after="100" w:line="259" w:lineRule="auto"/>
      </w:pPr>
      <w:r>
        <w:t>Problema: volumen agregado SPI no muestra adopción, movilidad ni externalidades de red. La posible eficiencia y riesgo de salidas rápidas requieren los mismos datos granulares.</w:t>
      </w:r>
    </w:p>
    <w:p>
      <w:pPr>
        <w:spacing w:before="140" w:after="40"/>
      </w:pPr>
      <w:r>
        <w:rPr>
          <w:b/>
          <w:color w:val="000000"/>
          <w:sz w:val="21"/>
        </w:rPr>
        <w:t>2. Objetivo, pregunta y estimando</w:t>
      </w:r>
    </w:p>
    <w:p>
      <w:pPr>
        <w:spacing w:after="100" w:line="259" w:lineRule="auto"/>
      </w:pPr>
      <w:r>
        <w:t>Pregunta: ¿la adopción/participación de SPI altera uso de efectivo, movilidad de depósitos, competencia e intradía de reservas? Estimandos: efecto de acceso/adopción sobre outcomes por cliente/entidad; no inferir estrés desde crecimiento normal. Mecanismo: menor costo de transferir y externalidades. Evidencia: descriptiva con agregados; causal con rollout exógeno.</w:t>
      </w:r>
    </w:p>
    <w:p>
      <w:pPr>
        <w:spacing w:before="140" w:after="40"/>
      </w:pPr>
      <w:r>
        <w:rPr>
          <w:b/>
          <w:color w:val="000000"/>
          <w:sz w:val="21"/>
        </w:rPr>
        <w:t>3. Ejercicios empíricos posibles</w:t>
      </w:r>
    </w:p>
    <w:p>
      <w:pPr>
        <w:spacing w:after="100" w:line="259" w:lineRule="auto"/>
      </w:pPr>
      <w:r>
        <w:t>Inicial: tablero institución-día, participación y fechas de cambios. Intermedio: DiD/event study de entrada, horas, límites o QR con verificación de timing. Frontera: panel cliente/merchant, transacciones, balances y reservas intradía. Unidad entidad-día; cliente/merchant-día.</w:t>
      </w:r>
    </w:p>
    <w:p>
      <w:pPr>
        <w:spacing w:before="140" w:after="40"/>
      </w:pPr>
      <w:r>
        <w:rPr>
          <w:b/>
          <w:color w:val="000000"/>
          <w:sz w:val="21"/>
        </w:rPr>
        <w:t>4. Escalera de datos</w:t>
      </w:r>
    </w:p>
    <w:p>
      <w:pPr>
        <w:spacing w:after="100" w:line="259" w:lineRule="auto"/>
      </w:pPr>
      <w:r>
        <w:t>Mínimamente necesario: volúmenes SPI y hitos, sólo monitoreo. Suficiente: entidad-día, otras rails, efectivo, depósitos y liquidez. Ideal: adopción cliente/merchant, pricing, ubicación y balances. Óptimo: sender-receiver anonimizado, tiempo, account balances, cash withdrawal, crédito y reservas. Metadatos: participación, límites, reglas/horarios, reversos, identificadores estables y cambios de pricing.</w:t>
      </w:r>
    </w:p>
    <w:p>
      <w:pPr>
        <w:spacing w:before="140" w:after="40"/>
      </w:pPr>
      <w:r>
        <w:rPr>
          <w:b/>
          <w:color w:val="000000"/>
          <w:sz w:val="21"/>
        </w:rPr>
        <w:t>5. Amenazas y requisitos de credibilidad</w:t>
      </w:r>
    </w:p>
    <w:p>
      <w:pPr>
        <w:spacing w:after="100" w:line="259" w:lineRule="auto"/>
      </w:pPr>
      <w:r>
        <w:t>Entrada selectiva, efectos de red/reflexión y confusión marketing-tendencia. Exigir pre-trends, cohortes verificadas, red predeterminada, outcomes placebo y eventos de estrés específicos. Nulo de movilidad con más pagos evita confundir uso con competencia.</w:t>
      </w:r>
    </w:p>
    <w:p>
      <w:pPr>
        <w:spacing w:before="140" w:after="40"/>
      </w:pPr>
      <w:r>
        <w:rPr>
          <w:b/>
          <w:color w:val="000000"/>
          <w:sz w:val="21"/>
        </w:rPr>
        <w:t>6. Ruta de crecimiento</w:t>
      </w:r>
    </w:p>
    <w:p>
      <w:pPr>
        <w:spacing w:after="100" w:line="259" w:lineRule="auto"/>
      </w:pPr>
      <w:r>
        <w:t>Empezar como data/measurement pilot; comparte activos con A1 y C2. No prometer artículo sin microadopción o rollout defendible.</w:t>
      </w:r>
    </w:p>
    <w:p>
      <w:pPr>
        <w:pStyle w:val="Heading2"/>
        <w:keepNext/>
        <w:spacing w:before="280"/>
      </w:pPr>
      <w:r>
        <w:rPr>
          <w:color w:val="000000"/>
        </w:rPr>
        <w:t>F5  Inflación desigual y comunicación experimental</w:t>
      </w:r>
    </w:p>
    <w:p>
      <w:pPr>
        <w:spacing w:after="100" w:line="259" w:lineRule="auto"/>
      </w:pPr>
      <w:r>
        <w:rPr>
          <w:b/>
        </w:rPr>
        <w:t>Clasificación de factibilidad:</w:t>
      </w:r>
      <w:r>
        <w:t xml:space="preserve"> N9 está listo como ejercicio descriptivo; N10 depende de diseño prospectivo y debe tratarse como experimento separado.</w:t>
      </w:r>
    </w:p>
    <w:p>
      <w:pPr>
        <w:spacing w:before="140" w:after="40"/>
      </w:pPr>
      <w:r>
        <w:rPr>
          <w:b/>
          <w:color w:val="000000"/>
          <w:sz w:val="21"/>
        </w:rPr>
        <w:t>1. Motivación y contribución potencial</w:t>
      </w:r>
    </w:p>
    <w:p>
      <w:pPr>
        <w:spacing w:after="100" w:line="259" w:lineRule="auto"/>
      </w:pPr>
      <w:r>
        <w:t>Problema: inflación promedio no representa cestas ni capacidad de sustitución de hogares; mensajes de banco central pueden cambiar creencias pero no necesariamente conducta. Son dos preguntas de bienestar/comunicación, no un mismo experimento.</w:t>
      </w:r>
    </w:p>
    <w:p>
      <w:pPr>
        <w:spacing w:before="140" w:after="40"/>
      </w:pPr>
      <w:r>
        <w:rPr>
          <w:b/>
          <w:color w:val="000000"/>
          <w:sz w:val="21"/>
        </w:rPr>
        <w:t>2. Objetivo, pregunta y estimando</w:t>
      </w:r>
    </w:p>
    <w:p>
      <w:pPr>
        <w:spacing w:after="100" w:line="259" w:lineRule="auto"/>
      </w:pPr>
      <w:r>
        <w:t>Pregunta: ¿cuáles grupos enfrentan distinta inflación y por qué? ¿qué mensaje cambia expectativas y decisiones declaradas? Estimandos: índice/grupo y descomposición de brecha; ITT de tratamiento informativo. Mecanismos: exposición/cesta y actualización de creencias. Evidencia: descriptiva/predictiva para N9; causal de creencias en N10, no necesariamente de conducta real.</w:t>
      </w:r>
    </w:p>
    <w:p>
      <w:pPr>
        <w:spacing w:before="140" w:after="40"/>
      </w:pPr>
      <w:r>
        <w:rPr>
          <w:b/>
          <w:color w:val="000000"/>
          <w:sz w:val="21"/>
        </w:rPr>
        <w:t>3. Ejercicios empíricos posibles</w:t>
      </w:r>
    </w:p>
    <w:p>
      <w:pPr>
        <w:spacing w:after="100" w:line="259" w:lineRule="auto"/>
      </w:pPr>
      <w:r>
        <w:t>Inicial: índices Laspeyres por grupos con pesos de encuesta; módulo aleatorio pre/post expectativas. Intermedio: CPI microprice y follow-up experimental. Frontera: scanner/transacciones y link a outcomes administrativos. Unidad grupo-mes; respondente-onda.</w:t>
      </w:r>
    </w:p>
    <w:p>
      <w:pPr>
        <w:spacing w:before="140" w:after="40"/>
      </w:pPr>
      <w:r>
        <w:rPr>
          <w:b/>
          <w:color w:val="000000"/>
          <w:sz w:val="21"/>
        </w:rPr>
        <w:t>4. Escalera de datos</w:t>
      </w:r>
    </w:p>
    <w:p>
      <w:pPr>
        <w:spacing w:after="100" w:line="259" w:lineRule="auto"/>
      </w:pPr>
      <w:r>
        <w:t>Mínimamente necesario: CPI amplio y pesos por grupo; para experimento, aleatorización y beliefs pre/post. Suficiente: CPI detallado/encuesta de gasto y encuesta aleatoria. Ideal: microprecios/outlet + panel respondents y follow-up. Óptimo: scanner household, consumo/ingreso y outcomes administrativos consentidos. Metadatos: pesos de encuesta, canasta/base, imputaciones/missing prices; protocolo de randomización, attrition, cuestionario y consentimientos.</w:t>
      </w:r>
    </w:p>
    <w:p>
      <w:pPr>
        <w:spacing w:before="140" w:after="40"/>
      </w:pPr>
      <w:r>
        <w:rPr>
          <w:b/>
          <w:color w:val="000000"/>
          <w:sz w:val="21"/>
        </w:rPr>
        <w:t>5. Amenazas y requisitos de credibilidad</w:t>
      </w:r>
    </w:p>
    <w:p>
      <w:pPr>
        <w:spacing w:after="100" w:line="259" w:lineRule="auto"/>
      </w:pPr>
      <w:r>
        <w:t>Canastas desactualizadas y sustitución no observada; en experimento, múltiples outcomes, demanda del experimentador y attrition. Exigir sensibilidad de índices, descomposición explícita, preregistro, ITT, ajuste múltiple y réplica. Un efecto en creencias sin conducta debe reportarse como tal.</w:t>
      </w:r>
    </w:p>
    <w:p>
      <w:pPr>
        <w:spacing w:before="140" w:after="40"/>
      </w:pPr>
      <w:r>
        <w:rPr>
          <w:b/>
          <w:color w:val="000000"/>
          <w:sz w:val="21"/>
        </w:rPr>
        <w:t>6. Ruta de crecimiento</w:t>
      </w:r>
    </w:p>
    <w:p>
      <w:pPr>
        <w:spacing w:after="100" w:line="259" w:lineRule="auto"/>
      </w:pPr>
      <w:r>
        <w:t>Primero crear medidas de inflación por grupos. Diseñar N10 sólo después de elegir audiencia, outcome primario y seguimiento; no usar EVE pequeño para afirmar conducta de hogares.</w:t>
      </w:r>
    </w:p>
    <w:p>
      <w:pPr>
        <w:pStyle w:val="Heading2"/>
        <w:keepNext/>
        <w:spacing w:before="280"/>
      </w:pPr>
      <w:r>
        <w:rPr>
          <w:color w:val="000000"/>
        </w:rPr>
        <w:t xml:space="preserve">F6  Shocks cambiarios de Argentina y economía fronteriza (nueva)</w:t>
      </w:r>
    </w:p>
    <w:p>
      <w:pPr>
        <w:spacing w:after="100" w:line="259" w:lineRule="auto"/>
      </w:pPr>
      <w:r>
        <w:rPr>
          <w:b/>
        </w:rPr>
        <w:t xml:space="preserve">Clasificación de factibilidad:</w:t>
      </w:r>
      <w:r>
        <w:t xml:space="preserve"> Listo para ser diseñado como estudio de eventos agregado; el mecanismo geográfico requiere precios regionales.</w:t>
      </w:r>
    </w:p>
    <w:p>
      <w:pPr>
        <w:spacing w:before="140" w:after="40"/>
      </w:pPr>
      <w:r>
        <w:rPr>
          <w:b/>
          <w:color w:val="000000"/>
          <w:sz w:val="21"/>
        </w:rPr>
        <w:t>1. Motivación y contribución potencial</w:t>
      </w:r>
    </w:p>
    <w:p>
      <w:pPr>
        <w:spacing w:after="100" w:line="259" w:lineRule="auto"/>
      </w:pPr>
      <w:r>
        <w:t xml:space="preserve">Problema: F2 no puede identificar el arbitraje fronterizo con agregados. Las devaluaciones y controles cambiarios argentinos son shocks grandes, fechados y externos, un experimento natural para el canal fronterizo.</w:t>
      </w:r>
    </w:p>
    <w:p>
      <w:pPr>
        <w:spacing w:before="140" w:after="40"/>
      </w:pPr>
      <w:r>
        <w:rPr>
          <w:b/>
          <w:color w:val="000000"/>
          <w:sz w:val="21"/>
        </w:rPr>
        <w:t>2. Objetivo, pregunta y estimando</w:t>
      </w:r>
    </w:p>
    <w:p>
      <w:pPr>
        <w:spacing w:after="100" w:line="259" w:lineRule="auto"/>
      </w:pPr>
      <w:r>
        <w:t xml:space="preserve">Pregunta: ¿cómo afectan los saltos del peso al comercio bilateral, la reexportación bajo régimen de turismo, los precios transables y las remesas? Estimando: respuestas acumuladas por episodio frente a placebos (Brasil, no transables). Mecanismo: arbitraje de precios y demanda de no residentes. Evidencia: forma reducida con shocks externos.</w:t>
      </w:r>
    </w:p>
    <w:p>
      <w:pPr>
        <w:spacing w:before="140" w:after="40"/>
      </w:pPr>
      <w:r>
        <w:rPr>
          <w:b/>
          <w:color w:val="000000"/>
          <w:sz w:val="21"/>
        </w:rPr>
        <w:t>3. Ejercicios empíricos posibles</w:t>
      </w:r>
    </w:p>
    <w:p>
      <w:pPr>
        <w:spacing w:after="100" w:line="259" w:lineRule="auto"/>
      </w:pPr>
      <w:r>
        <w:t xml:space="preserve">Inicial: cronología de episodios (oficial y paralelo) y estudio de eventos mensual. Intermedio: dosis-respuesta con Δ ARS/USD; heterogeneidad cepo vs. liberalización. Frontera: IPC por ciudad y aduanas por producto. Horizonte −6 a +12 meses.</w:t>
      </w:r>
    </w:p>
    <w:p>
      <w:pPr>
        <w:spacing w:before="140" w:after="40"/>
      </w:pPr>
      <w:r>
        <w:rPr>
          <w:b/>
          <w:color w:val="000000"/>
          <w:sz w:val="21"/>
        </w:rPr>
        <w:t>4. Escalera de datos</w:t>
      </w:r>
    </w:p>
    <w:p>
      <w:pPr>
        <w:spacing w:after="100" w:line="259" w:lineRule="auto"/>
      </w:pPr>
      <w:r>
        <w:t xml:space="preserve">Mínimamente necesario: fechas de eventos, PYG/ARS, comercio con Argentina y Brasil. Suficiente: régimen de turismo, IPC por componentes, remesas por origen. Ideal: tipo de cambio paralelo, IPC regional. Óptimo: aduanas y cruces fronterizos. Metadatos: gap oficial-paralelo, fechas de medidas del BCRA.</w:t>
      </w:r>
    </w:p>
    <w:p>
      <w:pPr>
        <w:spacing w:before="140" w:after="40"/>
      </w:pPr>
      <w:r>
        <w:rPr>
          <w:b/>
          <w:color w:val="000000"/>
          <w:sz w:val="21"/>
        </w:rPr>
        <w:t>5. Amenazas y requisitos de credibilidad</w:t>
      </w:r>
    </w:p>
    <w:p>
      <w:pPr>
        <w:spacing w:after="100" w:line="259" w:lineRule="auto"/>
      </w:pPr>
      <w:r>
        <w:t xml:space="preserve">Shocks regionales simultáneos (Brasil, commodities). Exigir placebos, controles regionales, episodios omitidos uno a uno. Sin concentración en bienes fronterizos, renombrar como pass-through regional.</w:t>
      </w:r>
    </w:p>
    <w:p>
      <w:pPr>
        <w:spacing w:before="140" w:after="40"/>
      </w:pPr>
      <w:r>
        <w:rPr>
          <w:b/>
          <w:color w:val="000000"/>
          <w:sz w:val="21"/>
        </w:rPr>
        <w:t>6. Ruta de crecimiento</w:t>
      </w:r>
    </w:p>
    <w:p>
      <w:pPr>
        <w:spacing w:after="100" w:line="259" w:lineRule="auto"/>
      </w:pPr>
      <w:r>
        <w:t xml:space="preserve">Alimenta F2 y G5; requiere IPC regional para el mecanismo geográfico.</w:t>
      </w:r>
    </w:p>
    <w:p>
      <w:pPr>
        <w:spacing w:after="100" w:line="259" w:lineRule="auto"/>
      </w:pPr>
      <w:r>
        <w:rPr>
          <w:b/>
        </w:rPr>
        <w:t xml:space="preserve">Datos y viabilidad (septiembre 2026):</w:t>
      </w:r>
      <w:r>
        <w:t xml:space="preserve"> Media-alta. 15 meses con devaluación oficial &gt; 10% (2002–2024); comercio bilateral, régimen de turismo, precios y remesas disponibles. Carpeta de trabajo: proyectos/26_n5_shocks_argentina.</w:t>
      </w:r>
    </w:p>
    <w:p>
      <w:pPr>
        <w:pStyle w:val="Heading2"/>
        <w:keepNext/>
        <w:spacing w:before="280"/>
      </w:pPr>
      <w:r>
        <w:rPr>
          <w:color w:val="000000"/>
        </w:rPr>
        <w:t xml:space="preserve">F7  SPI y demanda de efectivo (nueva)</w:t>
      </w:r>
    </w:p>
    <w:p>
      <w:pPr>
        <w:spacing w:after="100" w:line="259" w:lineRule="auto"/>
      </w:pPr>
      <w:r>
        <w:rPr>
          <w:b/>
        </w:rPr>
        <w:t xml:space="preserve">Clasificación de factibilidad:</w:t>
      </w:r>
      <w:r>
        <w:t xml:space="preserve"> Piloto descriptivo; no hay variación para causalidad con los datos actuales.</w:t>
      </w:r>
    </w:p>
    <w:p>
      <w:pPr>
        <w:spacing w:before="140" w:after="40"/>
      </w:pPr>
      <w:r>
        <w:rPr>
          <w:b/>
          <w:color w:val="000000"/>
          <w:sz w:val="21"/>
        </w:rPr>
        <w:t>1. Motivación y contribución potencial</w:t>
      </w:r>
    </w:p>
    <w:p>
      <w:pPr>
        <w:spacing w:after="100" w:line="259" w:lineRule="auto"/>
      </w:pPr>
      <w:r>
        <w:t xml:space="preserve">Problema: el SPI puede sustituir efectivo, cheques y ACH, con implicancias para la demanda de dinero y la transmisión. Medirlo complementa el tablero de F4.</w:t>
      </w:r>
    </w:p>
    <w:p>
      <w:pPr>
        <w:spacing w:before="140" w:after="40"/>
      </w:pPr>
      <w:r>
        <w:rPr>
          <w:b/>
          <w:color w:val="000000"/>
          <w:sz w:val="21"/>
        </w:rPr>
        <w:t>2. Objetivo, pregunta y estimando</w:t>
      </w:r>
    </w:p>
    <w:p>
      <w:pPr>
        <w:spacing w:after="100" w:line="259" w:lineRule="auto"/>
      </w:pPr>
      <w:r>
        <w:t xml:space="preserve">Pregunta: ¿cuánto sustituyó el SPI a otros medios de pago y al efectivo? Estimando: quiebre en tendencias y participaciones tras 2022-05 y tras cada hito. Mecanismo: menor costo de transferir. Evidencia: descriptiva.</w:t>
      </w:r>
    </w:p>
    <w:p>
      <w:pPr>
        <w:spacing w:before="140" w:after="40"/>
      </w:pPr>
      <w:r>
        <w:rPr>
          <w:b/>
          <w:color w:val="000000"/>
          <w:sz w:val="21"/>
        </w:rPr>
        <w:t>3. Ejercicios empíricos posibles</w:t>
      </w:r>
    </w:p>
    <w:p>
      <w:pPr>
        <w:spacing w:after="100" w:line="259" w:lineRule="auto"/>
      </w:pPr>
      <w:r>
        <w:t xml:space="preserve">Inicial: participaciones por riel y demanda de efectivo proyectada fuera de muestra. Intermedio: hitos múltiples (QR, alias, iniciadores). Frontera: adopción por entidad y cliente. Horizonte mensual.</w:t>
      </w:r>
    </w:p>
    <w:p>
      <w:pPr>
        <w:spacing w:before="140" w:after="40"/>
      </w:pPr>
      <w:r>
        <w:rPr>
          <w:b/>
          <w:color w:val="000000"/>
          <w:sz w:val="21"/>
        </w:rPr>
        <w:t>4. Escalera de datos</w:t>
      </w:r>
    </w:p>
    <w:p>
      <w:pPr>
        <w:spacing w:after="100" w:line="259" w:lineRule="auto"/>
      </w:pPr>
      <w:r>
        <w:t xml:space="preserve">Mínimamente necesario: volúmenes por riel y M0. Suficiente: hitos fechados y datos por entidad. Ideal: entidad-día. Óptimo: cliente-día. Metadatos: límites, horarios y precios.</w:t>
      </w:r>
    </w:p>
    <w:p>
      <w:pPr>
        <w:spacing w:before="140" w:after="40"/>
      </w:pPr>
      <w:r>
        <w:rPr>
          <w:b/>
          <w:color w:val="000000"/>
          <w:sz w:val="21"/>
        </w:rPr>
        <w:t>5. Amenazas y requisitos de credibilidad</w:t>
      </w:r>
    </w:p>
    <w:p>
      <w:pPr>
        <w:spacing w:after="100" w:line="259" w:lineRule="auto"/>
      </w:pPr>
      <w:r>
        <w:t xml:space="preserve">Una sola fecha nacional, coincidente con el ciclo de 2022. Exigir contrafactual con controles y bandas; no afirmar causalidad.</w:t>
      </w:r>
    </w:p>
    <w:p>
      <w:pPr>
        <w:spacing w:before="140" w:after="40"/>
      </w:pPr>
      <w:r>
        <w:rPr>
          <w:b/>
          <w:color w:val="000000"/>
          <w:sz w:val="21"/>
        </w:rPr>
        <w:t>6. Ruta de crecimiento</w:t>
      </w:r>
    </w:p>
    <w:p>
      <w:pPr>
        <w:spacing w:after="100" w:line="259" w:lineRule="auto"/>
      </w:pPr>
      <w:r>
        <w:t xml:space="preserve">Integrar a F4 como módulo si no aparece variación entre entidades.</w:t>
      </w:r>
    </w:p>
    <w:p>
      <w:pPr>
        <w:spacing w:after="100" w:line="259" w:lineRule="auto"/>
      </w:pPr>
      <w:r>
        <w:rPr>
          <w:b/>
        </w:rPr>
        <w:t xml:space="preserve">Datos y viabilidad (septiembre 2026):</w:t>
      </w:r>
      <w:r>
        <w:t xml:space="preserve"> Media (descriptivo) / baja (causal). SPI desde 2022-05; todos los rieles desde 2013. Carpeta de trabajo: proyectos/30_n9_spi_efectivo.</w:t>
      </w:r>
    </w:p>
    <w:p>
      <w:pPr>
        <w:pStyle w:val="Heading2"/>
        <w:keepNext/>
        <w:spacing w:before="280"/>
      </w:pPr>
      <w:r>
        <w:rPr>
          <w:color w:val="000000"/>
        </w:rPr>
        <w:t xml:space="preserve">G1  Política fiscal: ciclicidad, estabilizadores y multiplicadores (nueva)</w:t>
      </w:r>
    </w:p>
    <w:p>
      <w:pPr>
        <w:spacing w:after="100" w:line="259" w:lineRule="auto"/>
      </w:pPr>
      <w:r>
        <w:rPr>
          <w:b/>
        </w:rPr>
        <w:t xml:space="preserve">Clasificación de factibilidad:</w:t>
      </w:r>
      <w:r>
        <w:t xml:space="preserve"> Listo para ser diseñado empíricamente; la identificación con ingresos binacionales requiere defender su exogeneidad.</w:t>
      </w:r>
    </w:p>
    <w:p>
      <w:pPr>
        <w:spacing w:before="140" w:after="40"/>
      </w:pPr>
      <w:r>
        <w:rPr>
          <w:b/>
          <w:color w:val="000000"/>
          <w:sz w:val="21"/>
        </w:rPr>
        <w:t>1. Motivación y contribución potencial</w:t>
      </w:r>
    </w:p>
    <w:p>
      <w:pPr>
        <w:spacing w:after="100" w:line="259" w:lineRule="auto"/>
      </w:pPr>
      <w:r>
        <w:t xml:space="preserve">Problema: la agenda no cubre la política fiscal, que opera bajo una regla de déficit con suspensiones. La base tiene 23 años de datos fiscales mensuales y las regalías de Itaipú y Yacyretá son un ingreso poco ligado al ciclo doméstico.</w:t>
      </w:r>
    </w:p>
    <w:p>
      <w:pPr>
        <w:spacing w:before="140" w:after="40"/>
      </w:pPr>
      <w:r>
        <w:rPr>
          <w:b/>
          <w:color w:val="000000"/>
          <w:sz w:val="21"/>
        </w:rPr>
        <w:t>2. Objetivo, pregunta y estimando</w:t>
      </w:r>
    </w:p>
    <w:p>
      <w:pPr>
        <w:spacing w:after="100" w:line="259" w:lineRule="auto"/>
      </w:pPr>
      <w:r>
        <w:t xml:space="preserve">Pregunta: ¿es el gasto procíclico, cambia con la regla y cuál es el multiplicador? Estimandos: elasticidad del gasto al ciclo; multiplicador acumulado por tipo de gasto; respuesta a ingresos binacionales. Mecanismo: estabilizadores y demanda. Evidencia: forma reducida; causal con supuestos de rezago o ingresos externos.</w:t>
      </w:r>
    </w:p>
    <w:p>
      <w:pPr>
        <w:spacing w:before="140" w:after="40"/>
      </w:pPr>
      <w:r>
        <w:rPr>
          <w:b/>
          <w:color w:val="000000"/>
          <w:sz w:val="21"/>
        </w:rPr>
        <w:t>3. Ejercicios empíricos posibles</w:t>
      </w:r>
    </w:p>
    <w:p>
      <w:pPr>
        <w:spacing w:after="100" w:line="259" w:lineRule="auto"/>
      </w:pPr>
      <w:r>
        <w:t xml:space="preserve">Inicial: hechos estilizados y ciclicidad con brecha del IMAEP sin agro ni binacionales. Intermedio: LP mensuales con shocks de gasto (Blanchard-Perotti) e instrumentos binacionales. Frontera: presupuesto vs. ejecución y SPNF consolidado. Horizonte 0 a 24 meses.</w:t>
      </w:r>
    </w:p>
    <w:p>
      <w:pPr>
        <w:spacing w:before="140" w:after="40"/>
      </w:pPr>
      <w:r>
        <w:rPr>
          <w:b/>
          <w:color w:val="000000"/>
          <w:sz w:val="21"/>
        </w:rPr>
        <w:t>4. Escalera de datos</w:t>
      </w:r>
    </w:p>
    <w:p>
      <w:pPr>
        <w:spacing w:after="100" w:line="259" w:lineRule="auto"/>
      </w:pPr>
      <w:r>
        <w:t xml:space="preserve">Mínimamente necesario: ingresos y gastos mensuales, actividad, precios. Suficiente: binacionales, deuda, cronología de la regla. Ideal: presupuesto aprobado y SPNF. Óptimo: datos por programa y región. Metadatos: cambios de clasificación, suspensiones de la regla.</w:t>
      </w:r>
    </w:p>
    <w:p>
      <w:pPr>
        <w:spacing w:before="140" w:after="40"/>
      </w:pPr>
      <w:r>
        <w:rPr>
          <w:b/>
          <w:color w:val="000000"/>
          <w:sz w:val="21"/>
        </w:rPr>
        <w:t>5. Amenazas y requisitos de credibilidad</w:t>
      </w:r>
    </w:p>
    <w:p>
      <w:pPr>
        <w:spacing w:after="100" w:line="259" w:lineRule="auto"/>
      </w:pPr>
      <w:r>
        <w:t xml:space="preserve">Estacionalidad fuerte; gasto endógeno. Exigir desestacionalización, supuestos explícitos de identificación, robustez sin 2020–2021.</w:t>
      </w:r>
    </w:p>
    <w:p>
      <w:pPr>
        <w:spacing w:before="140" w:after="40"/>
      </w:pPr>
      <w:r>
        <w:rPr>
          <w:b/>
          <w:color w:val="000000"/>
          <w:sz w:val="21"/>
        </w:rPr>
        <w:t>6. Ruta de crecimiento</w:t>
      </w:r>
    </w:p>
    <w:p>
      <w:pPr>
        <w:spacing w:after="100" w:line="259" w:lineRule="auto"/>
      </w:pPr>
      <w:r>
        <w:t xml:space="preserve">Abre un programa fiscal; dialoga con A1 (Tesoro), C3 (deuda) y F3 (energía).</w:t>
      </w:r>
    </w:p>
    <w:p>
      <w:pPr>
        <w:spacing w:after="100" w:line="259" w:lineRule="auto"/>
      </w:pPr>
      <w:r>
        <w:rPr>
          <w:b/>
        </w:rPr>
        <w:t xml:space="preserve">Datos y viabilidad (septiembre 2026):</w:t>
      </w:r>
      <w:r>
        <w:t xml:space="preserve"> Media-alta. Estado de operaciones mensual MEFP 2001 (2003–2026) y binacionales desde 1994. Carpeta de trabajo: proyectos/22_n1_politica_fiscal.</w:t>
      </w:r>
    </w:p>
    <w:p>
      <w:pPr>
        <w:pStyle w:val="Heading2"/>
        <w:keepNext/>
        <w:spacing w:before="280"/>
      </w:pPr>
      <w:r>
        <w:rPr>
          <w:color w:val="000000"/>
        </w:rPr>
        <w:t xml:space="preserve">G2  Mercado laboral, informalidad y ciclo (nueva)</w:t>
      </w:r>
    </w:p>
    <w:p>
      <w:pPr>
        <w:spacing w:after="100" w:line="259" w:lineRule="auto"/>
      </w:pPr>
      <w:r>
        <w:rPr>
          <w:b/>
        </w:rPr>
        <w:t xml:space="preserve">Clasificación de factibilidad:</w:t>
      </w:r>
      <w:r>
        <w:t xml:space="preserve"> Listo para una versión descriptiva; muestra corta.</w:t>
      </w:r>
    </w:p>
    <w:p>
      <w:pPr>
        <w:spacing w:before="140" w:after="40"/>
      </w:pPr>
      <w:r>
        <w:rPr>
          <w:b/>
          <w:color w:val="000000"/>
          <w:sz w:val="21"/>
        </w:rPr>
        <w:t>1. Motivación y contribución potencial</w:t>
      </w:r>
    </w:p>
    <w:p>
      <w:pPr>
        <w:spacing w:after="100" w:line="259" w:lineRule="auto"/>
      </w:pPr>
      <w:r>
        <w:t xml:space="preserve">Problema: con ≈ 60% de informalidad, el ajuste laboral al ciclo se da por composición más que por desempleo, lo que cambia la medida de holgura relevante para la política monetaria.</w:t>
      </w:r>
    </w:p>
    <w:p>
      <w:pPr>
        <w:spacing w:before="140" w:after="40"/>
      </w:pPr>
      <w:r>
        <w:rPr>
          <w:b/>
          <w:color w:val="000000"/>
          <w:sz w:val="21"/>
        </w:rPr>
        <w:t>2. Objetivo, pregunta y estimando</w:t>
      </w:r>
    </w:p>
    <w:p>
      <w:pPr>
        <w:spacing w:after="100" w:line="259" w:lineRule="auto"/>
      </w:pPr>
      <w:r>
        <w:t xml:space="preserve">Pregunta: ¿por qué margen se ajusta el empleo y qué holgura explica la inflación? Estimandos: coeficientes de Okun por margen; elasticidad de la informalidad al ciclo; pendiente de Phillips con holgura ampliada. Evidencia: descriptiva.</w:t>
      </w:r>
    </w:p>
    <w:p>
      <w:pPr>
        <w:spacing w:before="140" w:after="40"/>
      </w:pPr>
      <w:r>
        <w:rPr>
          <w:b/>
          <w:color w:val="000000"/>
          <w:sz w:val="21"/>
        </w:rPr>
        <w:t>3. Ejercicios empíricos posibles</w:t>
      </w:r>
    </w:p>
    <w:p>
      <w:pPr>
        <w:spacing w:after="100" w:line="259" w:lineRule="auto"/>
      </w:pPr>
      <w:r>
        <w:t xml:space="preserve">Inicial: hechos estilizados trimestrales 2017–2026. Intermedio: Okun por margen y Phillips con subocupación. Frontera: microdatos y transiciones. Horizonte trimestral.</w:t>
      </w:r>
    </w:p>
    <w:p>
      <w:pPr>
        <w:spacing w:before="140" w:after="40"/>
      </w:pPr>
      <w:r>
        <w:rPr>
          <w:b/>
          <w:color w:val="000000"/>
          <w:sz w:val="21"/>
        </w:rPr>
        <w:t>4. Escalera de datos</w:t>
      </w:r>
    </w:p>
    <w:p>
      <w:pPr>
        <w:spacing w:after="100" w:line="259" w:lineRule="auto"/>
      </w:pPr>
      <w:r>
        <w:t xml:space="preserve">Mínimamente necesario: tasas y ocupados por formalidad. Suficiente: sectores, categorías, horas, ingresos. Ideal: microdatos EPHC. Óptimo: registros IPS. Metadatos: cambios de marco muestral.</w:t>
      </w:r>
    </w:p>
    <w:p>
      <w:pPr>
        <w:spacing w:before="140" w:after="40"/>
      </w:pPr>
      <w:r>
        <w:rPr>
          <w:b/>
          <w:color w:val="000000"/>
          <w:sz w:val="21"/>
        </w:rPr>
        <w:t>5. Amenazas y requisitos de credibilidad</w:t>
      </w:r>
    </w:p>
    <w:p>
      <w:pPr>
        <w:spacing w:after="100" w:line="259" w:lineRule="auto"/>
      </w:pPr>
      <w:r>
        <w:t xml:space="preserve">38 trimestres y pandemia. Exigir robustez sin 2020 y bandas amplias.</w:t>
      </w:r>
    </w:p>
    <w:p>
      <w:pPr>
        <w:spacing w:before="140" w:after="40"/>
      </w:pPr>
      <w:r>
        <w:rPr>
          <w:b/>
          <w:color w:val="000000"/>
          <w:sz w:val="21"/>
        </w:rPr>
        <w:t>6. Ruta de crecimiento</w:t>
      </w:r>
    </w:p>
    <w:p>
      <w:pPr>
        <w:spacing w:after="100" w:line="259" w:lineRule="auto"/>
      </w:pPr>
      <w:r>
        <w:t xml:space="preserve">Puente entre D1/G1 y D4/F5.</w:t>
      </w:r>
    </w:p>
    <w:p>
      <w:pPr>
        <w:spacing w:after="100" w:line="259" w:lineRule="auto"/>
      </w:pPr>
      <w:r>
        <w:rPr>
          <w:b/>
        </w:rPr>
        <w:t xml:space="preserve">Datos y viabilidad (septiembre 2026):</w:t>
      </w:r>
      <w:r>
        <w:t xml:space="preserve"> Media. Anexo EPHC completo (2017–2026); desagregaciones por sexo e ingresos no comprobadas. Carpeta de trabajo: proyectos/23_n2_mercado_laboral.</w:t>
      </w:r>
    </w:p>
    <w:p>
      <w:pPr>
        <w:pStyle w:val="Heading2"/>
        <w:keepNext/>
        <w:spacing w:before="280"/>
      </w:pPr>
      <w:r>
        <w:rPr>
          <w:color w:val="000000"/>
        </w:rPr>
        <w:t xml:space="preserve">G3  Ajustes del salario mínimo: precios de servicios e informalidad (nueva)</w:t>
      </w:r>
    </w:p>
    <w:p>
      <w:pPr>
        <w:spacing w:after="100" w:line="259" w:lineRule="auto"/>
      </w:pPr>
      <w:r>
        <w:rPr>
          <w:b/>
        </w:rPr>
        <w:t xml:space="preserve">Clasificación de factibilidad:</w:t>
      </w:r>
      <w:r>
        <w:t xml:space="preserve"> Viable como estudio de eventos; anticipación por fórmula limita la causalidad.</w:t>
      </w:r>
    </w:p>
    <w:p>
      <w:pPr>
        <w:spacing w:before="140" w:after="40"/>
      </w:pPr>
      <w:r>
        <w:rPr>
          <w:b/>
          <w:color w:val="000000"/>
          <w:sz w:val="21"/>
        </w:rPr>
        <w:t>1. Motivación y contribución potencial</w:t>
      </w:r>
    </w:p>
    <w:p>
      <w:pPr>
        <w:spacing w:after="100" w:line="259" w:lineRule="auto"/>
      </w:pPr>
      <w:r>
        <w:t xml:space="preserve">Problema: los ajustes del salario mínimo son eventos fechados con intensidad variable, relevantes para la inflación de servicios y la informalidad.</w:t>
      </w:r>
    </w:p>
    <w:p>
      <w:pPr>
        <w:spacing w:before="140" w:after="40"/>
      </w:pPr>
      <w:r>
        <w:rPr>
          <w:b/>
          <w:color w:val="000000"/>
          <w:sz w:val="21"/>
        </w:rPr>
        <w:t>2. Objetivo, pregunta y estimando</w:t>
      </w:r>
    </w:p>
    <w:p>
      <w:pPr>
        <w:spacing w:after="100" w:line="259" w:lineRule="auto"/>
      </w:pPr>
      <w:r>
        <w:t xml:space="preserve">Pregunta: ¿cuánto se trasladan los ajustes a precios de servicios, salarios y formalidad? Estimando: elasticidad de precios de servicios vs. bienes; cambio en la formalidad. Evidencia: estudio de eventos.</w:t>
      </w:r>
    </w:p>
    <w:p>
      <w:pPr>
        <w:spacing w:before="140" w:after="40"/>
      </w:pPr>
      <w:r>
        <w:rPr>
          <w:b/>
          <w:color w:val="000000"/>
          <w:sz w:val="21"/>
        </w:rPr>
        <w:t>3. Ejercicios empíricos posibles</w:t>
      </w:r>
    </w:p>
    <w:p>
      <w:pPr>
        <w:spacing w:after="100" w:line="259" w:lineRule="auto"/>
      </w:pPr>
      <w:r>
        <w:t xml:space="preserve">Inicial: 12 ajustes desde 2010 y LP de IPC por componente. Intermedio: exposición sectorial y sorpresa respecto de la fórmula. Frontera: microdatos. Horizonte 0 a 12 meses.</w:t>
      </w:r>
    </w:p>
    <w:p>
      <w:pPr>
        <w:spacing w:before="140" w:after="40"/>
      </w:pPr>
      <w:r>
        <w:rPr>
          <w:b/>
          <w:color w:val="000000"/>
          <w:sz w:val="21"/>
        </w:rPr>
        <w:t>4. Escalera de datos</w:t>
      </w:r>
    </w:p>
    <w:p>
      <w:pPr>
        <w:spacing w:after="100" w:line="259" w:lineRule="auto"/>
      </w:pPr>
      <w:r>
        <w:t xml:space="preserve">Mínimamente necesario: fechas y montos (en la base). Suficiente: decretos y fórmula, IPC por componente, EPHC. Ideal: distribución salarial por sector. Óptimo: IPS. Metadatos: anuncio vs. vigencia.</w:t>
      </w:r>
    </w:p>
    <w:p>
      <w:pPr>
        <w:spacing w:before="140" w:after="40"/>
      </w:pPr>
      <w:r>
        <w:rPr>
          <w:b/>
          <w:color w:val="000000"/>
          <w:sz w:val="21"/>
        </w:rPr>
        <w:t>5. Amenazas y requisitos de credibilidad</w:t>
      </w:r>
    </w:p>
    <w:p>
      <w:pPr>
        <w:spacing w:after="100" w:line="259" w:lineRule="auto"/>
      </w:pPr>
      <w:r>
        <w:t xml:space="preserve">Anticipación y ciclo. Exigir placebos en bienes, comparación de ajustes cercanos y alejados de la fórmula.</w:t>
      </w:r>
    </w:p>
    <w:p>
      <w:pPr>
        <w:spacing w:before="140" w:after="40"/>
      </w:pPr>
      <w:r>
        <w:rPr>
          <w:b/>
          <w:color w:val="000000"/>
          <w:sz w:val="21"/>
        </w:rPr>
        <w:t>6. Ruta de crecimiento</w:t>
      </w:r>
    </w:p>
    <w:p>
      <w:pPr>
        <w:spacing w:after="100" w:line="259" w:lineRule="auto"/>
      </w:pPr>
      <w:r>
        <w:t xml:space="preserve">Módulo natural de G2.</w:t>
      </w:r>
    </w:p>
    <w:p>
      <w:pPr>
        <w:spacing w:after="100" w:line="259" w:lineRule="auto"/>
      </w:pPr>
      <w:r>
        <w:rPr>
          <w:b/>
        </w:rPr>
        <w:t xml:space="preserve">Datos y viabilidad (septiembre 2026):</w:t>
      </w:r>
      <w:r>
        <w:t xml:space="preserve"> Media. Tramos de vigencia del salario mínimo en la base (1980–2026). Carpeta de trabajo: proyectos/32_n11_salario_minimo.</w:t>
      </w:r>
    </w:p>
    <w:p>
      <w:pPr>
        <w:pStyle w:val="Heading2"/>
        <w:keepNext/>
        <w:spacing w:before="280"/>
      </w:pPr>
      <w:r>
        <w:rPr>
          <w:color w:val="000000"/>
        </w:rPr>
        <w:t xml:space="preserve">G4  Paraguay en el panel regional: shocks globales y vulnerabilidad (nueva)</w:t>
      </w:r>
    </w:p>
    <w:p>
      <w:pPr>
        <w:spacing w:after="100" w:line="259" w:lineRule="auto"/>
      </w:pPr>
      <w:r>
        <w:rPr>
          <w:b/>
        </w:rPr>
        <w:t xml:space="preserve">Clasificación de factibilidad:</w:t>
      </w:r>
      <w:r>
        <w:t xml:space="preserve"> Listo para ser diseñado empíricamente con datos del FMI ya incorporados.</w:t>
      </w:r>
    </w:p>
    <w:p>
      <w:pPr>
        <w:spacing w:before="140" w:after="40"/>
      </w:pPr>
      <w:r>
        <w:rPr>
          <w:b/>
          <w:color w:val="000000"/>
          <w:sz w:val="21"/>
        </w:rPr>
        <w:t>1. Motivación y contribución potencial</w:t>
      </w:r>
    </w:p>
    <w:p>
      <w:pPr>
        <w:spacing w:after="100" w:line="259" w:lineRule="auto"/>
      </w:pPr>
      <w:r>
        <w:t xml:space="preserve">Problema: todas las fichas son de un país. Nueve países sudamericanos con datos homogéneos permiten separar shocks globales de respuestas específicas y ubicar a Paraguay.</w:t>
      </w:r>
    </w:p>
    <w:p>
      <w:pPr>
        <w:spacing w:before="140" w:after="40"/>
      </w:pPr>
      <w:r>
        <w:rPr>
          <w:b/>
          <w:color w:val="000000"/>
          <w:sz w:val="21"/>
        </w:rPr>
        <w:t>2. Objetivo, pregunta y estimando</w:t>
      </w:r>
    </w:p>
    <w:p>
      <w:pPr>
        <w:spacing w:after="100" w:line="259" w:lineRule="auto"/>
      </w:pPr>
      <w:r>
        <w:t xml:space="preserve">Pregunta: ¿cómo responden flujos, tipo de cambio, inflación y bancos a shocks globales y qué los amortigua? Estimando: respuestas medias y heterogéneas en LP de panel. Evidencia: forma reducida con shocks comunes.</w:t>
      </w:r>
    </w:p>
    <w:p>
      <w:pPr>
        <w:spacing w:before="140" w:after="40"/>
      </w:pPr>
      <w:r>
        <w:rPr>
          <w:b/>
          <w:color w:val="000000"/>
          <w:sz w:val="21"/>
        </w:rPr>
        <w:t>3. Ejercicios empíricos posibles</w:t>
      </w:r>
    </w:p>
    <w:p>
      <w:pPr>
        <w:spacing w:after="100" w:line="259" w:lineRule="auto"/>
      </w:pPr>
      <w:r>
        <w:t xml:space="preserve">Inicial: benchmarking. Intermedio: LP de panel con interacciones (reservas, intervención, dolarización). Frontera: flujos de alta frecuencia y EMBI. Horizonte trimestral y mensual.</w:t>
      </w:r>
    </w:p>
    <w:p>
      <w:pPr>
        <w:spacing w:before="140" w:after="40"/>
      </w:pPr>
      <w:r>
        <w:rPr>
          <w:b/>
          <w:color w:val="000000"/>
          <w:sz w:val="21"/>
        </w:rPr>
        <w:t>4. Escalera de datos</w:t>
      </w:r>
    </w:p>
    <w:p>
      <w:pPr>
        <w:spacing w:after="100" w:line="259" w:lineRule="auto"/>
      </w:pPr>
      <w:r>
        <w:t xml:space="preserve">Mínimamente necesario: balanza de pagos, reservas, tipo de cambio, IPC. Suficiente: FSI, intervención proxy, términos de intercambio. Ideal: EMBI. Óptimo: intervención oficial diaria de pares. Metadatos: definiciones del FMI.</w:t>
      </w:r>
    </w:p>
    <w:p>
      <w:pPr>
        <w:spacing w:before="140" w:after="40"/>
      </w:pPr>
      <w:r>
        <w:rPr>
          <w:b/>
          <w:color w:val="000000"/>
          <w:sz w:val="21"/>
        </w:rPr>
        <w:t>5. Amenazas y requisitos de credibilidad</w:t>
      </w:r>
    </w:p>
    <w:p>
      <w:pPr>
        <w:spacing w:after="100" w:line="259" w:lineRule="auto"/>
      </w:pPr>
      <w:r>
        <w:t xml:space="preserve">Heterogeneidad institucional (Ecuador dolarizado, Argentina con inflación alta). Exigir submuestras y Driscoll-Kraay.</w:t>
      </w:r>
    </w:p>
    <w:p>
      <w:pPr>
        <w:spacing w:before="140" w:after="40"/>
      </w:pPr>
      <w:r>
        <w:rPr>
          <w:b/>
          <w:color w:val="000000"/>
          <w:sz w:val="21"/>
        </w:rPr>
        <w:t>6. Ruta de crecimiento</w:t>
      </w:r>
    </w:p>
    <w:p>
      <w:pPr>
        <w:spacing w:after="100" w:line="259" w:lineRule="auto"/>
      </w:pPr>
      <w:r>
        <w:t xml:space="preserve">Complementa B1, B2 y C1.</w:t>
      </w:r>
    </w:p>
    <w:p>
      <w:pPr>
        <w:spacing w:after="100" w:line="259" w:lineRule="auto"/>
      </w:pPr>
      <w:r>
        <w:rPr>
          <w:b/>
        </w:rPr>
        <w:t xml:space="preserve">Datos y viabilidad (septiembre 2026):</w:t>
      </w:r>
      <w:r>
        <w:t xml:space="preserve"> Media-alta. 192 de 198 combinaciones país-indicador disponibles. Carpeta de trabajo: proyectos/24_n3_panel_regional.</w:t>
      </w:r>
    </w:p>
    <w:p>
      <w:pPr>
        <w:pStyle w:val="Heading2"/>
        <w:keepNext/>
        <w:spacing w:before="280"/>
      </w:pPr>
      <w:r>
        <w:rPr>
          <w:color w:val="000000"/>
        </w:rPr>
        <w:t xml:space="preserve">G5  Remesas familiares y shocks en los países de origen (nueva)</w:t>
      </w:r>
    </w:p>
    <w:p>
      <w:pPr>
        <w:spacing w:after="100" w:line="259" w:lineRule="auto"/>
      </w:pPr>
      <w:r>
        <w:rPr>
          <w:b/>
        </w:rPr>
        <w:t xml:space="preserve">Clasificación de factibilidad:</w:t>
      </w:r>
      <w:r>
        <w:t xml:space="preserve"> Módulo acotado; útil dentro de F6 o G4.</w:t>
      </w:r>
    </w:p>
    <w:p>
      <w:pPr>
        <w:spacing w:before="140" w:after="40"/>
      </w:pPr>
      <w:r>
        <w:rPr>
          <w:b/>
          <w:color w:val="000000"/>
          <w:sz w:val="21"/>
        </w:rPr>
        <w:t>1. Motivación y contribución potencial</w:t>
      </w:r>
    </w:p>
    <w:p>
      <w:pPr>
        <w:spacing w:after="100" w:line="259" w:lineRule="auto"/>
      </w:pPr>
      <w:r>
        <w:t xml:space="preserve">Problema: las remesas por origen permiten un diseño shift-share, aunque su peso macro es pequeño.</w:t>
      </w:r>
    </w:p>
    <w:p>
      <w:pPr>
        <w:spacing w:before="140" w:after="40"/>
      </w:pPr>
      <w:r>
        <w:rPr>
          <w:b/>
          <w:color w:val="000000"/>
          <w:sz w:val="21"/>
        </w:rPr>
        <w:t>2. Objetivo, pregunta y estimando</w:t>
      </w:r>
    </w:p>
    <w:p>
      <w:pPr>
        <w:spacing w:after="100" w:line="259" w:lineRule="auto"/>
      </w:pPr>
      <w:r>
        <w:t xml:space="preserve">Pregunta: ¿cómo responden las remesas a los ciclos de origen y cuánto amortiguan el consumo? Estimando: elasticidades y efecto IV en consumo. Evidencia: forma reducida.</w:t>
      </w:r>
    </w:p>
    <w:p>
      <w:pPr>
        <w:spacing w:before="140" w:after="40"/>
      </w:pPr>
      <w:r>
        <w:rPr>
          <w:b/>
          <w:color w:val="000000"/>
          <w:sz w:val="21"/>
        </w:rPr>
        <w:t>3. Ejercicios empíricos posibles</w:t>
      </w:r>
    </w:p>
    <w:p>
      <w:pPr>
        <w:spacing w:after="100" w:line="259" w:lineRule="auto"/>
      </w:pPr>
      <w:r>
        <w:t xml:space="preserve">Inicial: descomposición por origen. Intermedio: shift-share con desempleo de España y EE.UU. y tipo de cambio argentino. Frontera: remesas por departamento. Horizonte mensual y trimestral.</w:t>
      </w:r>
    </w:p>
    <w:p>
      <w:pPr>
        <w:spacing w:before="140" w:after="40"/>
      </w:pPr>
      <w:r>
        <w:rPr>
          <w:b/>
          <w:color w:val="000000"/>
          <w:sz w:val="21"/>
        </w:rPr>
        <w:t>4. Escalera de datos</w:t>
      </w:r>
    </w:p>
    <w:p>
      <w:pPr>
        <w:spacing w:after="100" w:line="259" w:lineRule="auto"/>
      </w:pPr>
      <w:r>
        <w:t xml:space="preserve">Mínimamente necesario: remesas por origen y shocks de origen. Suficiente: consumo privado. Ideal: remesas por destino. Óptimo: microdatos de hogares receptores.</w:t>
      </w:r>
    </w:p>
    <w:p>
      <w:pPr>
        <w:spacing w:before="140" w:after="40"/>
      </w:pPr>
      <w:r>
        <w:rPr>
          <w:b/>
          <w:color w:val="000000"/>
          <w:sz w:val="21"/>
        </w:rPr>
        <w:t>5. Amenazas y requisitos de credibilidad</w:t>
      </w:r>
    </w:p>
    <w:p>
      <w:pPr>
        <w:spacing w:after="100" w:line="259" w:lineRule="auto"/>
      </w:pPr>
      <w:r>
        <w:t xml:space="preserve">Peso macro pequeño; instrumento débil en consumo. Exigir primera etapa fuerte.</w:t>
      </w:r>
    </w:p>
    <w:p>
      <w:pPr>
        <w:spacing w:before="140" w:after="40"/>
      </w:pPr>
      <w:r>
        <w:rPr>
          <w:b/>
          <w:color w:val="000000"/>
          <w:sz w:val="21"/>
        </w:rPr>
        <w:t>6. Ruta de crecimiento</w:t>
      </w:r>
    </w:p>
    <w:p>
      <w:pPr>
        <w:spacing w:after="100" w:line="259" w:lineRule="auto"/>
      </w:pPr>
      <w:r>
        <w:t xml:space="preserve">Integrar como módulo de F6 o G4.</w:t>
      </w:r>
    </w:p>
    <w:p>
      <w:pPr>
        <w:spacing w:after="100" w:line="259" w:lineRule="auto"/>
      </w:pPr>
      <w:r>
        <w:rPr>
          <w:b/>
        </w:rPr>
        <w:t xml:space="preserve">Datos y viabilidad (septiembre 2026):</w:t>
      </w:r>
      <w:r>
        <w:t xml:space="preserve"> Media-baja. Remesas por origen 2008–2026. Carpeta de trabajo: proyectos/33_n12_remesas.</w:t>
      </w:r>
    </w:p>
    <w:p>
      <w:pPr>
        <w:pStyle w:val="Heading1"/>
      </w:pPr>
      <w:r>
        <w:t>Mapa transversal de datos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17365D"/>
            <w:tcMar>
              <w:top w:w="90" w:type="dxa"/>
              <w:start w:w="90" w:type="dxa"/>
              <w:bottom w:w="90" w:type="dxa"/>
              <w:end w:w="90" w:type="dxa"/>
            </w:tcMar>
          </w:tcPr>
          <w:p>
            <w:r>
              <w:rPr>
                <w:b/>
                <w:color w:val="FFFFFF"/>
                <w:sz w:val="16"/>
              </w:rPr>
              <w:t>Bloque</w:t>
            </w:r>
          </w:p>
        </w:tc>
        <w:tc>
          <w:tcPr>
            <w:tcW w:type="dxa" w:w="1694"/>
            <w:shd w:fill="17365D"/>
            <w:tcMar>
              <w:top w:w="90" w:type="dxa"/>
              <w:start w:w="90" w:type="dxa"/>
              <w:bottom w:w="90" w:type="dxa"/>
              <w:end w:w="90" w:type="dxa"/>
            </w:tcMar>
          </w:tcPr>
          <w:p>
            <w:r>
              <w:rPr>
                <w:b/>
                <w:color w:val="FFFFFF"/>
                <w:sz w:val="16"/>
              </w:rPr>
              <w:t>Variables y granularidad</w:t>
            </w:r>
          </w:p>
        </w:tc>
        <w:tc>
          <w:tcPr>
            <w:tcW w:type="dxa" w:w="1694"/>
            <w:shd w:fill="17365D"/>
            <w:tcMar>
              <w:top w:w="90" w:type="dxa"/>
              <w:start w:w="90" w:type="dxa"/>
              <w:bottom w:w="90" w:type="dxa"/>
              <w:end w:w="90" w:type="dxa"/>
            </w:tcMar>
          </w:tcPr>
          <w:p>
            <w:r>
              <w:rPr>
                <w:b/>
                <w:color w:val="FFFFFF"/>
                <w:sz w:val="16"/>
              </w:rPr>
              <w:t>Metadatos críticos</w:t>
            </w:r>
          </w:p>
        </w:tc>
        <w:tc>
          <w:tcPr>
            <w:tcW w:type="dxa" w:w="1694"/>
            <w:shd w:fill="17365D"/>
            <w:tcMar>
              <w:top w:w="90" w:type="dxa"/>
              <w:start w:w="90" w:type="dxa"/>
              <w:bottom w:w="90" w:type="dxa"/>
              <w:end w:w="90" w:type="dxa"/>
            </w:tcMar>
          </w:tcPr>
          <w:p>
            <w:r>
              <w:rPr>
                <w:b/>
                <w:color w:val="FFFFFF"/>
                <w:sz w:val="16"/>
              </w:rPr>
              <w:t>Proyectos</w:t>
            </w:r>
          </w:p>
        </w:tc>
        <w:tc>
          <w:tcPr>
            <w:tcW w:type="dxa" w:w="1694"/>
            <w:shd w:fill="17365D"/>
            <w:tcMar>
              <w:top w:w="90" w:type="dxa"/>
              <w:start w:w="90" w:type="dxa"/>
              <w:bottom w:w="90" w:type="dxa"/>
              <w:end w:w="90" w:type="dxa"/>
            </w:tcMar>
          </w:tcPr>
          <w:p>
            <w:r>
              <w:rPr>
                <w:b/>
                <w:color w:val="FFFFFF"/>
                <w:sz w:val="16"/>
              </w:rPr>
              <w:t>Nivel que habilita</w:t>
            </w:r>
          </w:p>
        </w:tc>
        <w:tc>
          <w:tcPr>
            <w:tcW w:type="dxa" w:w="1694"/>
            <w:shd w:fill="17365D"/>
            <w:tcMar>
              <w:top w:w="90" w:type="dxa"/>
              <w:start w:w="90" w:type="dxa"/>
              <w:bottom w:w="90" w:type="dxa"/>
              <w:end w:w="90" w:type="dxa"/>
            </w:tcMar>
          </w:tcPr>
          <w:p>
            <w:r>
              <w:rPr>
                <w:b/>
                <w:color w:val="FFFFFF"/>
                <w:sz w:val="16"/>
              </w:rPr>
              <w:t>Riesgo principal</w:t>
            </w:r>
          </w:p>
        </w:tc>
      </w:tr>
      <w:tr>
        <w:tc>
          <w:tcPr>
            <w:tcW w:type="dxa" w:w="1694"/>
            <w:vAlign w:val="center"/>
            <w:tcMar>
              <w:top w:w="90" w:type="dxa"/>
              <w:start w:w="90" w:type="dxa"/>
              <w:bottom w:w="90" w:type="dxa"/>
              <w:end w:w="90" w:type="dxa"/>
            </w:tcMar>
          </w:tcPr>
          <w:p>
            <w:r>
              <w:rPr>
                <w:sz w:val="15"/>
              </w:rPr>
              <w:t>Vintages y calendario</w:t>
            </w:r>
          </w:p>
        </w:tc>
        <w:tc>
          <w:tcPr>
            <w:tcW w:type="dxa" w:w="1694"/>
            <w:vAlign w:val="center"/>
            <w:tcMar>
              <w:top w:w="90" w:type="dxa"/>
              <w:start w:w="90" w:type="dxa"/>
              <w:bottom w:w="90" w:type="dxa"/>
              <w:end w:w="90" w:type="dxa"/>
            </w:tcMar>
          </w:tcPr>
          <w:p>
            <w:r>
              <w:rPr>
                <w:sz w:val="15"/>
              </w:rPr>
              <w:t>Release, timestamp, first/final, modelos, judgment; serie-vintage</w:t>
            </w:r>
          </w:p>
        </w:tc>
        <w:tc>
          <w:tcPr>
            <w:tcW w:type="dxa" w:w="1694"/>
            <w:vAlign w:val="center"/>
            <w:tcMar>
              <w:top w:w="90" w:type="dxa"/>
              <w:start w:w="90" w:type="dxa"/>
              <w:bottom w:w="90" w:type="dxa"/>
              <w:end w:w="90" w:type="dxa"/>
            </w:tcMar>
          </w:tcPr>
          <w:p>
            <w:r>
              <w:rPr>
                <w:sz w:val="15"/>
              </w:rPr>
              <w:t>disponibilidad real, revisión, target, cambios metodológicos</w:t>
            </w:r>
          </w:p>
        </w:tc>
        <w:tc>
          <w:tcPr>
            <w:tcW w:type="dxa" w:w="1694"/>
            <w:vAlign w:val="center"/>
            <w:tcMar>
              <w:top w:w="90" w:type="dxa"/>
              <w:start w:w="90" w:type="dxa"/>
              <w:bottom w:w="90" w:type="dxa"/>
              <w:end w:w="90" w:type="dxa"/>
            </w:tcMar>
          </w:tcPr>
          <w:p>
            <w:r>
              <w:rPr>
                <w:sz w:val="15"/>
              </w:rPr>
              <w:t>D3 D4 E1 E2 E3 B2</w:t>
            </w:r>
          </w:p>
        </w:tc>
        <w:tc>
          <w:tcPr>
            <w:tcW w:type="dxa" w:w="1694"/>
            <w:vAlign w:val="center"/>
            <w:tcMar>
              <w:top w:w="90" w:type="dxa"/>
              <w:start w:w="90" w:type="dxa"/>
              <w:bottom w:w="90" w:type="dxa"/>
              <w:end w:w="90" w:type="dxa"/>
            </w:tcMar>
          </w:tcPr>
          <w:p>
            <w:r>
              <w:rPr>
                <w:sz w:val="15"/>
              </w:rPr>
              <w:t>Mínimo a óptimo</w:t>
            </w:r>
          </w:p>
        </w:tc>
        <w:tc>
          <w:tcPr>
            <w:tcW w:type="dxa" w:w="1694"/>
            <w:vAlign w:val="center"/>
            <w:tcMar>
              <w:top w:w="90" w:type="dxa"/>
              <w:start w:w="90" w:type="dxa"/>
              <w:bottom w:w="90" w:type="dxa"/>
              <w:end w:w="90" w:type="dxa"/>
            </w:tcMar>
          </w:tcPr>
          <w:p>
            <w:r>
              <w:rPr>
                <w:sz w:val="15"/>
              </w:rPr>
              <w:t>usar información ex post</w:t>
            </w:r>
          </w:p>
        </w:tc>
      </w:tr>
      <w:tr>
        <w:tc>
          <w:tcPr>
            <w:tcW w:type="dxa" w:w="1694"/>
            <w:vAlign w:val="center"/>
            <w:tcMar>
              <w:top w:w="90" w:type="dxa"/>
              <w:start w:w="90" w:type="dxa"/>
              <w:bottom w:w="90" w:type="dxa"/>
              <w:end w:w="90" w:type="dxa"/>
            </w:tcMar>
            <w:shd w:fill="F1F5F9"/>
          </w:tcPr>
          <w:p>
            <w:r>
              <w:rPr>
                <w:sz w:val="15"/>
              </w:rPr>
              <w:t>Panel banco moneda plazo</w:t>
            </w:r>
          </w:p>
        </w:tc>
        <w:tc>
          <w:tcPr>
            <w:tcW w:type="dxa" w:w="1694"/>
            <w:vAlign w:val="center"/>
            <w:tcMar>
              <w:top w:w="90" w:type="dxa"/>
              <w:start w:w="90" w:type="dxa"/>
              <w:bottom w:w="90" w:type="dxa"/>
              <w:end w:w="90" w:type="dxa"/>
            </w:tcMar>
            <w:shd w:fill="F1F5F9"/>
          </w:tcPr>
          <w:p>
            <w:r>
              <w:rPr>
                <w:sz w:val="15"/>
              </w:rPr>
              <w:t>reservas, depósitos, crédito, tasas, liquidez, capital, NPL; banco-mes/día</w:t>
            </w:r>
          </w:p>
        </w:tc>
        <w:tc>
          <w:tcPr>
            <w:tcW w:type="dxa" w:w="1694"/>
            <w:vAlign w:val="center"/>
            <w:tcMar>
              <w:top w:w="90" w:type="dxa"/>
              <w:start w:w="90" w:type="dxa"/>
              <w:bottom w:w="90" w:type="dxa"/>
              <w:end w:w="90" w:type="dxa"/>
            </w:tcMar>
            <w:shd w:fill="F1F5F9"/>
          </w:tcPr>
          <w:p>
            <w:r>
              <w:rPr>
                <w:sz w:val="15"/>
              </w:rPr>
              <w:t>moneda original, maturity residual, definición regulatoria, fusiones</w:t>
            </w:r>
          </w:p>
        </w:tc>
        <w:tc>
          <w:tcPr>
            <w:tcW w:type="dxa" w:w="1694"/>
            <w:vAlign w:val="center"/>
            <w:tcMar>
              <w:top w:w="90" w:type="dxa"/>
              <w:start w:w="90" w:type="dxa"/>
              <w:bottom w:w="90" w:type="dxa"/>
              <w:end w:w="90" w:type="dxa"/>
            </w:tcMar>
            <w:shd w:fill="F1F5F9"/>
          </w:tcPr>
          <w:p>
            <w:r>
              <w:rPr>
                <w:sz w:val="15"/>
              </w:rPr>
              <w:t>A1 C1 C2 C4 D5</w:t>
            </w:r>
          </w:p>
        </w:tc>
        <w:tc>
          <w:tcPr>
            <w:tcW w:type="dxa" w:w="1694"/>
            <w:vAlign w:val="center"/>
            <w:tcMar>
              <w:top w:w="90" w:type="dxa"/>
              <w:start w:w="90" w:type="dxa"/>
              <w:bottom w:w="90" w:type="dxa"/>
              <w:end w:w="90" w:type="dxa"/>
            </w:tcMar>
            <w:shd w:fill="F1F5F9"/>
          </w:tcPr>
          <w:p>
            <w:r>
              <w:rPr>
                <w:sz w:val="15"/>
              </w:rPr>
              <w:t>Suficiente/ideal</w:t>
            </w:r>
          </w:p>
        </w:tc>
        <w:tc>
          <w:tcPr>
            <w:tcW w:type="dxa" w:w="1694"/>
            <w:vAlign w:val="center"/>
            <w:tcMar>
              <w:top w:w="90" w:type="dxa"/>
              <w:start w:w="90" w:type="dxa"/>
              <w:bottom w:w="90" w:type="dxa"/>
              <w:end w:w="90" w:type="dxa"/>
            </w:tcMar>
            <w:shd w:fill="F1F5F9"/>
          </w:tcPr>
          <w:p>
            <w:r>
              <w:rPr>
                <w:sz w:val="15"/>
              </w:rPr>
              <w:t>medición inconsistente de exposición</w:t>
            </w:r>
          </w:p>
        </w:tc>
      </w:tr>
      <w:tr>
        <w:tc>
          <w:tcPr>
            <w:tcW w:type="dxa" w:w="1694"/>
            <w:vAlign w:val="center"/>
            <w:tcMar>
              <w:top w:w="90" w:type="dxa"/>
              <w:start w:w="90" w:type="dxa"/>
              <w:bottom w:w="90" w:type="dxa"/>
              <w:end w:w="90" w:type="dxa"/>
            </w:tcMar>
          </w:tcPr>
          <w:p>
            <w:r>
              <w:rPr>
                <w:sz w:val="15"/>
              </w:rPr>
              <w:t>Contratos y registro crédito</w:t>
            </w:r>
          </w:p>
        </w:tc>
        <w:tc>
          <w:tcPr>
            <w:tcW w:type="dxa" w:w="1694"/>
            <w:vAlign w:val="center"/>
            <w:tcMar>
              <w:top w:w="90" w:type="dxa"/>
              <w:start w:w="90" w:type="dxa"/>
              <w:bottom w:w="90" w:type="dxa"/>
              <w:end w:w="90" w:type="dxa"/>
            </w:tcMar>
          </w:tcPr>
          <w:p>
            <w:r>
              <w:rPr>
                <w:sz w:val="15"/>
              </w:rPr>
              <w:t>préstamo-prestatario, reset, cuota, riesgo, default, relación banco; mensual</w:t>
            </w:r>
          </w:p>
        </w:tc>
        <w:tc>
          <w:tcPr>
            <w:tcW w:type="dxa" w:w="1694"/>
            <w:vAlign w:val="center"/>
            <w:tcMar>
              <w:top w:w="90" w:type="dxa"/>
              <w:start w:w="90" w:type="dxa"/>
              <w:bottom w:w="90" w:type="dxa"/>
              <w:end w:w="90" w:type="dxa"/>
            </w:tcMar>
          </w:tcPr>
          <w:p>
            <w:r>
              <w:rPr>
                <w:sz w:val="15"/>
              </w:rPr>
              <w:t>IDs anonimizados, restructuración, moneda, cobertura natural</w:t>
            </w:r>
          </w:p>
        </w:tc>
        <w:tc>
          <w:tcPr>
            <w:tcW w:type="dxa" w:w="1694"/>
            <w:vAlign w:val="center"/>
            <w:tcMar>
              <w:top w:w="90" w:type="dxa"/>
              <w:start w:w="90" w:type="dxa"/>
              <w:bottom w:w="90" w:type="dxa"/>
              <w:end w:w="90" w:type="dxa"/>
            </w:tcMar>
          </w:tcPr>
          <w:p>
            <w:r>
              <w:rPr>
                <w:sz w:val="15"/>
              </w:rPr>
              <w:t>C1 C2 C4 D5 F1</w:t>
            </w:r>
          </w:p>
        </w:tc>
        <w:tc>
          <w:tcPr>
            <w:tcW w:type="dxa" w:w="1694"/>
            <w:vAlign w:val="center"/>
            <w:tcMar>
              <w:top w:w="90" w:type="dxa"/>
              <w:start w:w="90" w:type="dxa"/>
              <w:bottom w:w="90" w:type="dxa"/>
              <w:end w:w="90" w:type="dxa"/>
            </w:tcMar>
          </w:tcPr>
          <w:p>
            <w:r>
              <w:rPr>
                <w:sz w:val="15"/>
              </w:rPr>
              <w:t>Ideal/óptimo</w:t>
            </w:r>
          </w:p>
        </w:tc>
        <w:tc>
          <w:tcPr>
            <w:tcW w:type="dxa" w:w="1694"/>
            <w:vAlign w:val="center"/>
            <w:tcMar>
              <w:top w:w="90" w:type="dxa"/>
              <w:start w:w="90" w:type="dxa"/>
              <w:bottom w:w="90" w:type="dxa"/>
              <w:end w:w="90" w:type="dxa"/>
            </w:tcMar>
          </w:tcPr>
          <w:p>
            <w:r>
              <w:rPr>
                <w:sz w:val="15"/>
              </w:rPr>
              <w:t>selección y falta de linkage</w:t>
            </w:r>
          </w:p>
        </w:tc>
      </w:tr>
      <w:tr>
        <w:tc>
          <w:tcPr>
            <w:tcW w:type="dxa" w:w="1694"/>
            <w:vAlign w:val="center"/>
            <w:tcMar>
              <w:top w:w="90" w:type="dxa"/>
              <w:start w:w="90" w:type="dxa"/>
              <w:bottom w:w="90" w:type="dxa"/>
              <w:end w:w="90" w:type="dxa"/>
            </w:tcMar>
            <w:shd w:fill="F1F5F9"/>
          </w:tcPr>
          <w:p>
            <w:r>
              <w:rPr>
                <w:sz w:val="15"/>
              </w:rPr>
              <w:t>Mercado FX y pagos</w:t>
            </w:r>
          </w:p>
        </w:tc>
        <w:tc>
          <w:tcPr>
            <w:tcW w:type="dxa" w:w="1694"/>
            <w:vAlign w:val="center"/>
            <w:tcMar>
              <w:top w:w="90" w:type="dxa"/>
              <w:start w:w="90" w:type="dxa"/>
              <w:bottom w:w="90" w:type="dxa"/>
              <w:end w:w="90" w:type="dxa"/>
            </w:tcMar>
            <w:shd w:fill="F1F5F9"/>
          </w:tcPr>
          <w:p>
            <w:r>
              <w:rPr>
                <w:sz w:val="15"/>
              </w:rPr>
              <w:t>operaciones, ejecución, flujo firmado, quotes, reservas, SIPAP; intradía/día</w:t>
            </w:r>
          </w:p>
        </w:tc>
        <w:tc>
          <w:tcPr>
            <w:tcW w:type="dxa" w:w="1694"/>
            <w:vAlign w:val="center"/>
            <w:tcMar>
              <w:top w:w="90" w:type="dxa"/>
              <w:start w:w="90" w:type="dxa"/>
              <w:bottom w:w="90" w:type="dxa"/>
              <w:end w:w="90" w:type="dxa"/>
            </w:tcMar>
            <w:shd w:fill="F1F5F9"/>
          </w:tcPr>
          <w:p>
            <w:r>
              <w:rPr>
                <w:sz w:val="15"/>
              </w:rPr>
              <w:t>signo, hora, contraparte, neteo, settlement, propósito</w:t>
            </w:r>
          </w:p>
        </w:tc>
        <w:tc>
          <w:tcPr>
            <w:tcW w:type="dxa" w:w="1694"/>
            <w:vAlign w:val="center"/>
            <w:tcMar>
              <w:top w:w="90" w:type="dxa"/>
              <w:start w:w="90" w:type="dxa"/>
              <w:bottom w:w="90" w:type="dxa"/>
              <w:end w:w="90" w:type="dxa"/>
            </w:tcMar>
            <w:shd w:fill="F1F5F9"/>
          </w:tcPr>
          <w:p>
            <w:r>
              <w:rPr>
                <w:sz w:val="15"/>
              </w:rPr>
              <w:t>A1 B1 B3 F4</w:t>
            </w:r>
          </w:p>
        </w:tc>
        <w:tc>
          <w:tcPr>
            <w:tcW w:type="dxa" w:w="1694"/>
            <w:vAlign w:val="center"/>
            <w:tcMar>
              <w:top w:w="90" w:type="dxa"/>
              <w:start w:w="90" w:type="dxa"/>
              <w:bottom w:w="90" w:type="dxa"/>
              <w:end w:w="90" w:type="dxa"/>
            </w:tcMar>
            <w:shd w:fill="F1F5F9"/>
          </w:tcPr>
          <w:p>
            <w:r>
              <w:rPr>
                <w:sz w:val="15"/>
              </w:rPr>
              <w:t>Ideal/óptimo</w:t>
            </w:r>
          </w:p>
        </w:tc>
        <w:tc>
          <w:tcPr>
            <w:tcW w:type="dxa" w:w="1694"/>
            <w:vAlign w:val="center"/>
            <w:tcMar>
              <w:top w:w="90" w:type="dxa"/>
              <w:start w:w="90" w:type="dxa"/>
              <w:bottom w:w="90" w:type="dxa"/>
              <w:end w:w="90" w:type="dxa"/>
            </w:tcMar>
            <w:shd w:fill="F1F5F9"/>
          </w:tcPr>
          <w:p>
            <w:r>
              <w:rPr>
                <w:sz w:val="15"/>
              </w:rPr>
              <w:t>confundir turnover con flujo</w:t>
            </w:r>
          </w:p>
        </w:tc>
      </w:tr>
      <w:tr>
        <w:tc>
          <w:tcPr>
            <w:tcW w:type="dxa" w:w="1694"/>
            <w:vAlign w:val="center"/>
            <w:tcMar>
              <w:top w:w="90" w:type="dxa"/>
              <w:start w:w="90" w:type="dxa"/>
              <w:bottom w:w="90" w:type="dxa"/>
              <w:end w:w="90" w:type="dxa"/>
            </w:tcMar>
          </w:tcPr>
          <w:p>
            <w:r>
              <w:rPr>
                <w:sz w:val="15"/>
              </w:rPr>
              <w:t>Precios y comercio</w:t>
            </w:r>
          </w:p>
        </w:tc>
        <w:tc>
          <w:tcPr>
            <w:tcW w:type="dxa" w:w="1694"/>
            <w:vAlign w:val="center"/>
            <w:tcMar>
              <w:top w:w="90" w:type="dxa"/>
              <w:start w:w="90" w:type="dxa"/>
              <w:bottom w:w="90" w:type="dxa"/>
              <w:end w:w="90" w:type="dxa"/>
            </w:tcMar>
          </w:tcPr>
          <w:p>
            <w:r>
              <w:rPr>
                <w:sz w:val="15"/>
              </w:rPr>
              <w:t>CPI micro, customs producto-origen, invoice currency, precios vecinos; ítem/mes</w:t>
            </w:r>
          </w:p>
        </w:tc>
        <w:tc>
          <w:tcPr>
            <w:tcW w:type="dxa" w:w="1694"/>
            <w:vAlign w:val="center"/>
            <w:tcMar>
              <w:top w:w="90" w:type="dxa"/>
              <w:start w:w="90" w:type="dxa"/>
              <w:bottom w:w="90" w:type="dxa"/>
              <w:end w:w="90" w:type="dxa"/>
            </w:tcMar>
          </w:tcPr>
          <w:p>
            <w:r>
              <w:rPr>
                <w:sz w:val="15"/>
              </w:rPr>
              <w:t>COICOP HS CPC, pesos/base, calidad, ubicación</w:t>
            </w:r>
          </w:p>
        </w:tc>
        <w:tc>
          <w:tcPr>
            <w:tcW w:type="dxa" w:w="1694"/>
            <w:vAlign w:val="center"/>
            <w:tcMar>
              <w:top w:w="90" w:type="dxa"/>
              <w:start w:w="90" w:type="dxa"/>
              <w:bottom w:w="90" w:type="dxa"/>
              <w:end w:w="90" w:type="dxa"/>
            </w:tcMar>
          </w:tcPr>
          <w:p>
            <w:r>
              <w:rPr>
                <w:sz w:val="15"/>
              </w:rPr>
              <w:t>D4 F2 F5</w:t>
            </w:r>
          </w:p>
        </w:tc>
        <w:tc>
          <w:tcPr>
            <w:tcW w:type="dxa" w:w="1694"/>
            <w:vAlign w:val="center"/>
            <w:tcMar>
              <w:top w:w="90" w:type="dxa"/>
              <w:start w:w="90" w:type="dxa"/>
              <w:bottom w:w="90" w:type="dxa"/>
              <w:end w:w="90" w:type="dxa"/>
            </w:tcMar>
          </w:tcPr>
          <w:p>
            <w:r>
              <w:rPr>
                <w:sz w:val="15"/>
              </w:rPr>
              <w:t>Suficiente/óptimo</w:t>
            </w:r>
          </w:p>
        </w:tc>
        <w:tc>
          <w:tcPr>
            <w:tcW w:type="dxa" w:w="1694"/>
            <w:vAlign w:val="center"/>
            <w:tcMar>
              <w:top w:w="90" w:type="dxa"/>
              <w:start w:w="90" w:type="dxa"/>
              <w:bottom w:w="90" w:type="dxa"/>
              <w:end w:w="90" w:type="dxa"/>
            </w:tcMar>
          </w:tcPr>
          <w:p>
            <w:r>
              <w:rPr>
                <w:sz w:val="15"/>
              </w:rPr>
              <w:t>concordancias y unit values</w:t>
            </w:r>
          </w:p>
        </w:tc>
      </w:tr>
      <w:tr>
        <w:tc>
          <w:tcPr>
            <w:tcW w:type="dxa" w:w="1694"/>
            <w:vAlign w:val="center"/>
            <w:tcMar>
              <w:top w:w="90" w:type="dxa"/>
              <w:start w:w="90" w:type="dxa"/>
              <w:bottom w:w="90" w:type="dxa"/>
              <w:end w:w="90" w:type="dxa"/>
            </w:tcMar>
            <w:shd w:fill="F1F5F9"/>
          </w:tcPr>
          <w:p>
            <w:r>
              <w:rPr>
                <w:sz w:val="15"/>
              </w:rPr>
              <w:t>Clima y logística</w:t>
            </w:r>
          </w:p>
        </w:tc>
        <w:tc>
          <w:tcPr>
            <w:tcW w:type="dxa" w:w="1694"/>
            <w:vAlign w:val="center"/>
            <w:tcMar>
              <w:top w:w="90" w:type="dxa"/>
              <w:start w:w="90" w:type="dxa"/>
              <w:bottom w:w="90" w:type="dxa"/>
              <w:end w:w="90" w:type="dxa"/>
            </w:tcMar>
            <w:shd w:fill="F1F5F9"/>
          </w:tcPr>
          <w:p>
            <w:r>
              <w:rPr>
                <w:sz w:val="15"/>
              </w:rPr>
              <w:t>ENSO, clima diario/grilla, río, restricciones, puertos; día/semana</w:t>
            </w:r>
          </w:p>
        </w:tc>
        <w:tc>
          <w:tcPr>
            <w:tcW w:type="dxa" w:w="1694"/>
            <w:vAlign w:val="center"/>
            <w:tcMar>
              <w:top w:w="90" w:type="dxa"/>
              <w:start w:w="90" w:type="dxa"/>
              <w:bottom w:w="90" w:type="dxa"/>
              <w:end w:w="90" w:type="dxa"/>
            </w:tcMar>
            <w:shd w:fill="F1F5F9"/>
          </w:tcPr>
          <w:p>
            <w:r>
              <w:rPr>
                <w:sz w:val="15"/>
              </w:rPr>
              <w:t>versión, geografía, calendario, regla física, pronóstico vintage</w:t>
            </w:r>
          </w:p>
        </w:tc>
        <w:tc>
          <w:tcPr>
            <w:tcW w:type="dxa" w:w="1694"/>
            <w:vAlign w:val="center"/>
            <w:tcMar>
              <w:top w:w="90" w:type="dxa"/>
              <w:start w:w="90" w:type="dxa"/>
              <w:bottom w:w="90" w:type="dxa"/>
              <w:end w:w="90" w:type="dxa"/>
            </w:tcMar>
            <w:shd w:fill="F1F5F9"/>
          </w:tcPr>
          <w:p>
            <w:r>
              <w:rPr>
                <w:sz w:val="15"/>
              </w:rPr>
              <w:t>D1-D5 F3</w:t>
            </w:r>
          </w:p>
        </w:tc>
        <w:tc>
          <w:tcPr>
            <w:tcW w:type="dxa" w:w="1694"/>
            <w:vAlign w:val="center"/>
            <w:tcMar>
              <w:top w:w="90" w:type="dxa"/>
              <w:start w:w="90" w:type="dxa"/>
              <w:bottom w:w="90" w:type="dxa"/>
              <w:end w:w="90" w:type="dxa"/>
            </w:tcMar>
            <w:shd w:fill="F1F5F9"/>
          </w:tcPr>
          <w:p>
            <w:r>
              <w:rPr>
                <w:sz w:val="15"/>
              </w:rPr>
              <w:t>Suficiente/óptimo</w:t>
            </w:r>
          </w:p>
        </w:tc>
        <w:tc>
          <w:tcPr>
            <w:tcW w:type="dxa" w:w="1694"/>
            <w:vAlign w:val="center"/>
            <w:tcMar>
              <w:top w:w="90" w:type="dxa"/>
              <w:start w:w="90" w:type="dxa"/>
              <w:bottom w:w="90" w:type="dxa"/>
              <w:end w:w="90" w:type="dxa"/>
            </w:tcMar>
            <w:shd w:fill="F1F5F9"/>
          </w:tcPr>
          <w:p>
            <w:r>
              <w:rPr>
                <w:sz w:val="15"/>
              </w:rPr>
              <w:t>canales físicos mezclados</w:t>
            </w:r>
          </w:p>
        </w:tc>
      </w:tr>
      <w:tr>
        <w:tc>
          <w:tcPr>
            <w:tcW w:type="dxa" w:w="1694"/>
            <w:vAlign w:val="center"/>
            <w:tcMar>
              <w:top w:w="90" w:type="dxa"/>
              <w:start w:w="90" w:type="dxa"/>
              <w:bottom w:w="90" w:type="dxa"/>
              <w:end w:w="90" w:type="dxa"/>
            </w:tcMar>
          </w:tcPr>
          <w:p>
            <w:r>
              <w:rPr>
                <w:sz w:val="15"/>
              </w:rPr>
              <w:t>Firmas y redes</w:t>
            </w:r>
          </w:p>
        </w:tc>
        <w:tc>
          <w:tcPr>
            <w:tcW w:type="dxa" w:w="1694"/>
            <w:vAlign w:val="center"/>
            <w:tcMar>
              <w:top w:w="90" w:type="dxa"/>
              <w:start w:w="90" w:type="dxa"/>
              <w:bottom w:w="90" w:type="dxa"/>
              <w:end w:w="90" w:type="dxa"/>
            </w:tcMar>
          </w:tcPr>
          <w:p>
            <w:r>
              <w:rPr>
                <w:sz w:val="15"/>
              </w:rPr>
              <w:t>SIFEN, pago, tax, empleo, crédito, proveedores; firma/relación/mes</w:t>
            </w:r>
          </w:p>
        </w:tc>
        <w:tc>
          <w:tcPr>
            <w:tcW w:type="dxa" w:w="1694"/>
            <w:vAlign w:val="center"/>
            <w:tcMar>
              <w:top w:w="90" w:type="dxa"/>
              <w:start w:w="90" w:type="dxa"/>
              <w:bottom w:w="90" w:type="dxa"/>
              <w:end w:w="90" w:type="dxa"/>
            </w:tcMar>
          </w:tcPr>
          <w:p>
            <w:r>
              <w:rPr>
                <w:sz w:val="15"/>
              </w:rPr>
              <w:t>ID, cobertura, due date, adopción, match quality, privacidad</w:t>
            </w:r>
          </w:p>
        </w:tc>
        <w:tc>
          <w:tcPr>
            <w:tcW w:type="dxa" w:w="1694"/>
            <w:vAlign w:val="center"/>
            <w:tcMar>
              <w:top w:w="90" w:type="dxa"/>
              <w:start w:w="90" w:type="dxa"/>
              <w:bottom w:w="90" w:type="dxa"/>
              <w:end w:w="90" w:type="dxa"/>
            </w:tcMar>
          </w:tcPr>
          <w:p>
            <w:r>
              <w:rPr>
                <w:sz w:val="15"/>
              </w:rPr>
              <w:t>F1 F3 F4 F2</w:t>
            </w:r>
          </w:p>
        </w:tc>
        <w:tc>
          <w:tcPr>
            <w:tcW w:type="dxa" w:w="1694"/>
            <w:vAlign w:val="center"/>
            <w:tcMar>
              <w:top w:w="90" w:type="dxa"/>
              <w:start w:w="90" w:type="dxa"/>
              <w:bottom w:w="90" w:type="dxa"/>
              <w:end w:w="90" w:type="dxa"/>
            </w:tcMar>
          </w:tcPr>
          <w:p>
            <w:r>
              <w:rPr>
                <w:sz w:val="15"/>
              </w:rPr>
              <w:t>Ideal/óptimo</w:t>
            </w:r>
          </w:p>
        </w:tc>
        <w:tc>
          <w:tcPr>
            <w:tcW w:type="dxa" w:w="1694"/>
            <w:vAlign w:val="center"/>
            <w:tcMar>
              <w:top w:w="90" w:type="dxa"/>
              <w:start w:w="90" w:type="dxa"/>
              <w:bottom w:w="90" w:type="dxa"/>
              <w:end w:w="90" w:type="dxa"/>
            </w:tcMar>
          </w:tcPr>
          <w:p>
            <w:r>
              <w:rPr>
                <w:sz w:val="15"/>
              </w:rPr>
              <w:t>red incompleta y acceso legal</w:t>
            </w:r>
          </w:p>
        </w:tc>
      </w:tr>
      <w:tr>
        <w:tc>
          <w:tcPr>
            <w:tcW w:type="dxa" w:w="1694"/>
            <w:vAlign w:val="center"/>
            <w:tcMar>
              <w:top w:w="90" w:type="dxa"/>
              <w:start w:w="90" w:type="dxa"/>
              <w:bottom w:w="90" w:type="dxa"/>
              <w:end w:w="90" w:type="dxa"/>
            </w:tcMar>
            <w:shd w:fill="F1F5F9"/>
          </w:tcPr>
          <w:p>
            <w:r>
              <w:rPr>
                <w:sz w:val="15"/>
              </w:rPr>
              <w:t>Encuestas expectativas</w:t>
            </w:r>
          </w:p>
        </w:tc>
        <w:tc>
          <w:tcPr>
            <w:tcW w:type="dxa" w:w="1694"/>
            <w:vAlign w:val="center"/>
            <w:tcMar>
              <w:top w:w="90" w:type="dxa"/>
              <w:start w:w="90" w:type="dxa"/>
              <w:bottom w:w="90" w:type="dxa"/>
              <w:end w:w="90" w:type="dxa"/>
            </w:tcMar>
            <w:shd w:fill="F1F5F9"/>
          </w:tcPr>
          <w:p>
            <w:r>
              <w:rPr>
                <w:sz w:val="15"/>
              </w:rPr>
              <w:t>forecast individual/agregado, horizonte, respuesta, tratamiento; onda</w:t>
            </w:r>
          </w:p>
        </w:tc>
        <w:tc>
          <w:tcPr>
            <w:tcW w:type="dxa" w:w="1694"/>
            <w:vAlign w:val="center"/>
            <w:tcMar>
              <w:top w:w="90" w:type="dxa"/>
              <w:start w:w="90" w:type="dxa"/>
              <w:bottom w:w="90" w:type="dxa"/>
              <w:end w:w="90" w:type="dxa"/>
            </w:tcMar>
            <w:shd w:fill="F1F5F9"/>
          </w:tcPr>
          <w:p>
            <w:r>
              <w:rPr>
                <w:sz w:val="15"/>
              </w:rPr>
              <w:t>fecha, target, cuestionario, panel, weights, consent</w:t>
            </w:r>
          </w:p>
        </w:tc>
        <w:tc>
          <w:tcPr>
            <w:tcW w:type="dxa" w:w="1694"/>
            <w:vAlign w:val="center"/>
            <w:tcMar>
              <w:top w:w="90" w:type="dxa"/>
              <w:start w:w="90" w:type="dxa"/>
              <w:bottom w:w="90" w:type="dxa"/>
              <w:end w:w="90" w:type="dxa"/>
            </w:tcMar>
            <w:shd w:fill="F1F5F9"/>
          </w:tcPr>
          <w:p>
            <w:r>
              <w:rPr>
                <w:sz w:val="15"/>
              </w:rPr>
              <w:t>D4 E3 F5</w:t>
            </w:r>
          </w:p>
        </w:tc>
        <w:tc>
          <w:tcPr>
            <w:tcW w:type="dxa" w:w="1694"/>
            <w:vAlign w:val="center"/>
            <w:tcMar>
              <w:top w:w="90" w:type="dxa"/>
              <w:start w:w="90" w:type="dxa"/>
              <w:bottom w:w="90" w:type="dxa"/>
              <w:end w:w="90" w:type="dxa"/>
            </w:tcMar>
            <w:shd w:fill="F1F5F9"/>
          </w:tcPr>
          <w:p>
            <w:r>
              <w:rPr>
                <w:sz w:val="15"/>
              </w:rPr>
              <w:t>Suficiente/óptimo</w:t>
            </w:r>
          </w:p>
        </w:tc>
        <w:tc>
          <w:tcPr>
            <w:tcW w:type="dxa" w:w="1694"/>
            <w:vAlign w:val="center"/>
            <w:tcMar>
              <w:top w:w="90" w:type="dxa"/>
              <w:start w:w="90" w:type="dxa"/>
              <w:bottom w:w="90" w:type="dxa"/>
              <w:end w:w="90" w:type="dxa"/>
            </w:tcMar>
            <w:shd w:fill="F1F5F9"/>
          </w:tcPr>
          <w:p>
            <w:r>
              <w:rPr>
                <w:sz w:val="15"/>
              </w:rPr>
              <w:t>composición y attrition</w:t>
            </w:r>
          </w:p>
        </w:tc>
      </w:tr>
      <w:tr>
        <w:tc>
          <w:tcPr>
            <w:tcW w:type="dxa" w:w="1694"/>
            <w:vAlign w:val="center"/>
            <w:tcMar>
              <w:top w:w="90" w:type="dxa"/>
              <w:start w:w="90" w:type="dxa"/>
              <w:bottom w:w="90" w:type="dxa"/>
              <w:end w:w="90" w:type="dxa"/>
            </w:tcMar>
          </w:tcPr>
          <w:p>
            <w:r>
              <w:rPr>
                <w:sz w:val="15"/>
              </w:rPr>
              <w:t>Calendario institucional</w:t>
            </w:r>
          </w:p>
        </w:tc>
        <w:tc>
          <w:tcPr>
            <w:tcW w:type="dxa" w:w="1694"/>
            <w:vAlign w:val="center"/>
            <w:tcMar>
              <w:top w:w="90" w:type="dxa"/>
              <w:start w:w="90" w:type="dxa"/>
              <w:bottom w:w="90" w:type="dxa"/>
              <w:end w:w="90" w:type="dxa"/>
            </w:tcMar>
          </w:tcPr>
          <w:p>
            <w:r>
              <w:rPr>
                <w:sz w:val="15"/>
              </w:rPr>
              <w:t>COPOM (fecha y hora), encaje, tope de tarjetas, alivio crediticio, combustibles, salario mínimo, hitos SPI; evento</w:t>
            </w:r>
          </w:p>
        </w:tc>
        <w:tc>
          <w:tcPr>
            <w:tcW w:type="dxa" w:w="1694"/>
            <w:vAlign w:val="center"/>
            <w:tcMar>
              <w:top w:w="90" w:type="dxa"/>
              <w:start w:w="90" w:type="dxa"/>
              <w:bottom w:w="90" w:type="dxa"/>
              <w:end w:w="90" w:type="dxa"/>
            </w:tcMar>
          </w:tcPr>
          <w:p>
            <w:r>
              <w:rPr>
                <w:sz w:val="15"/>
              </w:rPr>
              <w:t>anuncio vs. vigencia, norma, valor anterior y nuevo</w:t>
            </w:r>
          </w:p>
        </w:tc>
        <w:tc>
          <w:tcPr>
            <w:tcW w:type="dxa" w:w="1694"/>
            <w:vAlign w:val="center"/>
            <w:tcMar>
              <w:top w:w="90" w:type="dxa"/>
              <w:start w:w="90" w:type="dxa"/>
              <w:bottom w:w="90" w:type="dxa"/>
              <w:end w:w="90" w:type="dxa"/>
            </w:tcMar>
          </w:tcPr>
          <w:p>
            <w:r>
              <w:rPr>
                <w:sz w:val="15"/>
              </w:rPr>
              <w:t>A1 A2 A3 B1 C5 C6 D6 E3 F7 G1 G3</w:t>
            </w:r>
          </w:p>
        </w:tc>
        <w:tc>
          <w:tcPr>
            <w:tcW w:type="dxa" w:w="1694"/>
            <w:vAlign w:val="center"/>
            <w:tcMar>
              <w:top w:w="90" w:type="dxa"/>
              <w:start w:w="90" w:type="dxa"/>
              <w:bottom w:w="90" w:type="dxa"/>
              <w:end w:w="90" w:type="dxa"/>
            </w:tcMar>
          </w:tcPr>
          <w:p>
            <w:r>
              <w:rPr>
                <w:sz w:val="15"/>
              </w:rPr>
              <w:t>Mínimo</w:t>
            </w:r>
          </w:p>
        </w:tc>
        <w:tc>
          <w:tcPr>
            <w:tcW w:type="dxa" w:w="1694"/>
            <w:vAlign w:val="center"/>
            <w:tcMar>
              <w:top w:w="90" w:type="dxa"/>
              <w:start w:w="90" w:type="dxa"/>
              <w:bottom w:w="90" w:type="dxa"/>
              <w:end w:w="90" w:type="dxa"/>
            </w:tcMar>
          </w:tcPr>
          <w:p>
            <w:r>
              <w:rPr>
                <w:sz w:val="15"/>
              </w:rPr>
              <w:t>fechar por vigencia y no por anuncio</w:t>
            </w:r>
          </w:p>
        </w:tc>
      </w:tr>
      <w:tr>
        <w:tc>
          <w:tcPr>
            <w:tcW w:type="dxa" w:w="1694"/>
            <w:vAlign w:val="center"/>
            <w:tcMar>
              <w:top w:w="90" w:type="dxa"/>
              <w:start w:w="90" w:type="dxa"/>
              <w:bottom w:w="90" w:type="dxa"/>
              <w:end w:w="90" w:type="dxa"/>
            </w:tcMar>
          </w:tcPr>
          <w:p>
            <w:r>
              <w:rPr>
                <w:sz w:val="15"/>
              </w:rPr>
              <w:t>Fiscal, laboral y regional</w:t>
            </w:r>
          </w:p>
        </w:tc>
        <w:tc>
          <w:tcPr>
            <w:tcW w:type="dxa" w:w="1694"/>
            <w:vAlign w:val="center"/>
            <w:tcMar>
              <w:top w:w="90" w:type="dxa"/>
              <w:start w:w="90" w:type="dxa"/>
              <w:bottom w:w="90" w:type="dxa"/>
              <w:end w:w="90" w:type="dxa"/>
            </w:tcMar>
          </w:tcPr>
          <w:p>
            <w:r>
              <w:rPr>
                <w:sz w:val="15"/>
              </w:rPr>
              <w:t>estado de operaciones MEF mensual, EPHC trimestral, FMI 9 países, remesas por origen</w:t>
            </w:r>
          </w:p>
        </w:tc>
        <w:tc>
          <w:tcPr>
            <w:tcW w:type="dxa" w:w="1694"/>
            <w:vAlign w:val="center"/>
            <w:tcMar>
              <w:top w:w="90" w:type="dxa"/>
              <w:start w:w="90" w:type="dxa"/>
              <w:bottom w:w="90" w:type="dxa"/>
              <w:end w:w="90" w:type="dxa"/>
            </w:tcMar>
          </w:tcPr>
          <w:p>
            <w:r>
              <w:rPr>
                <w:sz w:val="15"/>
              </w:rPr>
              <w:t>clasificación MEFP, marco muestral EPHC, definiciones FMI</w:t>
            </w:r>
          </w:p>
        </w:tc>
        <w:tc>
          <w:tcPr>
            <w:tcW w:type="dxa" w:w="1694"/>
            <w:vAlign w:val="center"/>
            <w:tcMar>
              <w:top w:w="90" w:type="dxa"/>
              <w:start w:w="90" w:type="dxa"/>
              <w:bottom w:w="90" w:type="dxa"/>
              <w:end w:w="90" w:type="dxa"/>
            </w:tcMar>
          </w:tcPr>
          <w:p>
            <w:r>
              <w:rPr>
                <w:sz w:val="15"/>
              </w:rPr>
              <w:t>G1 G2 G3 G4 G5 F6</w:t>
            </w:r>
          </w:p>
        </w:tc>
        <w:tc>
          <w:tcPr>
            <w:tcW w:type="dxa" w:w="1694"/>
            <w:vAlign w:val="center"/>
            <w:tcMar>
              <w:top w:w="90" w:type="dxa"/>
              <w:start w:w="90" w:type="dxa"/>
              <w:bottom w:w="90" w:type="dxa"/>
              <w:end w:w="90" w:type="dxa"/>
            </w:tcMar>
          </w:tcPr>
          <w:p>
            <w:r>
              <w:rPr>
                <w:sz w:val="15"/>
              </w:rPr>
              <w:t>Mínimo/suficiente</w:t>
            </w:r>
          </w:p>
        </w:tc>
        <w:tc>
          <w:tcPr>
            <w:tcW w:type="dxa" w:w="1694"/>
            <w:vAlign w:val="center"/>
            <w:tcMar>
              <w:top w:w="90" w:type="dxa"/>
              <w:start w:w="90" w:type="dxa"/>
              <w:bottom w:w="90" w:type="dxa"/>
              <w:end w:w="90" w:type="dxa"/>
            </w:tcMar>
          </w:tcPr>
          <w:p>
            <w:r>
              <w:rPr>
                <w:sz w:val="15"/>
              </w:rPr>
              <w:t>series posicionales sin verificar</w:t>
            </w:r>
          </w:p>
        </w:tc>
      </w:tr>
    </w:tbl>
    <w:p>
      <w:pPr>
        <w:pStyle w:val="Heading1"/>
      </w:pPr>
      <w:r>
        <w:t>Priorización conceptual</w:t>
      </w:r>
    </w:p>
    <w:p>
      <w:pPr>
        <w:spacing w:after="100" w:line="259" w:lineRule="auto"/>
      </w:pPr>
      <w:r>
        <w:t>Prioridad A - iniciar diseño y preservar datos. A1 (implementación y liquidez), B2 (marco cambiario), D1 (ENSO no lineal), E1 (combinación/reconciliación), E2 (archivo real-time), E3 (anclaje/desacuerdo agregado), C2 (depósitos duales) y F5-N9 (índices de inflación por grupos). Combinan pregunta clara, valor de política y producto útil aun sin causalidad fuerte. Versión 2: se agregan A2 (sorpresas de alta frecuencia, que vuelve causales a otros proyectos), C5 módulo de encaje, F6 (shocks argentinos) y G1 (política fiscal); E1 y E2 quedan condicionados al archivo de vintages en construcción.</w:t>
      </w:r>
    </w:p>
    <w:p>
      <w:pPr>
        <w:spacing w:after="100" w:line="259" w:lineRule="auto"/>
      </w:pPr>
      <w:r>
        <w:t>Prioridad B - avanzar sólo tras gate de datos. B1 (intervención), C1 (liquidez USD/mismatch), C3 (bonos/deuda), C4 (contratos/riesgo), D2-D5 (mecanismos climáticos), F2 (pass-through/border) y F3 (río). Son prometedores, pero su título debe ajustarse al nivel de datos alcanzado. Versión 2: se agregan A3 (tras A2), C6, D6, G2, G3 y G4.</w:t>
      </w:r>
    </w:p>
    <w:p>
      <w:pPr>
        <w:spacing w:after="100" w:line="259" w:lineRule="auto"/>
      </w:pPr>
      <w:r>
        <w:t>Prioridad C - pilotos de medición o acceso. B3 (orden flow), F1 (facturas-pagos-red), F4 (pagos instantáneos), N10 dentro de F5 (experimento) y sustitución micro de C2. Versión 2: se agregan F7 (SPI y efectivo, descriptivo) y G5 (remesas, como módulo). El criterio no es entusiasmo ni novedad: validar la variable central, los identificadores y la variación de tratamiento antes de invertir en especificaciones.</w:t>
      </w:r>
    </w:p>
    <w:p>
      <w:pPr>
        <w:spacing w:after="100" w:line="259" w:lineRule="auto"/>
      </w:pPr>
      <w:r>
        <w:t>Regla de promoción. Profundizar cuando se alcance el nivel suficiente, el estimando mantenga una comparación creíble y el resultado nulo siga siendo útil. Rediseñar cuando los datos sostienen una descripción o predicción, pero no el mecanismo del título. Relegar cuando falte la variable central, la cobertura sea inestable o la identificación dependa de una historia institucional no verificable. Abandonar cuando el activo de datos no tenga valor compartido y no permita una versión honesta de menor alcance.</w:t>
      </w:r>
    </w:p>
    <w:p>
      <w:pPr>
        <w:pStyle w:val="Heading1"/>
      </w:pPr>
      <w:r>
        <w:t>Evaluación contra la base de datos (septiembre 2026)</w:t>
      </w:r>
    </w:p>
    <w:p>
      <w:pPr>
        <w:spacing w:after="100" w:line="259" w:lineRule="auto"/>
      </w:pPr>
      <w:r>
        <w:t xml:space="preserve">Viabilidad del ejercicio inicial de cada ficha con los datos disponibles en la base del BCP (esquema 49) más índices ENSO (NOAA), variables globales (FRED) y comercio por socio (FMI). Alta: variable central y controles disponibles; media: variable central disponible con limitaciones de frecuencia, cobertura o calidad; baja: falta la variable central. El detalle, las brechas y la priorización de datos faltantes están en proyectos/00_resumen_viabilidad.md.</w:t>
      </w:r>
    </w:p>
    <w:tbl>
      <w:tblPr>
        <w:tblStyle w:val="TableGrid"/>
        <w:tblW w:type="dxa" w:w="10164"/>
        <w:jc w:val="center"/>
        <w:tblLook w:firstColumn="1" w:firstRow="1" w:lastColumn="0" w:lastRow="0" w:noHBand="0" w:noVBand="1"/>
      </w:tblPr>
      <w:tblGrid>
        <w:gridCol w:w="2541"/>
        <w:gridCol w:w="2541"/>
        <w:gridCol w:w="2541"/>
        <w:gridCol w:w="2541"/>
      </w:tblGrid>
      <w:tr>
        <w:tc>
          <w:tcPr>
            <w:tcW w:type="dxa" w:w="2541"/>
            <w:vAlign w:val="center"/>
            <w:tcMar>
              <w:top w:w="90" w:type="dxa"/>
              <w:start w:w="90" w:type="dxa"/>
              <w:bottom w:w="90" w:type="dxa"/>
              <w:end w:w="90" w:type="dxa"/>
            </w:tcMar>
          </w:tcPr>
          <w:p>
            <w:r>
              <w:rPr>
                <w:b/>
                <w:sz w:val="15"/>
              </w:rPr>
              <w:t xml:space="preserve">Ficha</w:t>
            </w:r>
          </w:p>
        </w:tc>
        <w:tc>
          <w:tcPr>
            <w:tcW w:type="dxa" w:w="2541"/>
            <w:vAlign w:val="center"/>
            <w:tcMar>
              <w:top w:w="90" w:type="dxa"/>
              <w:start w:w="90" w:type="dxa"/>
              <w:bottom w:w="90" w:type="dxa"/>
              <w:end w:w="90" w:type="dxa"/>
            </w:tcMar>
          </w:tcPr>
          <w:p>
            <w:r>
              <w:rPr>
                <w:b/>
                <w:sz w:val="15"/>
              </w:rPr>
              <w:t xml:space="preserve">Viabilidad con datos actuales</w:t>
            </w:r>
          </w:p>
        </w:tc>
        <w:tc>
          <w:tcPr>
            <w:tcW w:type="dxa" w:w="2541"/>
            <w:vAlign w:val="center"/>
            <w:tcMar>
              <w:top w:w="90" w:type="dxa"/>
              <w:start w:w="90" w:type="dxa"/>
              <w:bottom w:w="90" w:type="dxa"/>
              <w:end w:w="90" w:type="dxa"/>
            </w:tcMar>
          </w:tcPr>
          <w:p>
            <w:r>
              <w:rPr>
                <w:b/>
                <w:sz w:val="15"/>
              </w:rPr>
              <w:t xml:space="preserve">Brecha principal</w:t>
            </w:r>
          </w:p>
        </w:tc>
        <w:tc>
          <w:tcPr>
            <w:tcW w:type="dxa" w:w="2541"/>
            <w:vAlign w:val="center"/>
            <w:tcMar>
              <w:top w:w="90" w:type="dxa"/>
              <w:start w:w="90" w:type="dxa"/>
              <w:bottom w:w="90" w:type="dxa"/>
              <w:end w:w="90" w:type="dxa"/>
            </w:tcMar>
          </w:tcPr>
          <w:p>
            <w:r>
              <w:rPr>
                <w:b/>
                <w:sz w:val="15"/>
              </w:rPr>
              <w:t xml:space="preserve">Carpeta en proyectos/</w:t>
            </w:r>
          </w:p>
        </w:tc>
      </w:tr>
      <w:tr>
        <w:tc>
          <w:tcPr>
            <w:tcW w:type="dxa" w:w="2541"/>
            <w:vAlign w:val="center"/>
            <w:tcMar>
              <w:top w:w="90" w:type="dxa"/>
              <w:start w:w="90" w:type="dxa"/>
              <w:bottom w:w="90" w:type="dxa"/>
              <w:end w:w="90" w:type="dxa"/>
            </w:tcMar>
          </w:tcPr>
          <w:p>
            <w:r>
              <w:rPr>
                <w:sz w:val="15"/>
              </w:rPr>
              <w:t xml:space="preserve">A1 Reservas y liquidez FX</w:t>
            </w:r>
          </w:p>
        </w:tc>
        <w:tc>
          <w:tcPr>
            <w:tcW w:type="dxa" w:w="2541"/>
            <w:vAlign w:val="center"/>
            <w:tcMar>
              <w:top w:w="90" w:type="dxa"/>
              <w:start w:w="90" w:type="dxa"/>
              <w:bottom w:w="90" w:type="dxa"/>
              <w:end w:w="90" w:type="dxa"/>
            </w:tcMar>
          </w:tcPr>
          <w:p>
            <w:r>
              <w:rPr>
                <w:sz w:val="15"/>
              </w:rPr>
              <w:t xml:space="preserve">Media</w:t>
            </w:r>
          </w:p>
        </w:tc>
        <w:tc>
          <w:tcPr>
            <w:tcW w:type="dxa" w:w="2541"/>
            <w:vAlign w:val="center"/>
            <w:tcMar>
              <w:top w:w="90" w:type="dxa"/>
              <w:start w:w="90" w:type="dxa"/>
              <w:bottom w:w="90" w:type="dxa"/>
              <w:end w:w="90" w:type="dxa"/>
            </w:tcMar>
          </w:tcPr>
          <w:p>
            <w:r>
              <w:rPr>
                <w:sz w:val="15"/>
              </w:rPr>
              <w:t xml:space="preserve">Reservas bancarias diarias; calendario del corredor</w:t>
            </w:r>
          </w:p>
        </w:tc>
        <w:tc>
          <w:tcPr>
            <w:tcW w:type="dxa" w:w="2541"/>
            <w:vAlign w:val="center"/>
            <w:tcMar>
              <w:top w:w="90" w:type="dxa"/>
              <w:start w:w="90" w:type="dxa"/>
              <w:bottom w:w="90" w:type="dxa"/>
              <w:end w:w="90" w:type="dxa"/>
            </w:tcMar>
          </w:tcPr>
          <w:p>
            <w:r>
              <w:rPr>
                <w:sz w:val="15"/>
              </w:rPr>
              <w:t xml:space="preserve">01_a1_reservas_liquidez</w:t>
            </w:r>
          </w:p>
        </w:tc>
      </w:tr>
      <w:tr>
        <w:tc>
          <w:tcPr>
            <w:tcW w:type="dxa" w:w="2541"/>
            <w:vAlign w:val="center"/>
            <w:tcMar>
              <w:top w:w="90" w:type="dxa"/>
              <w:start w:w="90" w:type="dxa"/>
              <w:bottom w:w="90" w:type="dxa"/>
              <w:end w:w="90" w:type="dxa"/>
            </w:tcMar>
          </w:tcPr>
          <w:p>
            <w:r>
              <w:rPr>
                <w:sz w:val="15"/>
              </w:rPr>
              <w:t xml:space="preserve">A2 Sorpresas de alta frecuencia (nueva)</w:t>
            </w:r>
          </w:p>
        </w:tc>
        <w:tc>
          <w:tcPr>
            <w:tcW w:type="dxa" w:w="2541"/>
            <w:vAlign w:val="center"/>
            <w:tcMar>
              <w:top w:w="90" w:type="dxa"/>
              <w:start w:w="90" w:type="dxa"/>
              <w:bottom w:w="90" w:type="dxa"/>
              <w:end w:w="90" w:type="dxa"/>
            </w:tcMar>
          </w:tcPr>
          <w:p>
            <w:r>
              <w:rPr>
                <w:sz w:val="15"/>
              </w:rPr>
              <w:t xml:space="preserve">Media-alta</w:t>
            </w:r>
          </w:p>
        </w:tc>
        <w:tc>
          <w:tcPr>
            <w:tcW w:type="dxa" w:w="2541"/>
            <w:vAlign w:val="center"/>
            <w:tcMar>
              <w:top w:w="90" w:type="dxa"/>
              <w:start w:w="90" w:type="dxa"/>
              <w:bottom w:w="90" w:type="dxa"/>
              <w:end w:w="90" w:type="dxa"/>
            </w:tcMar>
          </w:tcPr>
          <w:p>
            <w:r>
              <w:rPr>
                <w:sz w:val="15"/>
              </w:rPr>
              <w:t xml:space="preserve">Calendario del COPOM</w:t>
            </w:r>
          </w:p>
        </w:tc>
        <w:tc>
          <w:tcPr>
            <w:tcW w:type="dxa" w:w="2541"/>
            <w:vAlign w:val="center"/>
            <w:tcMar>
              <w:top w:w="90" w:type="dxa"/>
              <w:start w:w="90" w:type="dxa"/>
              <w:bottom w:w="90" w:type="dxa"/>
              <w:end w:w="90" w:type="dxa"/>
            </w:tcMar>
          </w:tcPr>
          <w:p>
            <w:r>
              <w:rPr>
                <w:sz w:val="15"/>
              </w:rPr>
              <w:t xml:space="preserve">25_n4_sorpresas_monetarias</w:t>
            </w:r>
          </w:p>
        </w:tc>
      </w:tr>
      <w:tr>
        <w:tc>
          <w:tcPr>
            <w:tcW w:type="dxa" w:w="2541"/>
            <w:vAlign w:val="center"/>
            <w:tcMar>
              <w:top w:w="90" w:type="dxa"/>
              <w:start w:w="90" w:type="dxa"/>
              <w:bottom w:w="90" w:type="dxa"/>
              <w:end w:w="90" w:type="dxa"/>
            </w:tcMar>
          </w:tcPr>
          <w:p>
            <w:r>
              <w:rPr>
                <w:sz w:val="15"/>
              </w:rPr>
              <w:t xml:space="preserve">A3 Canal de crédito bancario (nueva)</w:t>
            </w:r>
          </w:p>
        </w:tc>
        <w:tc>
          <w:tcPr>
            <w:tcW w:type="dxa" w:w="2541"/>
            <w:vAlign w:val="center"/>
            <w:tcMar>
              <w:top w:w="90" w:type="dxa"/>
              <w:start w:w="90" w:type="dxa"/>
              <w:bottom w:w="90" w:type="dxa"/>
              <w:end w:w="90" w:type="dxa"/>
            </w:tcMar>
          </w:tcPr>
          <w:p>
            <w:r>
              <w:rPr>
                <w:sz w:val="15"/>
              </w:rPr>
              <w:t xml:space="preserve">Media (media-alta con A2)</w:t>
            </w:r>
          </w:p>
        </w:tc>
        <w:tc>
          <w:tcPr>
            <w:tcW w:type="dxa" w:w="2541"/>
            <w:vAlign w:val="center"/>
            <w:tcMar>
              <w:top w:w="90" w:type="dxa"/>
              <w:start w:w="90" w:type="dxa"/>
              <w:bottom w:w="90" w:type="dxa"/>
              <w:end w:w="90" w:type="dxa"/>
            </w:tcMar>
          </w:tcPr>
          <w:p>
            <w:r>
              <w:rPr>
                <w:sz w:val="15"/>
              </w:rPr>
              <w:t xml:space="preserve">Sorpresas de A2; originaciones</w:t>
            </w:r>
          </w:p>
        </w:tc>
        <w:tc>
          <w:tcPr>
            <w:tcW w:type="dxa" w:w="2541"/>
            <w:vAlign w:val="center"/>
            <w:tcMar>
              <w:top w:w="90" w:type="dxa"/>
              <w:start w:w="90" w:type="dxa"/>
              <w:bottom w:w="90" w:type="dxa"/>
              <w:end w:w="90" w:type="dxa"/>
            </w:tcMar>
          </w:tcPr>
          <w:p>
            <w:r>
              <w:rPr>
                <w:sz w:val="15"/>
              </w:rPr>
              <w:t xml:space="preserve">29_n8_canal_credito_bancario</w:t>
            </w:r>
          </w:p>
        </w:tc>
      </w:tr>
      <w:tr>
        <w:tc>
          <w:tcPr>
            <w:tcW w:type="dxa" w:w="2541"/>
            <w:vAlign w:val="center"/>
            <w:tcMar>
              <w:top w:w="90" w:type="dxa"/>
              <w:start w:w="90" w:type="dxa"/>
              <w:bottom w:w="90" w:type="dxa"/>
              <w:end w:w="90" w:type="dxa"/>
            </w:tcMar>
          </w:tcPr>
          <w:p>
            <w:r>
              <w:rPr>
                <w:sz w:val="15"/>
              </w:rPr>
              <w:t xml:space="preserve">B1 Intervención cambiaria</w:t>
            </w:r>
          </w:p>
        </w:tc>
        <w:tc>
          <w:tcPr>
            <w:tcW w:type="dxa" w:w="2541"/>
            <w:vAlign w:val="center"/>
            <w:tcMar>
              <w:top w:w="90" w:type="dxa"/>
              <w:start w:w="90" w:type="dxa"/>
              <w:bottom w:w="90" w:type="dxa"/>
              <w:end w:w="90" w:type="dxa"/>
            </w:tcMar>
          </w:tcPr>
          <w:p>
            <w:r>
              <w:rPr>
                <w:sz w:val="15"/>
              </w:rPr>
              <w:t xml:space="preserve">Media</w:t>
            </w:r>
          </w:p>
        </w:tc>
        <w:tc>
          <w:tcPr>
            <w:tcW w:type="dxa" w:w="2541"/>
            <w:vAlign w:val="center"/>
            <w:tcMar>
              <w:top w:w="90" w:type="dxa"/>
              <w:start w:w="90" w:type="dxa"/>
              <w:bottom w:w="90" w:type="dxa"/>
              <w:end w:w="90" w:type="dxa"/>
            </w:tcMar>
          </w:tcPr>
          <w:p>
            <w:r>
              <w:rPr>
                <w:sz w:val="15"/>
              </w:rPr>
              <w:t xml:space="preserve">Tipo y hora diarios de operaciones</w:t>
            </w:r>
          </w:p>
        </w:tc>
        <w:tc>
          <w:tcPr>
            <w:tcW w:type="dxa" w:w="2541"/>
            <w:vAlign w:val="center"/>
            <w:tcMar>
              <w:top w:w="90" w:type="dxa"/>
              <w:start w:w="90" w:type="dxa"/>
              <w:bottom w:w="90" w:type="dxa"/>
              <w:end w:w="90" w:type="dxa"/>
            </w:tcMar>
          </w:tcPr>
          <w:p>
            <w:r>
              <w:rPr>
                <w:sz w:val="15"/>
              </w:rPr>
              <w:t xml:space="preserve">02_b1_intervencion_fx</w:t>
            </w:r>
          </w:p>
        </w:tc>
      </w:tr>
      <w:tr>
        <w:tc>
          <w:tcPr>
            <w:tcW w:type="dxa" w:w="2541"/>
            <w:vAlign w:val="center"/>
            <w:tcMar>
              <w:top w:w="90" w:type="dxa"/>
              <w:start w:w="90" w:type="dxa"/>
              <w:bottom w:w="90" w:type="dxa"/>
              <w:end w:w="90" w:type="dxa"/>
            </w:tcMar>
          </w:tcPr>
          <w:p>
            <w:r>
              <w:rPr>
                <w:sz w:val="15"/>
              </w:rPr>
              <w:t xml:space="preserve">B2 Marco multi-horizonte PYG/USD</w:t>
            </w:r>
          </w:p>
        </w:tc>
        <w:tc>
          <w:tcPr>
            <w:tcW w:type="dxa" w:w="2541"/>
            <w:vAlign w:val="center"/>
            <w:tcMar>
              <w:top w:w="90" w:type="dxa"/>
              <w:start w:w="90" w:type="dxa"/>
              <w:bottom w:w="90" w:type="dxa"/>
              <w:end w:w="90" w:type="dxa"/>
            </w:tcMar>
          </w:tcPr>
          <w:p>
            <w:r>
              <w:rPr>
                <w:sz w:val="15"/>
              </w:rPr>
              <w:t xml:space="preserve">Alta</w:t>
            </w:r>
          </w:p>
        </w:tc>
        <w:tc>
          <w:tcPr>
            <w:tcW w:type="dxa" w:w="2541"/>
            <w:vAlign w:val="center"/>
            <w:tcMar>
              <w:top w:w="90" w:type="dxa"/>
              <w:start w:w="90" w:type="dxa"/>
              <w:bottom w:w="90" w:type="dxa"/>
              <w:end w:w="90" w:type="dxa"/>
            </w:tcMar>
          </w:tcPr>
          <w:p>
            <w:r>
              <w:rPr>
                <w:sz w:val="15"/>
              </w:rPr>
              <w:t xml:space="preserve">DXY; forwards</w:t>
            </w:r>
          </w:p>
        </w:tc>
        <w:tc>
          <w:tcPr>
            <w:tcW w:type="dxa" w:w="2541"/>
            <w:vAlign w:val="center"/>
            <w:tcMar>
              <w:top w:w="90" w:type="dxa"/>
              <w:start w:w="90" w:type="dxa"/>
              <w:bottom w:w="90" w:type="dxa"/>
              <w:end w:w="90" w:type="dxa"/>
            </w:tcMar>
          </w:tcPr>
          <w:p>
            <w:r>
              <w:rPr>
                <w:sz w:val="15"/>
              </w:rPr>
              <w:t xml:space="preserve">03_b2_tc_multihorizonte</w:t>
            </w:r>
          </w:p>
        </w:tc>
      </w:tr>
      <w:tr>
        <w:tc>
          <w:tcPr>
            <w:tcW w:type="dxa" w:w="2541"/>
            <w:vAlign w:val="center"/>
            <w:tcMar>
              <w:top w:w="90" w:type="dxa"/>
              <w:start w:w="90" w:type="dxa"/>
              <w:bottom w:w="90" w:type="dxa"/>
              <w:end w:w="90" w:type="dxa"/>
            </w:tcMar>
          </w:tcPr>
          <w:p>
            <w:r>
              <w:rPr>
                <w:sz w:val="15"/>
              </w:rPr>
              <w:t xml:space="preserve">B3 Flujo de órdenes FX</w:t>
            </w:r>
          </w:p>
        </w:tc>
        <w:tc>
          <w:tcPr>
            <w:tcW w:type="dxa" w:w="2541"/>
            <w:vAlign w:val="center"/>
            <w:tcMar>
              <w:top w:w="90" w:type="dxa"/>
              <w:start w:w="90" w:type="dxa"/>
              <w:bottom w:w="90" w:type="dxa"/>
              <w:end w:w="90" w:type="dxa"/>
            </w:tcMar>
          </w:tcPr>
          <w:p>
            <w:r>
              <w:rPr>
                <w:sz w:val="15"/>
              </w:rPr>
              <w:t xml:space="preserve">Baja</w:t>
            </w:r>
          </w:p>
        </w:tc>
        <w:tc>
          <w:tcPr>
            <w:tcW w:type="dxa" w:w="2541"/>
            <w:vAlign w:val="center"/>
            <w:tcMar>
              <w:top w:w="90" w:type="dxa"/>
              <w:start w:w="90" w:type="dxa"/>
              <w:bottom w:w="90" w:type="dxa"/>
              <w:end w:w="90" w:type="dxa"/>
            </w:tcMar>
          </w:tcPr>
          <w:p>
            <w:r>
              <w:rPr>
                <w:sz w:val="15"/>
              </w:rPr>
              <w:t xml:space="preserve">Flujo firmado por agente</w:t>
            </w:r>
          </w:p>
        </w:tc>
        <w:tc>
          <w:tcPr>
            <w:tcW w:type="dxa" w:w="2541"/>
            <w:vAlign w:val="center"/>
            <w:tcMar>
              <w:top w:w="90" w:type="dxa"/>
              <w:start w:w="90" w:type="dxa"/>
              <w:bottom w:w="90" w:type="dxa"/>
              <w:end w:w="90" w:type="dxa"/>
            </w:tcMar>
          </w:tcPr>
          <w:p>
            <w:r>
              <w:rPr>
                <w:sz w:val="15"/>
              </w:rPr>
              <w:t xml:space="preserve">sin carpeta</w:t>
            </w:r>
          </w:p>
        </w:tc>
      </w:tr>
      <w:tr>
        <w:tc>
          <w:tcPr>
            <w:tcW w:type="dxa" w:w="2541"/>
            <w:vAlign w:val="center"/>
            <w:tcMar>
              <w:top w:w="90" w:type="dxa"/>
              <w:start w:w="90" w:type="dxa"/>
              <w:bottom w:w="90" w:type="dxa"/>
              <w:end w:w="90" w:type="dxa"/>
            </w:tcMar>
          </w:tcPr>
          <w:p>
            <w:r>
              <w:rPr>
                <w:sz w:val="15"/>
              </w:rPr>
              <w:t xml:space="preserve">C1 Liquidez USD y descalce</w:t>
            </w:r>
          </w:p>
        </w:tc>
        <w:tc>
          <w:tcPr>
            <w:tcW w:type="dxa" w:w="2541"/>
            <w:vAlign w:val="center"/>
            <w:tcMar>
              <w:top w:w="90" w:type="dxa"/>
              <w:start w:w="90" w:type="dxa"/>
              <w:bottom w:w="90" w:type="dxa"/>
              <w:end w:w="90" w:type="dxa"/>
            </w:tcMar>
          </w:tcPr>
          <w:p>
            <w:r>
              <w:rPr>
                <w:sz w:val="15"/>
              </w:rPr>
              <w:t xml:space="preserve">Media</w:t>
            </w:r>
          </w:p>
        </w:tc>
        <w:tc>
          <w:tcPr>
            <w:tcW w:type="dxa" w:w="2541"/>
            <w:vAlign w:val="center"/>
            <w:tcMar>
              <w:top w:w="90" w:type="dxa"/>
              <w:start w:w="90" w:type="dxa"/>
              <w:bottom w:w="90" w:type="dxa"/>
              <w:end w:w="90" w:type="dxa"/>
            </w:tcMar>
          </w:tcPr>
          <w:p>
            <w:r>
              <w:rPr>
                <w:sz w:val="15"/>
              </w:rPr>
              <w:t xml:space="preserve">Registro de crédito; plazo residual</w:t>
            </w:r>
          </w:p>
        </w:tc>
        <w:tc>
          <w:tcPr>
            <w:tcW w:type="dxa" w:w="2541"/>
            <w:vAlign w:val="center"/>
            <w:tcMar>
              <w:top w:w="90" w:type="dxa"/>
              <w:start w:w="90" w:type="dxa"/>
              <w:bottom w:w="90" w:type="dxa"/>
              <w:end w:w="90" w:type="dxa"/>
            </w:tcMar>
          </w:tcPr>
          <w:p>
            <w:r>
              <w:rPr>
                <w:sz w:val="15"/>
              </w:rPr>
              <w:t xml:space="preserve">05_c1_liquidez_usd_descalce</w:t>
            </w:r>
          </w:p>
        </w:tc>
      </w:tr>
      <w:tr>
        <w:tc>
          <w:tcPr>
            <w:tcW w:type="dxa" w:w="2541"/>
            <w:vAlign w:val="center"/>
            <w:tcMar>
              <w:top w:w="90" w:type="dxa"/>
              <w:start w:w="90" w:type="dxa"/>
              <w:bottom w:w="90" w:type="dxa"/>
              <w:end w:w="90" w:type="dxa"/>
            </w:tcMar>
          </w:tcPr>
          <w:p>
            <w:r>
              <w:rPr>
                <w:sz w:val="15"/>
              </w:rPr>
              <w:t xml:space="preserve">C2 Depósitos y sustitución</w:t>
            </w:r>
          </w:p>
        </w:tc>
        <w:tc>
          <w:tcPr>
            <w:tcW w:type="dxa" w:w="2541"/>
            <w:vAlign w:val="center"/>
            <w:tcMar>
              <w:top w:w="90" w:type="dxa"/>
              <w:start w:w="90" w:type="dxa"/>
              <w:bottom w:w="90" w:type="dxa"/>
              <w:end w:w="90" w:type="dxa"/>
            </w:tcMar>
          </w:tcPr>
          <w:p>
            <w:r>
              <w:rPr>
                <w:sz w:val="15"/>
              </w:rPr>
              <w:t xml:space="preserve">Media-alta / Baja (coop.)</w:t>
            </w:r>
          </w:p>
        </w:tc>
        <w:tc>
          <w:tcPr>
            <w:tcW w:type="dxa" w:w="2541"/>
            <w:vAlign w:val="center"/>
            <w:tcMar>
              <w:top w:w="90" w:type="dxa"/>
              <w:start w:w="90" w:type="dxa"/>
              <w:bottom w:w="90" w:type="dxa"/>
              <w:end w:w="90" w:type="dxa"/>
            </w:tcMar>
          </w:tcPr>
          <w:p>
            <w:r>
              <w:rPr>
                <w:sz w:val="15"/>
              </w:rPr>
              <w:t xml:space="preserve">Tasas por banco; INCOOP</w:t>
            </w:r>
          </w:p>
        </w:tc>
        <w:tc>
          <w:tcPr>
            <w:tcW w:type="dxa" w:w="2541"/>
            <w:vAlign w:val="center"/>
            <w:tcMar>
              <w:top w:w="90" w:type="dxa"/>
              <w:start w:w="90" w:type="dxa"/>
              <w:bottom w:w="90" w:type="dxa"/>
              <w:end w:w="90" w:type="dxa"/>
            </w:tcMar>
          </w:tcPr>
          <w:p>
            <w:r>
              <w:rPr>
                <w:sz w:val="15"/>
              </w:rPr>
              <w:t xml:space="preserve">06_c2_depositos_credito</w:t>
            </w:r>
          </w:p>
        </w:tc>
      </w:tr>
      <w:tr>
        <w:tc>
          <w:tcPr>
            <w:tcW w:type="dxa" w:w="2541"/>
            <w:vAlign w:val="center"/>
            <w:tcMar>
              <w:top w:w="90" w:type="dxa"/>
              <w:start w:w="90" w:type="dxa"/>
              <w:bottom w:w="90" w:type="dxa"/>
              <w:end w:w="90" w:type="dxa"/>
            </w:tcMar>
          </w:tcPr>
          <w:p>
            <w:r>
              <w:rPr>
                <w:sz w:val="15"/>
              </w:rPr>
              <w:t xml:space="preserve">C3 Bonos y deuda pública</w:t>
            </w:r>
          </w:p>
        </w:tc>
        <w:tc>
          <w:tcPr>
            <w:tcW w:type="dxa" w:w="2541"/>
            <w:vAlign w:val="center"/>
            <w:tcMar>
              <w:top w:w="90" w:type="dxa"/>
              <w:start w:w="90" w:type="dxa"/>
              <w:bottom w:w="90" w:type="dxa"/>
              <w:end w:w="90" w:type="dxa"/>
            </w:tcMar>
          </w:tcPr>
          <w:p>
            <w:r>
              <w:rPr>
                <w:sz w:val="15"/>
              </w:rPr>
              <w:t xml:space="preserve">Media</w:t>
            </w:r>
          </w:p>
        </w:tc>
        <w:tc>
          <w:tcPr>
            <w:tcW w:type="dxa" w:w="2541"/>
            <w:vAlign w:val="center"/>
            <w:tcMar>
              <w:top w:w="90" w:type="dxa"/>
              <w:start w:w="90" w:type="dxa"/>
              <w:bottom w:w="90" w:type="dxa"/>
              <w:end w:w="90" w:type="dxa"/>
            </w:tcMar>
          </w:tcPr>
          <w:p>
            <w:r>
              <w:rPr>
                <w:sz w:val="15"/>
              </w:rPr>
              <w:t xml:space="preserve">Subastas del Tesoro</w:t>
            </w:r>
          </w:p>
        </w:tc>
        <w:tc>
          <w:tcPr>
            <w:tcW w:type="dxa" w:w="2541"/>
            <w:vAlign w:val="center"/>
            <w:tcMar>
              <w:top w:w="90" w:type="dxa"/>
              <w:start w:w="90" w:type="dxa"/>
              <w:bottom w:w="90" w:type="dxa"/>
              <w:end w:w="90" w:type="dxa"/>
            </w:tcMar>
          </w:tcPr>
          <w:p>
            <w:r>
              <w:rPr>
                <w:sz w:val="15"/>
              </w:rPr>
              <w:t xml:space="preserve">07_c3_bonos_deuda_publica</w:t>
            </w:r>
          </w:p>
        </w:tc>
      </w:tr>
      <w:tr>
        <w:tc>
          <w:tcPr>
            <w:tcW w:type="dxa" w:w="2541"/>
            <w:vAlign w:val="center"/>
            <w:tcMar>
              <w:top w:w="90" w:type="dxa"/>
              <w:start w:w="90" w:type="dxa"/>
              <w:bottom w:w="90" w:type="dxa"/>
              <w:end w:w="90" w:type="dxa"/>
            </w:tcMar>
          </w:tcPr>
          <w:p>
            <w:r>
              <w:rPr>
                <w:sz w:val="15"/>
              </w:rPr>
              <w:t xml:space="preserve">C4 Repricing y riesgo</w:t>
            </w:r>
          </w:p>
        </w:tc>
        <w:tc>
          <w:tcPr>
            <w:tcW w:type="dxa" w:w="2541"/>
            <w:vAlign w:val="center"/>
            <w:tcMar>
              <w:top w:w="90" w:type="dxa"/>
              <w:start w:w="90" w:type="dxa"/>
              <w:bottom w:w="90" w:type="dxa"/>
              <w:end w:w="90" w:type="dxa"/>
            </w:tcMar>
          </w:tcPr>
          <w:p>
            <w:r>
              <w:rPr>
                <w:sz w:val="15"/>
              </w:rPr>
              <w:t xml:space="preserve">Baja</w:t>
            </w:r>
          </w:p>
        </w:tc>
        <w:tc>
          <w:tcPr>
            <w:tcW w:type="dxa" w:w="2541"/>
            <w:vAlign w:val="center"/>
            <w:tcMar>
              <w:top w:w="90" w:type="dxa"/>
              <w:start w:w="90" w:type="dxa"/>
              <w:bottom w:w="90" w:type="dxa"/>
              <w:end w:w="90" w:type="dxa"/>
            </w:tcMar>
          </w:tcPr>
          <w:p>
            <w:r>
              <w:rPr>
                <w:sz w:val="15"/>
              </w:rPr>
              <w:t xml:space="preserve">Contratos y reset</w:t>
            </w:r>
          </w:p>
        </w:tc>
        <w:tc>
          <w:tcPr>
            <w:tcW w:type="dxa" w:w="2541"/>
            <w:vAlign w:val="center"/>
            <w:tcMar>
              <w:top w:w="90" w:type="dxa"/>
              <w:start w:w="90" w:type="dxa"/>
              <w:bottom w:w="90" w:type="dxa"/>
              <w:end w:w="90" w:type="dxa"/>
            </w:tcMar>
          </w:tcPr>
          <w:p>
            <w:r>
              <w:rPr>
                <w:sz w:val="15"/>
              </w:rPr>
              <w:t xml:space="preserve">sin carpeta</w:t>
            </w:r>
          </w:p>
        </w:tc>
      </w:tr>
      <w:tr>
        <w:tc>
          <w:tcPr>
            <w:tcW w:type="dxa" w:w="2541"/>
            <w:vAlign w:val="center"/>
            <w:tcMar>
              <w:top w:w="90" w:type="dxa"/>
              <w:start w:w="90" w:type="dxa"/>
              <w:bottom w:w="90" w:type="dxa"/>
              <w:end w:w="90" w:type="dxa"/>
            </w:tcMar>
          </w:tcPr>
          <w:p>
            <w:r>
              <w:rPr>
                <w:sz w:val="15"/>
              </w:rPr>
              <w:t xml:space="preserve">C5 Regulación bancaria DiD (nueva)</w:t>
            </w:r>
          </w:p>
        </w:tc>
        <w:tc>
          <w:tcPr>
            <w:tcW w:type="dxa" w:w="2541"/>
            <w:vAlign w:val="center"/>
            <w:tcMar>
              <w:top w:w="90" w:type="dxa"/>
              <w:start w:w="90" w:type="dxa"/>
              <w:bottom w:w="90" w:type="dxa"/>
              <w:end w:w="90" w:type="dxa"/>
            </w:tcMar>
          </w:tcPr>
          <w:p>
            <w:r>
              <w:rPr>
                <w:sz w:val="15"/>
              </w:rPr>
              <w:t xml:space="preserve">Media-alta / Media-baja</w:t>
            </w:r>
          </w:p>
        </w:tc>
        <w:tc>
          <w:tcPr>
            <w:tcW w:type="dxa" w:w="2541"/>
            <w:vAlign w:val="center"/>
            <w:tcMar>
              <w:top w:w="90" w:type="dxa"/>
              <w:start w:w="90" w:type="dxa"/>
              <w:bottom w:w="90" w:type="dxa"/>
              <w:end w:w="90" w:type="dxa"/>
            </w:tcMar>
          </w:tcPr>
          <w:p>
            <w:r>
              <w:rPr>
                <w:sz w:val="15"/>
              </w:rPr>
              <w:t xml:space="preserve">Calendario regulatorio; boletines pre-2016</w:t>
            </w:r>
          </w:p>
        </w:tc>
        <w:tc>
          <w:tcPr>
            <w:tcW w:type="dxa" w:w="2541"/>
            <w:vAlign w:val="center"/>
            <w:tcMar>
              <w:top w:w="90" w:type="dxa"/>
              <w:start w:w="90" w:type="dxa"/>
              <w:bottom w:w="90" w:type="dxa"/>
              <w:end w:w="90" w:type="dxa"/>
            </w:tcMar>
          </w:tcPr>
          <w:p>
            <w:r>
              <w:rPr>
                <w:sz w:val="15"/>
              </w:rPr>
              <w:t xml:space="preserve">27_n6_regulacion_bancaria_did</w:t>
            </w:r>
          </w:p>
        </w:tc>
      </w:tr>
      <w:tr>
        <w:tc>
          <w:tcPr>
            <w:tcW w:type="dxa" w:w="2541"/>
            <w:vAlign w:val="center"/>
            <w:tcMar>
              <w:top w:w="90" w:type="dxa"/>
              <w:start w:w="90" w:type="dxa"/>
              <w:bottom w:w="90" w:type="dxa"/>
              <w:end w:w="90" w:type="dxa"/>
            </w:tcMar>
          </w:tcPr>
          <w:p>
            <w:r>
              <w:rPr>
                <w:sz w:val="15"/>
              </w:rPr>
              <w:t xml:space="preserve">C6 Alivio COVID (nueva)</w:t>
            </w:r>
          </w:p>
        </w:tc>
        <w:tc>
          <w:tcPr>
            <w:tcW w:type="dxa" w:w="2541"/>
            <w:vAlign w:val="center"/>
            <w:tcMar>
              <w:top w:w="90" w:type="dxa"/>
              <w:start w:w="90" w:type="dxa"/>
              <w:bottom w:w="90" w:type="dxa"/>
              <w:end w:w="90" w:type="dxa"/>
            </w:tcMar>
          </w:tcPr>
          <w:p>
            <w:r>
              <w:rPr>
                <w:sz w:val="15"/>
              </w:rPr>
              <w:t xml:space="preserve">Media</w:t>
            </w:r>
          </w:p>
        </w:tc>
        <w:tc>
          <w:tcPr>
            <w:tcW w:type="dxa" w:w="2541"/>
            <w:vAlign w:val="center"/>
            <w:tcMar>
              <w:top w:w="90" w:type="dxa"/>
              <w:start w:w="90" w:type="dxa"/>
              <w:bottom w:w="90" w:type="dxa"/>
              <w:end w:w="90" w:type="dxa"/>
            </w:tcMar>
          </w:tcPr>
          <w:p>
            <w:r>
              <w:rPr>
                <w:sz w:val="15"/>
              </w:rPr>
              <w:t xml:space="preserve">Resoluciones; registro de crédito</w:t>
            </w:r>
          </w:p>
        </w:tc>
        <w:tc>
          <w:tcPr>
            <w:tcW w:type="dxa" w:w="2541"/>
            <w:vAlign w:val="center"/>
            <w:tcMar>
              <w:top w:w="90" w:type="dxa"/>
              <w:start w:w="90" w:type="dxa"/>
              <w:bottom w:w="90" w:type="dxa"/>
              <w:end w:w="90" w:type="dxa"/>
            </w:tcMar>
          </w:tcPr>
          <w:p>
            <w:r>
              <w:rPr>
                <w:sz w:val="15"/>
              </w:rPr>
              <w:t xml:space="preserve">28_n7_alivio_covid</w:t>
            </w:r>
          </w:p>
        </w:tc>
      </w:tr>
      <w:tr>
        <w:tc>
          <w:tcPr>
            <w:tcW w:type="dxa" w:w="2541"/>
            <w:vAlign w:val="center"/>
            <w:tcMar>
              <w:top w:w="90" w:type="dxa"/>
              <w:start w:w="90" w:type="dxa"/>
              <w:bottom w:w="90" w:type="dxa"/>
              <w:end w:w="90" w:type="dxa"/>
            </w:tcMar>
          </w:tcPr>
          <w:p>
            <w:r>
              <w:rPr>
                <w:sz w:val="15"/>
              </w:rPr>
              <w:t xml:space="preserve">D1 ENSO no lineal</w:t>
            </w:r>
          </w:p>
        </w:tc>
        <w:tc>
          <w:tcPr>
            <w:tcW w:type="dxa" w:w="2541"/>
            <w:vAlign w:val="center"/>
            <w:tcMar>
              <w:top w:w="90" w:type="dxa"/>
              <w:start w:w="90" w:type="dxa"/>
              <w:bottom w:w="90" w:type="dxa"/>
              <w:end w:w="90" w:type="dxa"/>
            </w:tcMar>
          </w:tcPr>
          <w:p>
            <w:r>
              <w:rPr>
                <w:sz w:val="15"/>
              </w:rPr>
              <w:t xml:space="preserve">Alta</w:t>
            </w:r>
          </w:p>
        </w:tc>
        <w:tc>
          <w:tcPr>
            <w:tcW w:type="dxa" w:w="2541"/>
            <w:vAlign w:val="center"/>
            <w:tcMar>
              <w:top w:w="90" w:type="dxa"/>
              <w:start w:w="90" w:type="dxa"/>
              <w:bottom w:w="90" w:type="dxa"/>
              <w:end w:w="90" w:type="dxa"/>
            </w:tcMar>
          </w:tcPr>
          <w:p>
            <w:r>
              <w:rPr>
                <w:sz w:val="15"/>
              </w:rPr>
              <w:t xml:space="preserve">Clima físico (robustez)</w:t>
            </w:r>
          </w:p>
        </w:tc>
        <w:tc>
          <w:tcPr>
            <w:tcW w:type="dxa" w:w="2541"/>
            <w:vAlign w:val="center"/>
            <w:tcMar>
              <w:top w:w="90" w:type="dxa"/>
              <w:start w:w="90" w:type="dxa"/>
              <w:bottom w:w="90" w:type="dxa"/>
              <w:end w:w="90" w:type="dxa"/>
            </w:tcMar>
          </w:tcPr>
          <w:p>
            <w:r>
              <w:rPr>
                <w:sz w:val="15"/>
              </w:rPr>
              <w:t xml:space="preserve">09_d1_enso_no_lineal</w:t>
            </w:r>
          </w:p>
        </w:tc>
      </w:tr>
      <w:tr>
        <w:tc>
          <w:tcPr>
            <w:tcW w:type="dxa" w:w="2541"/>
            <w:vAlign w:val="center"/>
            <w:tcMar>
              <w:top w:w="90" w:type="dxa"/>
              <w:start w:w="90" w:type="dxa"/>
              <w:bottom w:w="90" w:type="dxa"/>
              <w:end w:w="90" w:type="dxa"/>
            </w:tcMar>
          </w:tcPr>
          <w:p>
            <w:r>
              <w:rPr>
                <w:sz w:val="15"/>
              </w:rPr>
              <w:t xml:space="preserve">D2 Clima por calendario agrícola</w:t>
            </w:r>
          </w:p>
        </w:tc>
        <w:tc>
          <w:tcPr>
            <w:tcW w:type="dxa" w:w="2541"/>
            <w:vAlign w:val="center"/>
            <w:tcMar>
              <w:top w:w="90" w:type="dxa"/>
              <w:start w:w="90" w:type="dxa"/>
              <w:bottom w:w="90" w:type="dxa"/>
              <w:end w:w="90" w:type="dxa"/>
            </w:tcMar>
          </w:tcPr>
          <w:p>
            <w:r>
              <w:rPr>
                <w:sz w:val="15"/>
              </w:rPr>
              <w:t xml:space="preserve">Baja (media con datos públicos)</w:t>
            </w:r>
          </w:p>
        </w:tc>
        <w:tc>
          <w:tcPr>
            <w:tcW w:type="dxa" w:w="2541"/>
            <w:vAlign w:val="center"/>
            <w:tcMar>
              <w:top w:w="90" w:type="dxa"/>
              <w:start w:w="90" w:type="dxa"/>
              <w:bottom w:w="90" w:type="dxa"/>
              <w:end w:w="90" w:type="dxa"/>
            </w:tcMar>
          </w:tcPr>
          <w:p>
            <w:r>
              <w:rPr>
                <w:sz w:val="15"/>
              </w:rPr>
              <w:t xml:space="preserve">Clima en grilla; producción</w:t>
            </w:r>
          </w:p>
        </w:tc>
        <w:tc>
          <w:tcPr>
            <w:tcW w:type="dxa" w:w="2541"/>
            <w:vAlign w:val="center"/>
            <w:tcMar>
              <w:top w:w="90" w:type="dxa"/>
              <w:start w:w="90" w:type="dxa"/>
              <w:bottom w:w="90" w:type="dxa"/>
              <w:end w:w="90" w:type="dxa"/>
            </w:tcMar>
          </w:tcPr>
          <w:p>
            <w:r>
              <w:rPr>
                <w:sz w:val="15"/>
              </w:rPr>
              <w:t xml:space="preserve">sin carpeta</w:t>
            </w:r>
          </w:p>
        </w:tc>
      </w:tr>
      <w:tr>
        <w:tc>
          <w:tcPr>
            <w:tcW w:type="dxa" w:w="2541"/>
            <w:vAlign w:val="center"/>
            <w:tcMar>
              <w:top w:w="90" w:type="dxa"/>
              <w:start w:w="90" w:type="dxa"/>
              <w:bottom w:w="90" w:type="dxa"/>
              <w:end w:w="90" w:type="dxa"/>
            </w:tcMar>
          </w:tcPr>
          <w:p>
            <w:r>
              <w:rPr>
                <w:sz w:val="15"/>
              </w:rPr>
              <w:t xml:space="preserve">D3 Pronósticos ENSO</w:t>
            </w:r>
          </w:p>
        </w:tc>
        <w:tc>
          <w:tcPr>
            <w:tcW w:type="dxa" w:w="2541"/>
            <w:vAlign w:val="center"/>
            <w:tcMar>
              <w:top w:w="90" w:type="dxa"/>
              <w:start w:w="90" w:type="dxa"/>
              <w:bottom w:w="90" w:type="dxa"/>
              <w:end w:w="90" w:type="dxa"/>
            </w:tcMar>
          </w:tcPr>
          <w:p>
            <w:r>
              <w:rPr>
                <w:sz w:val="15"/>
              </w:rPr>
              <w:t xml:space="preserve">Baja (media con datos públicos)</w:t>
            </w:r>
          </w:p>
        </w:tc>
        <w:tc>
          <w:tcPr>
            <w:tcW w:type="dxa" w:w="2541"/>
            <w:vAlign w:val="center"/>
            <w:tcMar>
              <w:top w:w="90" w:type="dxa"/>
              <w:start w:w="90" w:type="dxa"/>
              <w:bottom w:w="90" w:type="dxa"/>
              <w:end w:w="90" w:type="dxa"/>
            </w:tcMar>
          </w:tcPr>
          <w:p>
            <w:r>
              <w:rPr>
                <w:sz w:val="15"/>
              </w:rPr>
              <w:t xml:space="preserve">Vintages IRI</w:t>
            </w:r>
          </w:p>
        </w:tc>
        <w:tc>
          <w:tcPr>
            <w:tcW w:type="dxa" w:w="2541"/>
            <w:vAlign w:val="center"/>
            <w:tcMar>
              <w:top w:w="90" w:type="dxa"/>
              <w:start w:w="90" w:type="dxa"/>
              <w:bottom w:w="90" w:type="dxa"/>
              <w:end w:w="90" w:type="dxa"/>
            </w:tcMar>
          </w:tcPr>
          <w:p>
            <w:r>
              <w:rPr>
                <w:sz w:val="15"/>
              </w:rPr>
              <w:t xml:space="preserve">sin carpeta</w:t>
            </w:r>
          </w:p>
        </w:tc>
      </w:tr>
      <w:tr>
        <w:tc>
          <w:tcPr>
            <w:tcW w:type="dxa" w:w="2541"/>
            <w:vAlign w:val="center"/>
            <w:tcMar>
              <w:top w:w="90" w:type="dxa"/>
              <w:start w:w="90" w:type="dxa"/>
              <w:bottom w:w="90" w:type="dxa"/>
              <w:end w:w="90" w:type="dxa"/>
            </w:tcMar>
          </w:tcPr>
          <w:p>
            <w:r>
              <w:rPr>
                <w:sz w:val="15"/>
              </w:rPr>
              <w:t xml:space="preserve">D4 Inflación climática</w:t>
            </w:r>
          </w:p>
        </w:tc>
        <w:tc>
          <w:tcPr>
            <w:tcW w:type="dxa" w:w="2541"/>
            <w:vAlign w:val="center"/>
            <w:tcMar>
              <w:top w:w="90" w:type="dxa"/>
              <w:start w:w="90" w:type="dxa"/>
              <w:bottom w:w="90" w:type="dxa"/>
              <w:end w:w="90" w:type="dxa"/>
            </w:tcMar>
          </w:tcPr>
          <w:p>
            <w:r>
              <w:rPr>
                <w:sz w:val="15"/>
              </w:rPr>
              <w:t xml:space="preserve">Media-alta</w:t>
            </w:r>
          </w:p>
        </w:tc>
        <w:tc>
          <w:tcPr>
            <w:tcW w:type="dxa" w:w="2541"/>
            <w:vAlign w:val="center"/>
            <w:tcMar>
              <w:top w:w="90" w:type="dxa"/>
              <w:start w:w="90" w:type="dxa"/>
              <w:bottom w:w="90" w:type="dxa"/>
              <w:end w:w="90" w:type="dxa"/>
            </w:tcMar>
          </w:tcPr>
          <w:p>
            <w:r>
              <w:rPr>
                <w:sz w:val="15"/>
              </w:rPr>
              <w:t xml:space="preserve">Clima; ponderadores IPC</w:t>
            </w:r>
          </w:p>
        </w:tc>
        <w:tc>
          <w:tcPr>
            <w:tcW w:type="dxa" w:w="2541"/>
            <w:vAlign w:val="center"/>
            <w:tcMar>
              <w:top w:w="90" w:type="dxa"/>
              <w:start w:w="90" w:type="dxa"/>
              <w:bottom w:w="90" w:type="dxa"/>
              <w:end w:w="90" w:type="dxa"/>
            </w:tcMar>
          </w:tcPr>
          <w:p>
            <w:r>
              <w:rPr>
                <w:sz w:val="15"/>
              </w:rPr>
              <w:t xml:space="preserve">12_d4_inflacion_climatica</w:t>
            </w:r>
          </w:p>
        </w:tc>
      </w:tr>
      <w:tr>
        <w:tc>
          <w:tcPr>
            <w:tcW w:type="dxa" w:w="2541"/>
            <w:vAlign w:val="center"/>
            <w:tcMar>
              <w:top w:w="90" w:type="dxa"/>
              <w:start w:w="90" w:type="dxa"/>
              <w:bottom w:w="90" w:type="dxa"/>
              <w:end w:w="90" w:type="dxa"/>
            </w:tcMar>
          </w:tcPr>
          <w:p>
            <w:r>
              <w:rPr>
                <w:sz w:val="15"/>
              </w:rPr>
              <w:t xml:space="preserve">D5 Clima y riesgo de crédito</w:t>
            </w:r>
          </w:p>
        </w:tc>
        <w:tc>
          <w:tcPr>
            <w:tcW w:type="dxa" w:w="2541"/>
            <w:vAlign w:val="center"/>
            <w:tcMar>
              <w:top w:w="90" w:type="dxa"/>
              <w:start w:w="90" w:type="dxa"/>
              <w:bottom w:w="90" w:type="dxa"/>
              <w:end w:w="90" w:type="dxa"/>
            </w:tcMar>
          </w:tcPr>
          <w:p>
            <w:r>
              <w:rPr>
                <w:sz w:val="15"/>
              </w:rPr>
              <w:t xml:space="preserve">Media / Baja (causal)</w:t>
            </w:r>
          </w:p>
        </w:tc>
        <w:tc>
          <w:tcPr>
            <w:tcW w:type="dxa" w:w="2541"/>
            <w:vAlign w:val="center"/>
            <w:tcMar>
              <w:top w:w="90" w:type="dxa"/>
              <w:start w:w="90" w:type="dxa"/>
              <w:bottom w:w="90" w:type="dxa"/>
              <w:end w:w="90" w:type="dxa"/>
            </w:tcMar>
          </w:tcPr>
          <w:p>
            <w:r>
              <w:rPr>
                <w:sz w:val="15"/>
              </w:rPr>
              <w:t xml:space="preserve">Geografía de cartera</w:t>
            </w:r>
          </w:p>
        </w:tc>
        <w:tc>
          <w:tcPr>
            <w:tcW w:type="dxa" w:w="2541"/>
            <w:vAlign w:val="center"/>
            <w:tcMar>
              <w:top w:w="90" w:type="dxa"/>
              <w:start w:w="90" w:type="dxa"/>
              <w:bottom w:w="90" w:type="dxa"/>
              <w:end w:w="90" w:type="dxa"/>
            </w:tcMar>
          </w:tcPr>
          <w:p>
            <w:r>
              <w:rPr>
                <w:sz w:val="15"/>
              </w:rPr>
              <w:t xml:space="preserve">13_d5_clima_riesgo_credito</w:t>
            </w:r>
          </w:p>
        </w:tc>
      </w:tr>
      <w:tr>
        <w:tc>
          <w:tcPr>
            <w:tcW w:type="dxa" w:w="2541"/>
            <w:vAlign w:val="center"/>
            <w:tcMar>
              <w:top w:w="90" w:type="dxa"/>
              <w:start w:w="90" w:type="dxa"/>
              <w:bottom w:w="90" w:type="dxa"/>
              <w:end w:w="90" w:type="dxa"/>
            </w:tcMar>
          </w:tcPr>
          <w:p>
            <w:r>
              <w:rPr>
                <w:sz w:val="15"/>
              </w:rPr>
              <w:t xml:space="preserve">D6 Combustibles (nueva)</w:t>
            </w:r>
          </w:p>
        </w:tc>
        <w:tc>
          <w:tcPr>
            <w:tcW w:type="dxa" w:w="2541"/>
            <w:vAlign w:val="center"/>
            <w:tcMar>
              <w:top w:w="90" w:type="dxa"/>
              <w:start w:w="90" w:type="dxa"/>
              <w:bottom w:w="90" w:type="dxa"/>
              <w:end w:w="90" w:type="dxa"/>
            </w:tcMar>
          </w:tcPr>
          <w:p>
            <w:r>
              <w:rPr>
                <w:sz w:val="15"/>
              </w:rPr>
              <w:t xml:space="preserve">Media</w:t>
            </w:r>
          </w:p>
        </w:tc>
        <w:tc>
          <w:tcPr>
            <w:tcW w:type="dxa" w:w="2541"/>
            <w:vAlign w:val="center"/>
            <w:tcMar>
              <w:top w:w="90" w:type="dxa"/>
              <w:start w:w="90" w:type="dxa"/>
              <w:bottom w:w="90" w:type="dxa"/>
              <w:end w:w="90" w:type="dxa"/>
            </w:tcMar>
          </w:tcPr>
          <w:p>
            <w:r>
              <w:rPr>
                <w:sz w:val="15"/>
              </w:rPr>
              <w:t xml:space="preserve">Fechas de ajustes</w:t>
            </w:r>
          </w:p>
        </w:tc>
        <w:tc>
          <w:tcPr>
            <w:tcW w:type="dxa" w:w="2541"/>
            <w:vAlign w:val="center"/>
            <w:tcMar>
              <w:top w:w="90" w:type="dxa"/>
              <w:start w:w="90" w:type="dxa"/>
              <w:bottom w:w="90" w:type="dxa"/>
              <w:end w:w="90" w:type="dxa"/>
            </w:tcMar>
          </w:tcPr>
          <w:p>
            <w:r>
              <w:rPr>
                <w:sz w:val="15"/>
              </w:rPr>
              <w:t xml:space="preserve">31_n10_combustibles_expectativas</w:t>
            </w:r>
          </w:p>
        </w:tc>
      </w:tr>
      <w:tr>
        <w:tc>
          <w:tcPr>
            <w:tcW w:type="dxa" w:w="2541"/>
            <w:vAlign w:val="center"/>
            <w:tcMar>
              <w:top w:w="90" w:type="dxa"/>
              <w:start w:w="90" w:type="dxa"/>
              <w:bottom w:w="90" w:type="dxa"/>
              <w:end w:w="90" w:type="dxa"/>
            </w:tcMar>
          </w:tcPr>
          <w:p>
            <w:r>
              <w:rPr>
                <w:sz w:val="15"/>
              </w:rPr>
              <w:t xml:space="preserve">E1 Combinación del PIB</w:t>
            </w:r>
          </w:p>
        </w:tc>
        <w:tc>
          <w:tcPr>
            <w:tcW w:type="dxa" w:w="2541"/>
            <w:vAlign w:val="center"/>
            <w:tcMar>
              <w:top w:w="90" w:type="dxa"/>
              <w:start w:w="90" w:type="dxa"/>
              <w:bottom w:w="90" w:type="dxa"/>
              <w:end w:w="90" w:type="dxa"/>
            </w:tcMar>
          </w:tcPr>
          <w:p>
            <w:r>
              <w:rPr>
                <w:sz w:val="15"/>
              </w:rPr>
              <w:t xml:space="preserve">Pendiente</w:t>
            </w:r>
          </w:p>
        </w:tc>
        <w:tc>
          <w:tcPr>
            <w:tcW w:type="dxa" w:w="2541"/>
            <w:vAlign w:val="center"/>
            <w:tcMar>
              <w:top w:w="90" w:type="dxa"/>
              <w:start w:w="90" w:type="dxa"/>
              <w:bottom w:w="90" w:type="dxa"/>
              <w:end w:w="90" w:type="dxa"/>
            </w:tcMar>
          </w:tcPr>
          <w:p>
            <w:r>
              <w:rPr>
                <w:sz w:val="15"/>
              </w:rPr>
              <w:t xml:space="preserve">Vintages de cuentas (en construcción)</w:t>
            </w:r>
          </w:p>
        </w:tc>
        <w:tc>
          <w:tcPr>
            <w:tcW w:type="dxa" w:w="2541"/>
            <w:vAlign w:val="center"/>
            <w:tcMar>
              <w:top w:w="90" w:type="dxa"/>
              <w:start w:w="90" w:type="dxa"/>
              <w:bottom w:w="90" w:type="dxa"/>
              <w:end w:w="90" w:type="dxa"/>
            </w:tcMar>
          </w:tcPr>
          <w:p>
            <w:r>
              <w:rPr>
                <w:sz w:val="15"/>
              </w:rPr>
              <w:t xml:space="preserve">sin carpeta</w:t>
            </w:r>
          </w:p>
        </w:tc>
      </w:tr>
      <w:tr>
        <w:tc>
          <w:tcPr>
            <w:tcW w:type="dxa" w:w="2541"/>
            <w:vAlign w:val="center"/>
            <w:tcMar>
              <w:top w:w="90" w:type="dxa"/>
              <w:start w:w="90" w:type="dxa"/>
              <w:bottom w:w="90" w:type="dxa"/>
              <w:end w:w="90" w:type="dxa"/>
            </w:tcMar>
          </w:tcPr>
          <w:p>
            <w:r>
              <w:rPr>
                <w:sz w:val="15"/>
              </w:rPr>
              <w:t xml:space="preserve">E2 Vintages y nowcasting</w:t>
            </w:r>
          </w:p>
        </w:tc>
        <w:tc>
          <w:tcPr>
            <w:tcW w:type="dxa" w:w="2541"/>
            <w:vAlign w:val="center"/>
            <w:tcMar>
              <w:top w:w="90" w:type="dxa"/>
              <w:start w:w="90" w:type="dxa"/>
              <w:bottom w:w="90" w:type="dxa"/>
              <w:end w:w="90" w:type="dxa"/>
            </w:tcMar>
          </w:tcPr>
          <w:p>
            <w:r>
              <w:rPr>
                <w:sz w:val="15"/>
              </w:rPr>
              <w:t xml:space="preserve">Pendiente</w:t>
            </w:r>
          </w:p>
        </w:tc>
        <w:tc>
          <w:tcPr>
            <w:tcW w:type="dxa" w:w="2541"/>
            <w:vAlign w:val="center"/>
            <w:tcMar>
              <w:top w:w="90" w:type="dxa"/>
              <w:start w:w="90" w:type="dxa"/>
              <w:bottom w:w="90" w:type="dxa"/>
              <w:end w:w="90" w:type="dxa"/>
            </w:tcMar>
          </w:tcPr>
          <w:p>
            <w:r>
              <w:rPr>
                <w:sz w:val="15"/>
              </w:rPr>
              <w:t xml:space="preserve">Vintages (en construcción)</w:t>
            </w:r>
          </w:p>
        </w:tc>
        <w:tc>
          <w:tcPr>
            <w:tcW w:type="dxa" w:w="2541"/>
            <w:vAlign w:val="center"/>
            <w:tcMar>
              <w:top w:w="90" w:type="dxa"/>
              <w:start w:w="90" w:type="dxa"/>
              <w:bottom w:w="90" w:type="dxa"/>
              <w:end w:w="90" w:type="dxa"/>
            </w:tcMar>
          </w:tcPr>
          <w:p>
            <w:r>
              <w:rPr>
                <w:sz w:val="15"/>
              </w:rPr>
              <w:t xml:space="preserve">sin carpeta</w:t>
            </w:r>
          </w:p>
        </w:tc>
      </w:tr>
      <w:tr>
        <w:tc>
          <w:tcPr>
            <w:tcW w:type="dxa" w:w="2541"/>
            <w:vAlign w:val="center"/>
            <w:tcMar>
              <w:top w:w="90" w:type="dxa"/>
              <w:start w:w="90" w:type="dxa"/>
              <w:bottom w:w="90" w:type="dxa"/>
              <w:end w:w="90" w:type="dxa"/>
            </w:tcMar>
          </w:tcPr>
          <w:p>
            <w:r>
              <w:rPr>
                <w:sz w:val="15"/>
              </w:rPr>
              <w:t xml:space="preserve">E3 Anclaje de expectativas</w:t>
            </w:r>
          </w:p>
        </w:tc>
        <w:tc>
          <w:tcPr>
            <w:tcW w:type="dxa" w:w="2541"/>
            <w:vAlign w:val="center"/>
            <w:tcMar>
              <w:top w:w="90" w:type="dxa"/>
              <w:start w:w="90" w:type="dxa"/>
              <w:bottom w:w="90" w:type="dxa"/>
              <w:end w:w="90" w:type="dxa"/>
            </w:tcMar>
          </w:tcPr>
          <w:p>
            <w:r>
              <w:rPr>
                <w:sz w:val="15"/>
              </w:rPr>
              <w:t xml:space="preserve">Media</w:t>
            </w:r>
          </w:p>
        </w:tc>
        <w:tc>
          <w:tcPr>
            <w:tcW w:type="dxa" w:w="2541"/>
            <w:vAlign w:val="center"/>
            <w:tcMar>
              <w:top w:w="90" w:type="dxa"/>
              <w:start w:w="90" w:type="dxa"/>
              <w:bottom w:w="90" w:type="dxa"/>
              <w:end w:w="90" w:type="dxa"/>
            </w:tcMar>
          </w:tcPr>
          <w:p>
            <w:r>
              <w:rPr>
                <w:sz w:val="15"/>
              </w:rPr>
              <w:t xml:space="preserve">Dispersión EVE; historia de la meta</w:t>
            </w:r>
          </w:p>
        </w:tc>
        <w:tc>
          <w:tcPr>
            <w:tcW w:type="dxa" w:w="2541"/>
            <w:vAlign w:val="center"/>
            <w:tcMar>
              <w:top w:w="90" w:type="dxa"/>
              <w:start w:w="90" w:type="dxa"/>
              <w:bottom w:w="90" w:type="dxa"/>
              <w:end w:w="90" w:type="dxa"/>
            </w:tcMar>
          </w:tcPr>
          <w:p>
            <w:r>
              <w:rPr>
                <w:sz w:val="15"/>
              </w:rPr>
              <w:t xml:space="preserve">16_e3_expectativas_anclaje</w:t>
            </w:r>
          </w:p>
        </w:tc>
      </w:tr>
      <w:tr>
        <w:tc>
          <w:tcPr>
            <w:tcW w:type="dxa" w:w="2541"/>
            <w:vAlign w:val="center"/>
            <w:tcMar>
              <w:top w:w="90" w:type="dxa"/>
              <w:start w:w="90" w:type="dxa"/>
              <w:bottom w:w="90" w:type="dxa"/>
              <w:end w:w="90" w:type="dxa"/>
            </w:tcMar>
          </w:tcPr>
          <w:p>
            <w:r>
              <w:rPr>
                <w:sz w:val="15"/>
              </w:rPr>
              <w:t xml:space="preserve">F1 Facturación electrónica</w:t>
            </w:r>
          </w:p>
        </w:tc>
        <w:tc>
          <w:tcPr>
            <w:tcW w:type="dxa" w:w="2541"/>
            <w:vAlign w:val="center"/>
            <w:tcMar>
              <w:top w:w="90" w:type="dxa"/>
              <w:start w:w="90" w:type="dxa"/>
              <w:bottom w:w="90" w:type="dxa"/>
              <w:end w:w="90" w:type="dxa"/>
            </w:tcMar>
          </w:tcPr>
          <w:p>
            <w:r>
              <w:rPr>
                <w:sz w:val="15"/>
              </w:rPr>
              <w:t xml:space="preserve">Baja</w:t>
            </w:r>
          </w:p>
        </w:tc>
        <w:tc>
          <w:tcPr>
            <w:tcW w:type="dxa" w:w="2541"/>
            <w:vAlign w:val="center"/>
            <w:tcMar>
              <w:top w:w="90" w:type="dxa"/>
              <w:start w:w="90" w:type="dxa"/>
              <w:bottom w:w="90" w:type="dxa"/>
              <w:end w:w="90" w:type="dxa"/>
            </w:tcMar>
          </w:tcPr>
          <w:p>
            <w:r>
              <w:rPr>
                <w:sz w:val="15"/>
              </w:rPr>
              <w:t xml:space="preserve">SIFEN</w:t>
            </w:r>
          </w:p>
        </w:tc>
        <w:tc>
          <w:tcPr>
            <w:tcW w:type="dxa" w:w="2541"/>
            <w:vAlign w:val="center"/>
            <w:tcMar>
              <w:top w:w="90" w:type="dxa"/>
              <w:start w:w="90" w:type="dxa"/>
              <w:bottom w:w="90" w:type="dxa"/>
              <w:end w:w="90" w:type="dxa"/>
            </w:tcMar>
          </w:tcPr>
          <w:p>
            <w:r>
              <w:rPr>
                <w:sz w:val="15"/>
              </w:rPr>
              <w:t xml:space="preserve">sin carpeta</w:t>
            </w:r>
          </w:p>
        </w:tc>
      </w:tr>
      <w:tr>
        <w:tc>
          <w:tcPr>
            <w:tcW w:type="dxa" w:w="2541"/>
            <w:vAlign w:val="center"/>
            <w:tcMar>
              <w:top w:w="90" w:type="dxa"/>
              <w:start w:w="90" w:type="dxa"/>
              <w:bottom w:w="90" w:type="dxa"/>
              <w:end w:w="90" w:type="dxa"/>
            </w:tcMar>
          </w:tcPr>
          <w:p>
            <w:r>
              <w:rPr>
                <w:sz w:val="15"/>
              </w:rPr>
              <w:t xml:space="preserve">F2 Pass-through e importaciones</w:t>
            </w:r>
          </w:p>
        </w:tc>
        <w:tc>
          <w:tcPr>
            <w:tcW w:type="dxa" w:w="2541"/>
            <w:vAlign w:val="center"/>
            <w:tcMar>
              <w:top w:w="90" w:type="dxa"/>
              <w:start w:w="90" w:type="dxa"/>
              <w:bottom w:w="90" w:type="dxa"/>
              <w:end w:w="90" w:type="dxa"/>
            </w:tcMar>
          </w:tcPr>
          <w:p>
            <w:r>
              <w:rPr>
                <w:sz w:val="15"/>
              </w:rPr>
              <w:t xml:space="preserve">Media / Baja (frontera)</w:t>
            </w:r>
          </w:p>
        </w:tc>
        <w:tc>
          <w:tcPr>
            <w:tcW w:type="dxa" w:w="2541"/>
            <w:vAlign w:val="center"/>
            <w:tcMar>
              <w:top w:w="90" w:type="dxa"/>
              <w:start w:w="90" w:type="dxa"/>
              <w:bottom w:w="90" w:type="dxa"/>
              <w:end w:w="90" w:type="dxa"/>
            </w:tcMar>
          </w:tcPr>
          <w:p>
            <w:r>
              <w:rPr>
                <w:sz w:val="15"/>
              </w:rPr>
              <w:t xml:space="preserve">Aduanas; IPC regional</w:t>
            </w:r>
          </w:p>
        </w:tc>
        <w:tc>
          <w:tcPr>
            <w:tcW w:type="dxa" w:w="2541"/>
            <w:vAlign w:val="center"/>
            <w:tcMar>
              <w:top w:w="90" w:type="dxa"/>
              <w:start w:w="90" w:type="dxa"/>
              <w:bottom w:w="90" w:type="dxa"/>
              <w:end w:w="90" w:type="dxa"/>
            </w:tcMar>
          </w:tcPr>
          <w:p>
            <w:r>
              <w:rPr>
                <w:sz w:val="15"/>
              </w:rPr>
              <w:t xml:space="preserve">18_f2_pass_through_frontera</w:t>
            </w:r>
          </w:p>
        </w:tc>
      </w:tr>
      <w:tr>
        <w:tc>
          <w:tcPr>
            <w:tcW w:type="dxa" w:w="2541"/>
            <w:vAlign w:val="center"/>
            <w:tcMar>
              <w:top w:w="90" w:type="dxa"/>
              <w:start w:w="90" w:type="dxa"/>
              <w:bottom w:w="90" w:type="dxa"/>
              <w:end w:w="90" w:type="dxa"/>
            </w:tcMar>
          </w:tcPr>
          <w:p>
            <w:r>
              <w:rPr>
                <w:sz w:val="15"/>
              </w:rPr>
              <w:t xml:space="preserve">F3 Río y logística</w:t>
            </w:r>
          </w:p>
        </w:tc>
        <w:tc>
          <w:tcPr>
            <w:tcW w:type="dxa" w:w="2541"/>
            <w:vAlign w:val="center"/>
            <w:tcMar>
              <w:top w:w="90" w:type="dxa"/>
              <w:start w:w="90" w:type="dxa"/>
              <w:bottom w:w="90" w:type="dxa"/>
              <w:end w:w="90" w:type="dxa"/>
            </w:tcMar>
          </w:tcPr>
          <w:p>
            <w:r>
              <w:rPr>
                <w:sz w:val="15"/>
              </w:rPr>
              <w:t xml:space="preserve">Baja / Media (energía)</w:t>
            </w:r>
          </w:p>
        </w:tc>
        <w:tc>
          <w:tcPr>
            <w:tcW w:type="dxa" w:w="2541"/>
            <w:vAlign w:val="center"/>
            <w:tcMar>
              <w:top w:w="90" w:type="dxa"/>
              <w:start w:w="90" w:type="dxa"/>
              <w:bottom w:w="90" w:type="dxa"/>
              <w:end w:w="90" w:type="dxa"/>
            </w:tcMar>
          </w:tcPr>
          <w:p>
            <w:r>
              <w:rPr>
                <w:sz w:val="15"/>
              </w:rPr>
              <w:t xml:space="preserve">Niveles del río; fletes</w:t>
            </w:r>
          </w:p>
        </w:tc>
        <w:tc>
          <w:tcPr>
            <w:tcW w:type="dxa" w:w="2541"/>
            <w:vAlign w:val="center"/>
            <w:tcMar>
              <w:top w:w="90" w:type="dxa"/>
              <w:start w:w="90" w:type="dxa"/>
              <w:bottom w:w="90" w:type="dxa"/>
              <w:end w:w="90" w:type="dxa"/>
            </w:tcMar>
          </w:tcPr>
          <w:p>
            <w:r>
              <w:rPr>
                <w:sz w:val="15"/>
              </w:rPr>
              <w:t xml:space="preserve">sin carpeta</w:t>
            </w:r>
          </w:p>
        </w:tc>
      </w:tr>
      <w:tr>
        <w:tc>
          <w:tcPr>
            <w:tcW w:type="dxa" w:w="2541"/>
            <w:vAlign w:val="center"/>
            <w:tcMar>
              <w:top w:w="90" w:type="dxa"/>
              <w:start w:w="90" w:type="dxa"/>
              <w:bottom w:w="90" w:type="dxa"/>
              <w:end w:w="90" w:type="dxa"/>
            </w:tcMar>
          </w:tcPr>
          <w:p>
            <w:r>
              <w:rPr>
                <w:sz w:val="15"/>
              </w:rPr>
              <w:t xml:space="preserve">F4 Pagos instantáneos</w:t>
            </w:r>
          </w:p>
        </w:tc>
        <w:tc>
          <w:tcPr>
            <w:tcW w:type="dxa" w:w="2541"/>
            <w:vAlign w:val="center"/>
            <w:tcMar>
              <w:top w:w="90" w:type="dxa"/>
              <w:start w:w="90" w:type="dxa"/>
              <w:bottom w:w="90" w:type="dxa"/>
              <w:end w:w="90" w:type="dxa"/>
            </w:tcMar>
          </w:tcPr>
          <w:p>
            <w:r>
              <w:rPr>
                <w:sz w:val="15"/>
              </w:rPr>
              <w:t xml:space="preserve">Media (monitoreo)</w:t>
            </w:r>
          </w:p>
        </w:tc>
        <w:tc>
          <w:tcPr>
            <w:tcW w:type="dxa" w:w="2541"/>
            <w:vAlign w:val="center"/>
            <w:tcMar>
              <w:top w:w="90" w:type="dxa"/>
              <w:start w:w="90" w:type="dxa"/>
              <w:bottom w:w="90" w:type="dxa"/>
              <w:end w:w="90" w:type="dxa"/>
            </w:tcMar>
          </w:tcPr>
          <w:p>
            <w:r>
              <w:rPr>
                <w:sz w:val="15"/>
              </w:rPr>
              <w:t xml:space="preserve">SPI entidad-día</w:t>
            </w:r>
          </w:p>
        </w:tc>
        <w:tc>
          <w:tcPr>
            <w:tcW w:type="dxa" w:w="2541"/>
            <w:vAlign w:val="center"/>
            <w:tcMar>
              <w:top w:w="90" w:type="dxa"/>
              <w:start w:w="90" w:type="dxa"/>
              <w:bottom w:w="90" w:type="dxa"/>
              <w:end w:w="90" w:type="dxa"/>
            </w:tcMar>
          </w:tcPr>
          <w:p>
            <w:r>
              <w:rPr>
                <w:sz w:val="15"/>
              </w:rPr>
              <w:t xml:space="preserve">20_f4_pagos_instantaneos</w:t>
            </w:r>
          </w:p>
        </w:tc>
      </w:tr>
      <w:tr>
        <w:tc>
          <w:tcPr>
            <w:tcW w:type="dxa" w:w="2541"/>
            <w:vAlign w:val="center"/>
            <w:tcMar>
              <w:top w:w="90" w:type="dxa"/>
              <w:start w:w="90" w:type="dxa"/>
              <w:bottom w:w="90" w:type="dxa"/>
              <w:end w:w="90" w:type="dxa"/>
            </w:tcMar>
          </w:tcPr>
          <w:p>
            <w:r>
              <w:rPr>
                <w:sz w:val="15"/>
              </w:rPr>
              <w:t xml:space="preserve">F5 Inflación desigual (N9)</w:t>
            </w:r>
          </w:p>
        </w:tc>
        <w:tc>
          <w:tcPr>
            <w:tcW w:type="dxa" w:w="2541"/>
            <w:vAlign w:val="center"/>
            <w:tcMar>
              <w:top w:w="90" w:type="dxa"/>
              <w:start w:w="90" w:type="dxa"/>
              <w:bottom w:w="90" w:type="dxa"/>
              <w:end w:w="90" w:type="dxa"/>
            </w:tcMar>
          </w:tcPr>
          <w:p>
            <w:r>
              <w:rPr>
                <w:sz w:val="15"/>
              </w:rPr>
              <w:t xml:space="preserve">Media / Baja (N10)</w:t>
            </w:r>
          </w:p>
        </w:tc>
        <w:tc>
          <w:tcPr>
            <w:tcW w:type="dxa" w:w="2541"/>
            <w:vAlign w:val="center"/>
            <w:tcMar>
              <w:top w:w="90" w:type="dxa"/>
              <w:start w:w="90" w:type="dxa"/>
              <w:bottom w:w="90" w:type="dxa"/>
              <w:end w:w="90" w:type="dxa"/>
            </w:tcMar>
          </w:tcPr>
          <w:p>
            <w:r>
              <w:rPr>
                <w:sz w:val="15"/>
              </w:rPr>
              <w:t xml:space="preserve">Ponderadores EIGH</w:t>
            </w:r>
          </w:p>
        </w:tc>
        <w:tc>
          <w:tcPr>
            <w:tcW w:type="dxa" w:w="2541"/>
            <w:vAlign w:val="center"/>
            <w:tcMar>
              <w:top w:w="90" w:type="dxa"/>
              <w:start w:w="90" w:type="dxa"/>
              <w:bottom w:w="90" w:type="dxa"/>
              <w:end w:w="90" w:type="dxa"/>
            </w:tcMar>
          </w:tcPr>
          <w:p>
            <w:r>
              <w:rPr>
                <w:sz w:val="15"/>
              </w:rPr>
              <w:t xml:space="preserve">21_f5_inflacion_desigual</w:t>
            </w:r>
          </w:p>
        </w:tc>
      </w:tr>
      <w:tr>
        <w:tc>
          <w:tcPr>
            <w:tcW w:type="dxa" w:w="2541"/>
            <w:vAlign w:val="center"/>
            <w:tcMar>
              <w:top w:w="90" w:type="dxa"/>
              <w:start w:w="90" w:type="dxa"/>
              <w:bottom w:w="90" w:type="dxa"/>
              <w:end w:w="90" w:type="dxa"/>
            </w:tcMar>
          </w:tcPr>
          <w:p>
            <w:r>
              <w:rPr>
                <w:sz w:val="15"/>
              </w:rPr>
              <w:t xml:space="preserve">F6 Shocks argentinos (nueva)</w:t>
            </w:r>
          </w:p>
        </w:tc>
        <w:tc>
          <w:tcPr>
            <w:tcW w:type="dxa" w:w="2541"/>
            <w:vAlign w:val="center"/>
            <w:tcMar>
              <w:top w:w="90" w:type="dxa"/>
              <w:start w:w="90" w:type="dxa"/>
              <w:bottom w:w="90" w:type="dxa"/>
              <w:end w:w="90" w:type="dxa"/>
            </w:tcMar>
          </w:tcPr>
          <w:p>
            <w:r>
              <w:rPr>
                <w:sz w:val="15"/>
              </w:rPr>
              <w:t xml:space="preserve">Media-alta</w:t>
            </w:r>
          </w:p>
        </w:tc>
        <w:tc>
          <w:tcPr>
            <w:tcW w:type="dxa" w:w="2541"/>
            <w:vAlign w:val="center"/>
            <w:tcMar>
              <w:top w:w="90" w:type="dxa"/>
              <w:start w:w="90" w:type="dxa"/>
              <w:bottom w:w="90" w:type="dxa"/>
              <w:end w:w="90" w:type="dxa"/>
            </w:tcMar>
          </w:tcPr>
          <w:p>
            <w:r>
              <w:rPr>
                <w:sz w:val="15"/>
              </w:rPr>
              <w:t xml:space="preserve">Tipo de cambio paralelo; IPC regional</w:t>
            </w:r>
          </w:p>
        </w:tc>
        <w:tc>
          <w:tcPr>
            <w:tcW w:type="dxa" w:w="2541"/>
            <w:vAlign w:val="center"/>
            <w:tcMar>
              <w:top w:w="90" w:type="dxa"/>
              <w:start w:w="90" w:type="dxa"/>
              <w:bottom w:w="90" w:type="dxa"/>
              <w:end w:w="90" w:type="dxa"/>
            </w:tcMar>
          </w:tcPr>
          <w:p>
            <w:r>
              <w:rPr>
                <w:sz w:val="15"/>
              </w:rPr>
              <w:t xml:space="preserve">26_n5_shocks_argentina</w:t>
            </w:r>
          </w:p>
        </w:tc>
      </w:tr>
      <w:tr>
        <w:tc>
          <w:tcPr>
            <w:tcW w:type="dxa" w:w="2541"/>
            <w:vAlign w:val="center"/>
            <w:tcMar>
              <w:top w:w="90" w:type="dxa"/>
              <w:start w:w="90" w:type="dxa"/>
              <w:bottom w:w="90" w:type="dxa"/>
              <w:end w:w="90" w:type="dxa"/>
            </w:tcMar>
          </w:tcPr>
          <w:p>
            <w:r>
              <w:rPr>
                <w:sz w:val="15"/>
              </w:rPr>
              <w:t xml:space="preserve">F7 SPI y efectivo (nueva)</w:t>
            </w:r>
          </w:p>
        </w:tc>
        <w:tc>
          <w:tcPr>
            <w:tcW w:type="dxa" w:w="2541"/>
            <w:vAlign w:val="center"/>
            <w:tcMar>
              <w:top w:w="90" w:type="dxa"/>
              <w:start w:w="90" w:type="dxa"/>
              <w:bottom w:w="90" w:type="dxa"/>
              <w:end w:w="90" w:type="dxa"/>
            </w:tcMar>
          </w:tcPr>
          <w:p>
            <w:r>
              <w:rPr>
                <w:sz w:val="15"/>
              </w:rPr>
              <w:t xml:space="preserve">Media (descriptivo)</w:t>
            </w:r>
          </w:p>
        </w:tc>
        <w:tc>
          <w:tcPr>
            <w:tcW w:type="dxa" w:w="2541"/>
            <w:vAlign w:val="center"/>
            <w:tcMar>
              <w:top w:w="90" w:type="dxa"/>
              <w:start w:w="90" w:type="dxa"/>
              <w:bottom w:w="90" w:type="dxa"/>
              <w:end w:w="90" w:type="dxa"/>
            </w:tcMar>
          </w:tcPr>
          <w:p>
            <w:r>
              <w:rPr>
                <w:sz w:val="15"/>
              </w:rPr>
              <w:t xml:space="preserve">Hitos del SPI</w:t>
            </w:r>
          </w:p>
        </w:tc>
        <w:tc>
          <w:tcPr>
            <w:tcW w:type="dxa" w:w="2541"/>
            <w:vAlign w:val="center"/>
            <w:tcMar>
              <w:top w:w="90" w:type="dxa"/>
              <w:start w:w="90" w:type="dxa"/>
              <w:bottom w:w="90" w:type="dxa"/>
              <w:end w:w="90" w:type="dxa"/>
            </w:tcMar>
          </w:tcPr>
          <w:p>
            <w:r>
              <w:rPr>
                <w:sz w:val="15"/>
              </w:rPr>
              <w:t xml:space="preserve">30_n9_spi_efectivo</w:t>
            </w:r>
          </w:p>
        </w:tc>
      </w:tr>
      <w:tr>
        <w:tc>
          <w:tcPr>
            <w:tcW w:type="dxa" w:w="2541"/>
            <w:vAlign w:val="center"/>
            <w:tcMar>
              <w:top w:w="90" w:type="dxa"/>
              <w:start w:w="90" w:type="dxa"/>
              <w:bottom w:w="90" w:type="dxa"/>
              <w:end w:w="90" w:type="dxa"/>
            </w:tcMar>
          </w:tcPr>
          <w:p>
            <w:r>
              <w:rPr>
                <w:sz w:val="15"/>
              </w:rPr>
              <w:t xml:space="preserve">G1 Política fiscal (nueva)</w:t>
            </w:r>
          </w:p>
        </w:tc>
        <w:tc>
          <w:tcPr>
            <w:tcW w:type="dxa" w:w="2541"/>
            <w:vAlign w:val="center"/>
            <w:tcMar>
              <w:top w:w="90" w:type="dxa"/>
              <w:start w:w="90" w:type="dxa"/>
              <w:bottom w:w="90" w:type="dxa"/>
              <w:end w:w="90" w:type="dxa"/>
            </w:tcMar>
          </w:tcPr>
          <w:p>
            <w:r>
              <w:rPr>
                <w:sz w:val="15"/>
              </w:rPr>
              <w:t xml:space="preserve">Media-alta</w:t>
            </w:r>
          </w:p>
        </w:tc>
        <w:tc>
          <w:tcPr>
            <w:tcW w:type="dxa" w:w="2541"/>
            <w:vAlign w:val="center"/>
            <w:tcMar>
              <w:top w:w="90" w:type="dxa"/>
              <w:start w:w="90" w:type="dxa"/>
              <w:bottom w:w="90" w:type="dxa"/>
              <w:end w:w="90" w:type="dxa"/>
            </w:tcMar>
          </w:tcPr>
          <w:p>
            <w:r>
              <w:rPr>
                <w:sz w:val="15"/>
              </w:rPr>
              <w:t xml:space="preserve">Presupuesto; SPNF</w:t>
            </w:r>
          </w:p>
        </w:tc>
        <w:tc>
          <w:tcPr>
            <w:tcW w:type="dxa" w:w="2541"/>
            <w:vAlign w:val="center"/>
            <w:tcMar>
              <w:top w:w="90" w:type="dxa"/>
              <w:start w:w="90" w:type="dxa"/>
              <w:bottom w:w="90" w:type="dxa"/>
              <w:end w:w="90" w:type="dxa"/>
            </w:tcMar>
          </w:tcPr>
          <w:p>
            <w:r>
              <w:rPr>
                <w:sz w:val="15"/>
              </w:rPr>
              <w:t xml:space="preserve">22_n1_politica_fiscal</w:t>
            </w:r>
          </w:p>
        </w:tc>
      </w:tr>
      <w:tr>
        <w:tc>
          <w:tcPr>
            <w:tcW w:type="dxa" w:w="2541"/>
            <w:vAlign w:val="center"/>
            <w:tcMar>
              <w:top w:w="90" w:type="dxa"/>
              <w:start w:w="90" w:type="dxa"/>
              <w:bottom w:w="90" w:type="dxa"/>
              <w:end w:w="90" w:type="dxa"/>
            </w:tcMar>
          </w:tcPr>
          <w:p>
            <w:r>
              <w:rPr>
                <w:sz w:val="15"/>
              </w:rPr>
              <w:t xml:space="preserve">G2 Mercado laboral (nueva)</w:t>
            </w:r>
          </w:p>
        </w:tc>
        <w:tc>
          <w:tcPr>
            <w:tcW w:type="dxa" w:w="2541"/>
            <w:vAlign w:val="center"/>
            <w:tcMar>
              <w:top w:w="90" w:type="dxa"/>
              <w:start w:w="90" w:type="dxa"/>
              <w:bottom w:w="90" w:type="dxa"/>
              <w:end w:w="90" w:type="dxa"/>
            </w:tcMar>
          </w:tcPr>
          <w:p>
            <w:r>
              <w:rPr>
                <w:sz w:val="15"/>
              </w:rPr>
              <w:t xml:space="preserve">Media</w:t>
            </w:r>
          </w:p>
        </w:tc>
        <w:tc>
          <w:tcPr>
            <w:tcW w:type="dxa" w:w="2541"/>
            <w:vAlign w:val="center"/>
            <w:tcMar>
              <w:top w:w="90" w:type="dxa"/>
              <w:start w:w="90" w:type="dxa"/>
              <w:bottom w:w="90" w:type="dxa"/>
              <w:end w:w="90" w:type="dxa"/>
            </w:tcMar>
          </w:tcPr>
          <w:p>
            <w:r>
              <w:rPr>
                <w:sz w:val="15"/>
              </w:rPr>
              <w:t xml:space="preserve">Microdatos EPHC</w:t>
            </w:r>
          </w:p>
        </w:tc>
        <w:tc>
          <w:tcPr>
            <w:tcW w:type="dxa" w:w="2541"/>
            <w:vAlign w:val="center"/>
            <w:tcMar>
              <w:top w:w="90" w:type="dxa"/>
              <w:start w:w="90" w:type="dxa"/>
              <w:bottom w:w="90" w:type="dxa"/>
              <w:end w:w="90" w:type="dxa"/>
            </w:tcMar>
          </w:tcPr>
          <w:p>
            <w:r>
              <w:rPr>
                <w:sz w:val="15"/>
              </w:rPr>
              <w:t xml:space="preserve">23_n2_mercado_laboral</w:t>
            </w:r>
          </w:p>
        </w:tc>
      </w:tr>
      <w:tr>
        <w:tc>
          <w:tcPr>
            <w:tcW w:type="dxa" w:w="2541"/>
            <w:vAlign w:val="center"/>
            <w:tcMar>
              <w:top w:w="90" w:type="dxa"/>
              <w:start w:w="90" w:type="dxa"/>
              <w:bottom w:w="90" w:type="dxa"/>
              <w:end w:w="90" w:type="dxa"/>
            </w:tcMar>
          </w:tcPr>
          <w:p>
            <w:r>
              <w:rPr>
                <w:sz w:val="15"/>
              </w:rPr>
              <w:t xml:space="preserve">G3 Salario mínimo (nueva)</w:t>
            </w:r>
          </w:p>
        </w:tc>
        <w:tc>
          <w:tcPr>
            <w:tcW w:type="dxa" w:w="2541"/>
            <w:vAlign w:val="center"/>
            <w:tcMar>
              <w:top w:w="90" w:type="dxa"/>
              <w:start w:w="90" w:type="dxa"/>
              <w:bottom w:w="90" w:type="dxa"/>
              <w:end w:w="90" w:type="dxa"/>
            </w:tcMar>
          </w:tcPr>
          <w:p>
            <w:r>
              <w:rPr>
                <w:sz w:val="15"/>
              </w:rPr>
              <w:t xml:space="preserve">Media</w:t>
            </w:r>
          </w:p>
        </w:tc>
        <w:tc>
          <w:tcPr>
            <w:tcW w:type="dxa" w:w="2541"/>
            <w:vAlign w:val="center"/>
            <w:tcMar>
              <w:top w:w="90" w:type="dxa"/>
              <w:start w:w="90" w:type="dxa"/>
              <w:bottom w:w="90" w:type="dxa"/>
              <w:end w:w="90" w:type="dxa"/>
            </w:tcMar>
          </w:tcPr>
          <w:p>
            <w:r>
              <w:rPr>
                <w:sz w:val="15"/>
              </w:rPr>
              <w:t xml:space="preserve">Decretos; exposición sectorial</w:t>
            </w:r>
          </w:p>
        </w:tc>
        <w:tc>
          <w:tcPr>
            <w:tcW w:type="dxa" w:w="2541"/>
            <w:vAlign w:val="center"/>
            <w:tcMar>
              <w:top w:w="90" w:type="dxa"/>
              <w:start w:w="90" w:type="dxa"/>
              <w:bottom w:w="90" w:type="dxa"/>
              <w:end w:w="90" w:type="dxa"/>
            </w:tcMar>
          </w:tcPr>
          <w:p>
            <w:r>
              <w:rPr>
                <w:sz w:val="15"/>
              </w:rPr>
              <w:t xml:space="preserve">32_n11_salario_minimo</w:t>
            </w:r>
          </w:p>
        </w:tc>
      </w:tr>
      <w:tr>
        <w:tc>
          <w:tcPr>
            <w:tcW w:type="dxa" w:w="2541"/>
            <w:vAlign w:val="center"/>
            <w:tcMar>
              <w:top w:w="90" w:type="dxa"/>
              <w:start w:w="90" w:type="dxa"/>
              <w:bottom w:w="90" w:type="dxa"/>
              <w:end w:w="90" w:type="dxa"/>
            </w:tcMar>
          </w:tcPr>
          <w:p>
            <w:r>
              <w:rPr>
                <w:sz w:val="15"/>
              </w:rPr>
              <w:t xml:space="preserve">G4 Panel regional (nueva)</w:t>
            </w:r>
          </w:p>
        </w:tc>
        <w:tc>
          <w:tcPr>
            <w:tcW w:type="dxa" w:w="2541"/>
            <w:vAlign w:val="center"/>
            <w:tcMar>
              <w:top w:w="90" w:type="dxa"/>
              <w:start w:w="90" w:type="dxa"/>
              <w:bottom w:w="90" w:type="dxa"/>
              <w:end w:w="90" w:type="dxa"/>
            </w:tcMar>
          </w:tcPr>
          <w:p>
            <w:r>
              <w:rPr>
                <w:sz w:val="15"/>
              </w:rPr>
              <w:t xml:space="preserve">Media-alta</w:t>
            </w:r>
          </w:p>
        </w:tc>
        <w:tc>
          <w:tcPr>
            <w:tcW w:type="dxa" w:w="2541"/>
            <w:vAlign w:val="center"/>
            <w:tcMar>
              <w:top w:w="90" w:type="dxa"/>
              <w:start w:w="90" w:type="dxa"/>
              <w:bottom w:w="90" w:type="dxa"/>
              <w:end w:w="90" w:type="dxa"/>
            </w:tcMar>
          </w:tcPr>
          <w:p>
            <w:r>
              <w:rPr>
                <w:sz w:val="15"/>
              </w:rPr>
              <w:t xml:space="preserve">EMBI; datos FMI actualizados</w:t>
            </w:r>
          </w:p>
        </w:tc>
        <w:tc>
          <w:tcPr>
            <w:tcW w:type="dxa" w:w="2541"/>
            <w:vAlign w:val="center"/>
            <w:tcMar>
              <w:top w:w="90" w:type="dxa"/>
              <w:start w:w="90" w:type="dxa"/>
              <w:bottom w:w="90" w:type="dxa"/>
              <w:end w:w="90" w:type="dxa"/>
            </w:tcMar>
          </w:tcPr>
          <w:p>
            <w:r>
              <w:rPr>
                <w:sz w:val="15"/>
              </w:rPr>
              <w:t xml:space="preserve">24_n3_panel_regional</w:t>
            </w:r>
          </w:p>
        </w:tc>
      </w:tr>
      <w:tr>
        <w:tc>
          <w:tcPr>
            <w:tcW w:type="dxa" w:w="2541"/>
            <w:vAlign w:val="center"/>
            <w:tcMar>
              <w:top w:w="90" w:type="dxa"/>
              <w:start w:w="90" w:type="dxa"/>
              <w:bottom w:w="90" w:type="dxa"/>
              <w:end w:w="90" w:type="dxa"/>
            </w:tcMar>
          </w:tcPr>
          <w:p>
            <w:r>
              <w:rPr>
                <w:sz w:val="15"/>
              </w:rPr>
              <w:t xml:space="preserve">G5 Remesas (nueva)</w:t>
            </w:r>
          </w:p>
        </w:tc>
        <w:tc>
          <w:tcPr>
            <w:tcW w:type="dxa" w:w="2541"/>
            <w:vAlign w:val="center"/>
            <w:tcMar>
              <w:top w:w="90" w:type="dxa"/>
              <w:start w:w="90" w:type="dxa"/>
              <w:bottom w:w="90" w:type="dxa"/>
              <w:end w:w="90" w:type="dxa"/>
            </w:tcMar>
          </w:tcPr>
          <w:p>
            <w:r>
              <w:rPr>
                <w:sz w:val="15"/>
              </w:rPr>
              <w:t xml:space="preserve">Media-baja</w:t>
            </w:r>
          </w:p>
        </w:tc>
        <w:tc>
          <w:tcPr>
            <w:tcW w:type="dxa" w:w="2541"/>
            <w:vAlign w:val="center"/>
            <w:tcMar>
              <w:top w:w="90" w:type="dxa"/>
              <w:start w:w="90" w:type="dxa"/>
              <w:bottom w:w="90" w:type="dxa"/>
              <w:end w:w="90" w:type="dxa"/>
            </w:tcMar>
          </w:tcPr>
          <w:p>
            <w:r>
              <w:rPr>
                <w:sz w:val="15"/>
              </w:rPr>
              <w:t xml:space="preserve">Remesas por departamento</w:t>
            </w:r>
          </w:p>
        </w:tc>
        <w:tc>
          <w:tcPr>
            <w:tcW w:type="dxa" w:w="2541"/>
            <w:vAlign w:val="center"/>
            <w:tcMar>
              <w:top w:w="90" w:type="dxa"/>
              <w:start w:w="90" w:type="dxa"/>
              <w:bottom w:w="90" w:type="dxa"/>
              <w:end w:w="90" w:type="dxa"/>
            </w:tcMar>
          </w:tcPr>
          <w:p>
            <w:r>
              <w:rPr>
                <w:sz w:val="15"/>
              </w:rPr>
              <w:t xml:space="preserve">33_n12_remesas</w:t>
            </w:r>
          </w:p>
        </w:tc>
      </w:tr>
    </w:tbl>
    <w:p>
      <w:pPr>
        <w:spacing w:after="100" w:line="259" w:lineRule="auto"/>
      </w:pPr>
      <w:r>
        <w:t xml:space="preserve">Prioridad de datos faltantes (resumen): (1) calendario institucional fechado —COPOM, encaje, tope de tarjetas, alivio, combustibles, salario mínimo—, que beneficia a catorce fichas a costo muy bajo; (2) clima físico y vintages ENSO públicos; (3) tasas y originaciones por banco; (4) operaciones y liquidez diarias del BCP; (5) ponderadores del IPC por grupo de hogares; (6) registro de crédito, de mayor beneficio total pero con costo de acceso alto.</w:t>
      </w:r>
    </w:p>
    <w:p>
      <w:pPr>
        <w:pStyle w:val="Heading1"/>
      </w:pPr>
      <w:r>
        <w:t>Decisión de arquitectura</w:t>
      </w:r>
    </w:p>
    <w:p>
      <w:pPr>
        <w:spacing w:after="100" w:line="259" w:lineRule="auto"/>
      </w:pPr>
      <w:r>
        <w:t>Antes de contrastar la agenda con cualquier base existente, conviene evaluar cada activo transversal por cuatro preguntas: ¿mide exactamente el objeto del estimando?, ¿tiene fecha de disponibilidad y definición conservadas?, ¿es enlazable con identificadores estables bajo un marco de confidencialidad?, ¿cubre suficientes episodios y heterogeneidad para el diseño? Esa secuencia evita que la disponibilidad aparente de una tabla dicte una pregunta de investigación demasiado ambiciosa.</w:t>
      </w:r>
    </w:p>
    <w:sectPr w:rsidR="00FC693F" w:rsidRPr="0006063C"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