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75B6"/>
          <w:sz w:val="20"/>
          <w:szCs w:val="20"/>
        </w:rPr>
        <w:t xml:space="preserve">DOCUMENTO DE FASE 0</w:t>
      </w:r>
    </w:p>
    <w:p>
      <w:pPr>
        <w:pBdr>
          <w:bottom w:val="single" w:color="2E75B6" w:sz="12" w:space="4"/>
        </w:pBdr>
        <w:spacing w:after="100"/>
      </w:pPr>
      <w:r>
        <w:rPr>
          <w:b/>
          <w:bCs/>
          <w:color w:val="1F4E79"/>
          <w:sz w:val="36"/>
          <w:szCs w:val="36"/>
        </w:rPr>
        <w:t xml:space="preserve">Diseño y alcance</w:t>
      </w:r>
    </w:p>
    <w:p>
      <w:pPr>
        <w:spacing w:after="60" w:before="200"/>
      </w:pPr>
      <w:r>
        <w:rPr>
          <w:b/>
          <w:bCs/>
          <w:sz w:val="28"/>
          <w:szCs w:val="28"/>
        </w:rPr>
        <w:t xml:space="preserve">Roboadvisor personalizado para el inversor retail</w:t>
      </w:r>
    </w:p>
    <w:p>
      <w:pPr>
        <w:spacing w:after="240"/>
      </w:pPr>
      <w:r>
        <w:rPr>
          <w:i/>
          <w:iCs/>
          <w:color w:val="595959"/>
          <w:sz w:val="22"/>
          <w:szCs w:val="22"/>
        </w:rPr>
        <w:t xml:space="preserve">Perfilado dual (cuestionario MiFID II + NLP) y optimización de cartera</w:t>
      </w:r>
    </w:p>
    <w:p>
      <w:pPr>
        <w:tabs>
          <w:tab w:val="right" w:pos="9360"/>
        </w:tabs>
        <w:spacing w:after="360"/>
      </w:pPr>
      <w:r>
        <w:rPr>
          <w:color w:val="595959"/>
          <w:sz w:val="20"/>
          <w:szCs w:val="20"/>
        </w:rPr>
        <w:t xml:space="preserve">Trabajo Fin de Máster · Data Science</w:t>
      </w:r>
      <w:r>
        <w:t xml:space="preserve">		</w:t>
      </w:r>
      <w:r>
        <w:rPr>
          <w:color w:val="595959"/>
          <w:sz w:val="20"/>
          <w:szCs w:val="20"/>
        </w:rPr>
        <w:t xml:space="preserve">Versión 1.0 · Fase 0</w:t>
      </w:r>
    </w:p>
    <w:p>
      <w:pPr>
        <w:pStyle w:val="Heading1"/>
        <w:spacing w:after="140" w:before="280"/>
      </w:pPr>
      <w:r>
        <w:t xml:space="preserve">1 · Objetivo y propuesta de valor</w:t>
      </w:r>
    </w:p>
    <w:p>
      <w:pPr>
        <w:spacing w:after="120"/>
      </w:pPr>
      <w:r>
        <w:rPr>
          <w:b/>
          <w:bCs/>
        </w:rPr>
        <w:t xml:space="preserve">Problema. </w:t>
      </w:r>
      <w:r>
        <w:t xml:space="preserve">El inversor retail no tiene acceso a asesoramiento financiero personalizado y de calidad. Los asesores humanos son caros y los roboadvisors actuales (Indexa Capital, Finizens, inbestMe) usan cuestionarios estáticos cuya salida depende exclusivamente de respuestas cerradas, ignorando la señal emocional presente en el lenguaje del usuario.</w:t>
      </w:r>
    </w:p>
    <w:p>
      <w:pPr>
        <w:spacing w:after="120"/>
      </w:pPr>
      <w:r>
        <w:rPr>
          <w:b/>
          <w:bCs/>
        </w:rPr>
        <w:t xml:space="preserve">Propuesta. </w:t>
      </w:r>
      <w:r>
        <w:t xml:space="preserve">Sistema de roboadvisor que enriquece el cuestionario MiFID II tradicional con una capa de análisis NLP sobre respuestas en texto libre. La señal NLP actúa como validador y detector de inconsistencias, aplicando el principio de prudencia asimétrica: puede bajar el perfil de riesgo del usuario si detecta divergencia con el cuestionario, pero nunca subirlo.</w:t>
      </w:r>
    </w:p>
    <w:p>
      <w:pPr>
        <w:spacing w:after="120"/>
      </w:pPr>
      <w:r>
        <w:rPr>
          <w:b/>
          <w:bCs/>
        </w:rPr>
        <w:t xml:space="preserve">Diferenciación clave. </w:t>
      </w:r>
      <w:r>
        <w:t xml:space="preserve">Pipeline NLP dual en castellano: FinBERT sobre texto traducido (estándar académico en dominio financiero) + pysentimiento RoBERTuito (modelo nativo en español para lenguaje emocional). El acuerdo entre ambos se usa como métrica de confianza que modula la agresividad de las reglas de ajuste.</w:t>
      </w:r>
    </w:p>
    <w:p>
      <w:pPr>
        <w:pStyle w:val="Heading1"/>
        <w:spacing w:after="140" w:before="280"/>
      </w:pPr>
      <w:r>
        <w:t xml:space="preserve">2 · Arquitectura del sistema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000"/>
        <w:gridCol w:w="2400"/>
        <w:gridCol w:w="3660"/>
      </w:tblGrid>
      <w:tr>
        <w:trPr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Módulo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Nombre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Input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M1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Perfilado del inversor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11 respuestas cuestionario + 3 respuestas texto libre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Perfil (Conservador/Moderado/Agresivo) + flags de confianza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M2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Universo de activos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Lista de ETFs UCITS (EUR)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Precios históricos diarios, retornos, matriz de covarianza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M3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Optimización de cartera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Perfil (M1) + retornos/covarianza (M2)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Pesos óptimos por activo, sujetos a restricción de volatilidad por perfil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M4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Backtesting y validación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Pesos (M3) + datos históricos (M2)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CAGR, Sharpe, Sortino, Max Drawdown vs benchmarks por perfil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M5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Demo Streamlit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Todo el pipeline M1→M4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Interfaz interactiva: cuestionario → perfil → cartera → backtesting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after="140" w:before="280"/>
      </w:pPr>
      <w:r>
        <w:t xml:space="preserve">3 · Pipeline detallado del Módulo M1 (NLP)</w:t>
      </w:r>
    </w:p>
    <w:p>
      <w:pPr>
        <w:spacing w:after="120"/>
      </w:pPr>
      <w:r>
        <w:t xml:space="preserve">El usuario completa un cuestionario de 11 preguntas cerradas alineadas con MiFID II y 3 preguntas abiertas en castellano. Ambas ramas se procesan en paralelo y convergen en una capa de reglas explícitas.</w:t>
      </w:r>
    </w:p>
    <w:p>
      <w:pPr>
        <w:pStyle w:val="Heading2"/>
        <w:spacing w:after="100" w:before="200"/>
      </w:pPr>
      <w:r>
        <w:t xml:space="preserve">3.1 · Rama cuestionario estructurado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11 preguntas cerradas distribuidas en 5 dimensiones MiFID II: Conocimiento y experiencia (15%), Situación financiera (15%), Objetivos de inversión (20%), Tolerancia al riesgo (25%), Capacidad de pérdida (25%).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Salida: score_cuestionario ∈ [0, 100]. Mapeo a perfil base: 0–40 Conservador · 41–70 Moderado · 71–100 Agresivo.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Mapeo a restricción de volatilidad anual máxima: Conservador ≤ 8% · Moderado ≤ 15% · Agresivo ≤ 25%.</w:t>
      </w:r>
    </w:p>
    <w:p>
      <w:pPr>
        <w:pStyle w:val="Heading2"/>
        <w:spacing w:after="100" w:before="200"/>
      </w:pPr>
      <w:r>
        <w:t xml:space="preserve">3.2 · Rama NLP dual sobre texto libre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Pipeline A: Helsinki-NLP/opus-mt-es-en (traducción ES→EN) → FinBERT ProsusAI → score_A ∈ [-1, +1].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Pipeline B: pysentimiento/robertuito-sentiment-analysis (nativo español) → score_B ∈ [-1, +1].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Fusión intra-NLP: sentiment_score = media(score_A, score_B). Agreement = 1 − |score_A − score_B| / 2.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Niveles de confianza: ALTA (agreement ≥ 0.80), MEDIA (0.60–0.80), BAJA (&lt; 0.60).</w:t>
      </w:r>
    </w:p>
    <w:p>
      <w:pPr>
        <w:pStyle w:val="Heading2"/>
        <w:spacing w:after="100" w:before="200"/>
      </w:pPr>
      <w:r>
        <w:t xml:space="preserve">3.3 · Fusión final — reglas explícitas</w:t>
      </w:r>
    </w:p>
    <w:p>
      <w:pPr>
        <w:spacing w:after="120"/>
      </w:pPr>
      <w:r>
        <w:t xml:space="preserve">La divergencia entre cuestionario y texto libre se calcula como: divergence = q_norm − sentiment_score, donde q_norm = (score_cuestionario − 50) / 50. Los umbrales se modulan según la confianza NLP: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Confianza NLP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Umbral grave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Umbral moderado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Umbral leve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ALTA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0.50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0.30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0.18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MEDIA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0.70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0.45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0.25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BAJA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0.90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0.70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0.50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divergence &gt; umbral_grave → bajar dos escalones (solo si perfil base = Agresivo).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divergence &gt; umbral_moderado → bajar un escalón.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divergence &gt; umbral_leve → mantener perfil, marcar flag REVISAR_TEXTO_LIBRE.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Prudencia asimétrica: divergence &lt; 0 (texto más positivo que cuestionario) nunca sube el perfil.</w:t>
      </w:r>
    </w:p>
    <w:p>
      <w:pPr>
        <w:pStyle w:val="Heading1"/>
        <w:spacing w:after="140" w:before="280"/>
      </w:pPr>
      <w:r>
        <w:t xml:space="preserve">4 · Stack tecnológico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Capa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Tecnología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Lenguaje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Python 3.10+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Todo el proyecto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Datos de mercado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yfinance, pandas, DuckDB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ETFs UCITS, precios históricos, almacenamiento local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Macro (contexto)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FRED API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Tipos, inflación, PIB para contextualización en memoria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NLP — Pipeline A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Helsinki-NLP/opus-mt-es-en + ProsusAI/finbert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Traducción ES→EN + sentimiento financiero (inglés)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NLP — Pipeline B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pysentimiento/robertuito-sentiment-analysis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Sentimiento nativo en español (baseline y control)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Optimización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PyPortfolioOpt, scipy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Markowitz, HRP, Black-Litterman; restricción por perfil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Backtesting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QuantStats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Métricas y tear sheets HTML automáticos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Demo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Streamlit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Prototipo interactivo end-to-end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Control de versiones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Git + GitHub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Repositorio público para reproducibilidad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after="140" w:before="280"/>
      </w:pPr>
      <w:r>
        <w:t xml:space="preserve">5 · Alcance del proyecto</w:t>
      </w:r>
    </w:p>
    <w:p>
      <w:pPr>
        <w:spacing w:after="120"/>
      </w:pPr>
      <w:r>
        <w:t xml:space="preserve">La delimitación siguiente es contractual. Cualquier ampliación requerirá actualizar este documento y justificar impacto en cronograma.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385723"/>
                <w:sz w:val="20"/>
                <w:szCs w:val="20"/>
              </w:rPr>
              <w:t xml:space="preserve">✓ IN SCOPE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833C0B"/>
                <w:sz w:val="20"/>
                <w:szCs w:val="20"/>
              </w:rPr>
              <w:t xml:space="preserve">✗ OUT OF SCOPE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t xml:space="preserve">Cuestionario MiFID II · 11 preguntas cerradas + 3 abiertas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t xml:space="preserve">3 perfiles discretos (conservador/moderado/agresivo)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t xml:space="preserve">NLP dual ES (FinBERT+traducción / pysentimiento)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t xml:space="preserve">Universo 6–10 ETFs UCITS en EUR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t xml:space="preserve">Comparativa Markowitz / HRP / Black-Litterman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t xml:space="preserve">Backtesting walk-forward con rebalanceo trimestral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t xml:space="preserve">Validación con 30 personas sintéticas balanceadas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t xml:space="preserve">Demo Streamlit funcional (MVP)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t xml:space="preserve">Perfilado en escala continua (1–10)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t xml:space="preserve">Dataset real de usuarios (se usa sintético)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t xml:space="preserve">Rebalanceo dinámico basado en señales de mercado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t xml:space="preserve">Derivados, alternativos, cripto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t xml:space="preserve">Integración con brokers reales o cuentas en vivo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t xml:space="preserve">Asesoramiento fiscal o sucesorio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t xml:space="preserve">Idiomas distintos al castellano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t xml:space="preserve">Fine-tuning de FinBERT (se usa pre-entrenado)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after="140" w:before="280"/>
      </w:pPr>
      <w:r>
        <w:t xml:space="preserve">6 · Criterios de éxito medibles</w:t>
      </w:r>
    </w:p>
    <w:p>
      <w:pPr>
        <w:spacing w:after="120"/>
      </w:pPr>
      <w:r>
        <w:t xml:space="preserve">El TFM se considera exitoso si cumple los siguientes umbrales cuantitativos, todos verificables en la memoria: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M1 — Accuracy del sistema completo </w:t>
      </w:r>
      <w:r>
        <w:t xml:space="preserve">sobre las 30 personas sintéticas ≥ 85%.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M1 — Mejora del NLP dual </w:t>
      </w:r>
      <w:r>
        <w:t xml:space="preserve">respecto al baseline cuestionario-solo ≥ 5 puntos porcentuales.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M1 — Detección de inconsistencias </w:t>
      </w:r>
      <w:r>
        <w:t xml:space="preserve">correcta ≥ 80% sobre los 20 casos con divergencia diseñada.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M1 — Correlación Pearson </w:t>
      </w:r>
      <w:r>
        <w:t xml:space="preserve">entre scores de Pipeline A y Pipeline B ≥ 0.60.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M3 — Coherencia financiera: </w:t>
      </w:r>
      <w:r>
        <w:t xml:space="preserve">volatilidad realizada de cada cartera dentro del umbral de su perfil, y ordenación estricta CAGR_Agresivo &gt; CAGR_Moderado &gt; CAGR_Conservador en el periodo de test.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M4 — Sharpe de cartera moderada </w:t>
      </w:r>
      <w:r>
        <w:t xml:space="preserve">≥ Sharpe del benchmark 60/40 en walk-forward.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M5 — Demo Streamlit </w:t>
      </w:r>
      <w:r>
        <w:t xml:space="preserve">funcional end-to-end: el usuario introduce respuestas y obtiene cartera + gráfico de backtesting en ≤ 30 segundos.</w:t>
      </w:r>
    </w:p>
    <w:p>
      <w:pPr>
        <w:pStyle w:val="Heading1"/>
        <w:spacing w:after="140" w:before="280"/>
      </w:pPr>
      <w:r>
        <w:t xml:space="preserve">7 · Cronograma (14–16 semanas)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000"/>
        <w:gridCol w:w="1500"/>
        <w:gridCol w:w="1860"/>
      </w:tblGrid>
      <w:tr>
        <w:trPr>
          <w:tblHeader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Fase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Semanas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Entregable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Diseño y alcance (este documento)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1–2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Doc. Fase 0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EDA ETFs + exploración datasets NLP + cuestionarios Indexa/Finizens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3–4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Notebook EDA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Módulo M1: cuestionario + NLP dual + reglas + validación sintética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5–7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Módulo M1 + informe de validación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Módulo M3: universo ETFs + Markowitz/HRP/BL + restricción por perfil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8–10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Módulo M3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Módulo M4: backtesting walk-forward + benchmarks por perfil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11–12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Tear sheets QuantStats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Módulo M5: demo Streamlit integrando M1→M4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13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App demo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Redacción de memoria y revisión global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14–16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Memoria final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Regla de redacción continua. </w:t>
      </w:r>
      <w:r>
        <w:t xml:space="preserve">Cada módulo se documenta en la memoria en la misma semana en que se construye. La Fase 6 queda reservada a introducción, conclusiones y revisión global.</w:t>
      </w:r>
    </w:p>
    <w:p>
      <w:pPr>
        <w:pStyle w:val="Heading1"/>
        <w:spacing w:after="140" w:before="280"/>
      </w:pPr>
      <w:r>
        <w:t xml:space="preserve">8 · Riesgos y mitigaciones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00"/>
        <w:gridCol w:w="456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ID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Riesgo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Mitigación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R1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La traducción automática ES→EN degrada el análisis de sentimiento en jerga coloquial ("me da palo", "me raya").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Pipeline dual: pysentimiento como control nativo en español; reportar casos de divergencia como hallazgo metodológico.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R2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ETFs UCITS con histórico insuficiente para cubrir crisis 2008 y COVID.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Fallback a equivalentes US-listed modelando o declarando el efecto divisa; documentar la elección en la memoria.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R3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Markowitz produce carteras inestables y concentradas en 2–3 activos.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Aplicar shrinkage Ledoit-Wolf sobre la covarianza; comparar con HRP y Black-Litterman.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R4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Las 30 personas sintéticas son poco representativas o con sesgo.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Generación guiada con plantilla estricta; revisión manual por dos personas; balancear 10/10/10 coherentes/incoh. moderada/incoh. grave.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R5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Sobrealcance y expansión descontrolada del proyecto.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Este documento como contrato; cualquier cambio exige justificación y actualización de versión.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R6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La demo Streamlit consume más tiempo del previsto.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MVP de una sola página; priorizar siempre la memoria sobre la demo si entran en conflicto.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R7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Problema conceptual no resuelto: FinBERT mide sentimiento de mercado, no aversión al riesgo.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Resuelto en Fase 0: el NLP no determina el perfil, solo lo ajusta vía prudencia asimétrica. El cuestionario MiFID II es la señal principal.</w:t>
            </w:r>
          </w:p>
        </w:tc>
      </w:tr>
    </w:tbl>
    <w:p>
      <w:pPr>
        <w:pStyle w:val="Heading1"/>
        <w:spacing w:after="140" w:before="280"/>
      </w:pPr>
      <w:r>
        <w:t xml:space="preserve">9 · Hitos de control (go / no-go)</w:t>
      </w:r>
    </w:p>
    <w:p>
      <w:pPr>
        <w:spacing w:after="120"/>
      </w:pPr>
      <w:r>
        <w:t xml:space="preserve">Al final de cada fase se revisa si procede continuar, replantear alcance o abortar módulo. Criterios de paso: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Fin Fase 1: </w:t>
      </w:r>
      <w:r>
        <w:t xml:space="preserve">ETFs seleccionados con histórico ≥ 2010 y datasets NLP cargados sin errores.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Fin Fase 2: </w:t>
      </w:r>
      <w:r>
        <w:t xml:space="preserve">Accuracy M1 ≥ 85% sobre sintéticos. Si &lt; 85%, afinar umbrales antes de continuar.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Fin Fase 3: </w:t>
      </w:r>
      <w:r>
        <w:t xml:space="preserve">Volatilidad realizada de las carteras dentro de los umbrales declarados por perfil.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Fin Fase 4: </w:t>
      </w:r>
      <w:r>
        <w:t xml:space="preserve">Todos los criterios de éxito de M4 cumplidos. Si no, documentar motivos en memoria.</w:t>
      </w:r>
    </w:p>
    <w:sectPr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center" w:pos="4680"/>
        <w:tab w:val="right" w:pos="9360"/>
      </w:tabs>
    </w:pPr>
    <w:r>
      <w:rPr>
        <w:color w:val="7F7F7F"/>
        <w:sz w:val="18"/>
        <w:szCs w:val="18"/>
      </w:rPr>
      <w:t xml:space="preserve">TFM · Roboadvisor personalizado</w:t>
    </w:r>
    <w:r>
      <w:t xml:space="preserve">	</w:t>
    </w:r>
    <w:r>
      <w:rPr>
        <w:color w:val="7F7F7F"/>
        <w:sz w:val="18"/>
        <w:szCs w:val="18"/>
      </w:rPr>
      <w:t xml:space="preserve">Fase 0 · Diseño y alcance</w:t>
    </w:r>
    <w:r>
      <w:t xml:space="preserve">	</w:t>
    </w:r>
    <w:r>
      <w:rPr>
        <w:color w:val="7F7F7F"/>
        <w:sz w:val="18"/>
        <w:szCs w:val="18"/>
      </w:rPr>
      <w:t xml:space="preserve">Pág.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4"/>
      </w:pBdr>
      <w:spacing w:after="140" w:before="28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2026-04-20T20:23:50.097Z</dcterms:created>
  <dcterms:modified xsi:type="dcterms:W3CDTF">2026-04-20T20:23:50.098Z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