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spacing w:after="300"/>
        <w:jc w:val="center"/>
      </w:pPr>
      <w:r>
        <w:rPr>
          <w:b/>
          <w:bCs/>
          <w:color w:val="1F3864"/>
          <w:sz w:val="36"/>
          <w:szCs w:val="36"/>
        </w:rPr>
        <w:t xml:space="preserve">RAPPORT DE RELECTURE ET PLAN DE CORRECTION</w:t>
      </w:r>
    </w:p>
    <w:p>
      <w:pPr>
        <w:pBdr>
          <w:bottom w:val="single" w:color="2E5597" w:sz="12" w:space="8"/>
        </w:pBdr>
        <w:spacing w:after="400"/>
        <w:jc w:val="center"/>
      </w:pPr>
    </w:p>
    <w:p>
      <w:pPr>
        <w:spacing w:after="120"/>
        <w:jc w:val="center"/>
      </w:pPr>
      <w:r>
        <w:rPr>
          <w:color w:val="595959"/>
          <w:sz w:val="22"/>
          <w:szCs w:val="22"/>
        </w:rPr>
        <w:t xml:space="preserve">Manuscrit évalué</w:t>
      </w:r>
    </w:p>
    <w:p>
      <w:pPr>
        <w:spacing w:after="120"/>
        <w:jc w:val="center"/>
      </w:pPr>
      <w:r>
        <w:rPr>
          <w:i/>
          <w:iCs/>
          <w:sz w:val="26"/>
          <w:szCs w:val="26"/>
        </w:rPr>
        <w:t xml:space="preserve">Beyond Static Dispatching Heuristics: A Comparative Evaluation of Deep Reinforcement Learning under Disruptions in Open-Pit Mining</w:t>
      </w:r>
    </w:p>
    <w:p>
      <w:pPr>
        <w:spacing w:after="600"/>
        <w:jc w:val="center"/>
      </w:pPr>
      <w:r>
        <w:rPr>
          <w:color w:val="595959"/>
          <w:sz w:val="20"/>
          <w:szCs w:val="20"/>
        </w:rPr>
        <w:t xml:space="preserve">(version française : RL_article_FR.tex et RL_references.bib)</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BFC9D9" w:sz="4"/>
              <w:left w:val="single" w:color="BFC9D9" w:sz="4"/>
              <w:bottom w:val="single" w:color="BFC9D9" w:sz="4"/>
              <w:right w:val="single" w:color="BFC9D9" w:sz="4"/>
            </w:tcBorders>
            <w:shd w:fill="1F3864" w:color="auto" w:val="clear"/>
            <w:tcMar>
              <w:top w:type="dxa" w:w="70"/>
              <w:left w:type="dxa" w:w="110"/>
              <w:bottom w:type="dxa" w:w="70"/>
              <w:right w:type="dxa" w:w="110"/>
            </w:tcMar>
            <w:vAlign w:val="top"/>
          </w:tcPr>
          <w:p>
            <w:pPr>
              <w:keepNext w:val="false"/>
              <w:keepLines/>
              <w:spacing w:after="40" w:line="252"/>
              <w:jc w:val="left"/>
            </w:pPr>
            <w:r>
              <w:rPr>
                <w:b/>
                <w:bCs/>
                <w:color w:val="FFFFFF"/>
                <w:sz w:val="19"/>
                <w:szCs w:val="19"/>
              </w:rPr>
              <w:t xml:space="preserve">Élément</w:t>
            </w:r>
          </w:p>
        </w:tc>
        <w:tc>
          <w:tcPr>
            <w:tcW w:type="dxa" w:w="7038"/>
            <w:tcBorders>
              <w:top w:val="single" w:color="BFC9D9" w:sz="4"/>
              <w:left w:val="single" w:color="BFC9D9" w:sz="4"/>
              <w:bottom w:val="single" w:color="BFC9D9" w:sz="4"/>
              <w:right w:val="single" w:color="BFC9D9" w:sz="4"/>
            </w:tcBorders>
            <w:shd w:fill="1F3864" w:color="auto" w:val="clear"/>
            <w:tcMar>
              <w:top w:type="dxa" w:w="70"/>
              <w:left w:type="dxa" w:w="110"/>
              <w:bottom w:type="dxa" w:w="70"/>
              <w:right w:type="dxa" w:w="110"/>
            </w:tcMar>
            <w:vAlign w:val="top"/>
          </w:tcPr>
          <w:p>
            <w:pPr>
              <w:keepNext w:val="false"/>
              <w:keepLines/>
              <w:spacing w:after="40" w:line="252"/>
              <w:jc w:val="left"/>
            </w:pPr>
            <w:r>
              <w:rPr>
                <w:b/>
                <w:bCs/>
                <w:color w:val="FFFFFF"/>
                <w:sz w:val="19"/>
                <w:szCs w:val="19"/>
              </w:rPr>
              <w:t xml:space="preserve">Détail</w:t>
            </w:r>
          </w:p>
        </w:tc>
      </w:tr>
      <w:tr>
        <w:trPr>
          <w:cantSplit/>
        </w:trPr>
        <w:tc>
          <w:tcPr>
            <w:tcW w:type="dxa" w:w="26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Auteurs</w:t>
            </w:r>
          </w:p>
        </w:tc>
        <w:tc>
          <w:tcPr>
            <w:tcW w:type="dxa" w:w="7038"/>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Jean-Luc Mupasa Kalunga (UDBL) ; Olfa Ferchichi (RIADI, ENSI, Université de la Manouba)</w:t>
            </w:r>
          </w:p>
        </w:tc>
      </w:tr>
      <w:tr>
        <w:trPr>
          <w:cantSplit/>
        </w:trPr>
        <w:tc>
          <w:tcPr>
            <w:tcW w:type="dxa" w:w="2600"/>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Revue visée</w:t>
            </w:r>
          </w:p>
        </w:tc>
        <w:tc>
          <w:tcPr>
            <w:tcW w:type="dxa" w:w="7038"/>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Cluster Computing (Springer)</w:t>
            </w:r>
          </w:p>
        </w:tc>
      </w:tr>
      <w:tr>
        <w:trPr>
          <w:cantSplit/>
        </w:trPr>
        <w:tc>
          <w:tcPr>
            <w:tcW w:type="dxa" w:w="26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Sources fusionnées</w:t>
            </w:r>
          </w:p>
        </w:tc>
        <w:tc>
          <w:tcPr>
            <w:tcW w:type="dxa" w:w="7038"/>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Relecture de Claude ; rapport de relecture de GPT ; remarques de la directrice (réunions des 16 août, 22 septembre et 30 septembre 2026, document « Remarques de correction scientifique », plan « Article Q1 »)</w:t>
            </w:r>
          </w:p>
        </w:tc>
      </w:tr>
      <w:tr>
        <w:trPr>
          <w:cantSplit/>
        </w:trPr>
        <w:tc>
          <w:tcPr>
            <w:tcW w:type="dxa" w:w="2600"/>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Date</w:t>
            </w:r>
          </w:p>
        </w:tc>
        <w:tc>
          <w:tcPr>
            <w:tcW w:type="dxa" w:w="7038"/>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7 octobre 2026</w:t>
            </w:r>
          </w:p>
        </w:tc>
      </w:tr>
      <w:tr>
        <w:trPr>
          <w:cantSplit/>
        </w:trPr>
        <w:tc>
          <w:tcPr>
            <w:tcW w:type="dxa" w:w="26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Recommandation</w:t>
            </w:r>
          </w:p>
        </w:tc>
        <w:tc>
          <w:tcPr>
            <w:tcW w:type="dxa" w:w="7038"/>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b/>
                <w:bCs/>
                <w:sz w:val="19"/>
                <w:szCs w:val="19"/>
              </w:rPr>
              <w:t xml:space="preserve">Révision majeure</w:t>
            </w:r>
            <w:r>
              <w:rPr>
                <w:sz w:val="19"/>
                <w:szCs w:val="19"/>
              </w:rPr>
              <w:t xml:space="preserve"> (pas de rejet)</w:t>
            </w:r>
          </w:p>
        </w:tc>
      </w:tr>
    </w:tbl>
    <w:p>
      <w:r>
        <w:br w:type="page"/>
      </w:r>
    </w:p>
    <w:p>
      <w:pPr>
        <w:spacing w:after="200"/>
      </w:pPr>
      <w:r>
        <w:rPr>
          <w:b/>
          <w:bCs/>
          <w:color w:val="1F3864"/>
          <w:sz w:val="30"/>
          <w:szCs w:val="30"/>
        </w:rPr>
        <w:t xml:space="preserve">Sommaire</w:t>
      </w:r>
    </w:p>
    <w:sdt>
      <w:sdtPr>
        <w:alias w:val="Sommaire"/>
      </w:sdtPr>
      <w:sdtContent>
        <w:p>
          <w:r>
            <w:fldChar w:fldCharType="begin" w:dirty="true"/>
            <w:instrText xml:space="preserve">TOC \h \o "1-2"</w:instrText>
            <w:fldChar w:fldCharType="separate"/>
          </w:r>
        </w:p>
        <w:p>
          <w:r>
            <w:fldChar w:fldCharType="end"/>
          </w:r>
        </w:p>
      </w:sdtContent>
    </w:sdt>
    <w:p>
      <w:pPr>
        <w:spacing w:after="120" w:before="0" w:line="276"/>
        <w:jc w:val="both"/>
      </w:pPr>
      <w:r>
        <w:rPr>
          <w:i/>
          <w:iCs/>
          <w:color w:val="595959"/>
          <w:sz w:val="18"/>
          <w:szCs w:val="18"/>
        </w:rPr>
        <w:t xml:space="preserve">Si le sommaire apparaît vide, faites un clic droit dessus puis « Mettre à jour les champs » dans Word.</w:t>
      </w:r>
    </w:p>
    <w:p>
      <w:pPr>
        <w:pStyle w:val="Heading1"/>
        <w:pageBreakBefore/>
      </w:pPr>
      <w:r>
        <w:t xml:space="preserve">1. Comment utiliser ce rapport</w:t>
      </w:r>
    </w:p>
    <w:p>
      <w:pPr>
        <w:spacing w:after="120" w:before="0" w:line="276"/>
        <w:jc w:val="both"/>
      </w:pPr>
      <w:r>
        <w:t xml:space="preserve">Ce rapport rassemble en un seul document de travail toutes les critiques formulées sur le manuscrit : celles de ma relecture, celles du rapport de GPT et celles de votre directrice. Les doublons ont été fusionnés et chaque point indique sa ou ses sources, ce qui vous permet de savoir quels points ont été soulevés par plusieurs relecteurs (et seront donc presque certainement soulevés par les relecteurs de la revue).</w:t>
      </w:r>
    </w:p>
    <w:p>
      <w:pPr>
        <w:spacing w:after="120" w:before="0" w:line="276"/>
        <w:jc w:val="both"/>
      </w:pPr>
      <w:r>
        <w:t xml:space="preserve">Chaque commentaire majeur est présenté sous forme de fiche : constat, raison pour laquelle le point est grave, action corrective concrète, localisation dans le fichier .tex et une case de statut à cocher. Les commentaires mineurs sont regroupés dans des tableaux de contrôle.</w:t>
      </w:r>
    </w:p>
    <w:p>
      <w:pPr>
        <w:pStyle w:val="Heading2"/>
      </w:pPr>
      <w:r>
        <w:t xml:space="preserve">Niveaux de priorité</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rPr>
          <w:tblHeader/>
        </w:trPr>
        <w:tc>
          <w:tcPr>
            <w:tcW w:type="dxa" w:w="1800"/>
            <w:tcBorders>
              <w:top w:val="single" w:color="BFC9D9" w:sz="4"/>
              <w:left w:val="single" w:color="BFC9D9" w:sz="4"/>
              <w:bottom w:val="single" w:color="BFC9D9" w:sz="4"/>
              <w:right w:val="single" w:color="BFC9D9" w:sz="4"/>
            </w:tcBorders>
            <w:shd w:fill="1F3864" w:color="auto" w:val="clear"/>
            <w:tcMar>
              <w:top w:type="dxa" w:w="70"/>
              <w:left w:type="dxa" w:w="110"/>
              <w:bottom w:type="dxa" w:w="70"/>
              <w:right w:type="dxa" w:w="110"/>
            </w:tcMar>
            <w:vAlign w:val="top"/>
          </w:tcPr>
          <w:p>
            <w:pPr>
              <w:keepNext w:val="false"/>
              <w:keepLines/>
              <w:spacing w:after="40" w:line="252"/>
              <w:jc w:val="left"/>
            </w:pPr>
            <w:r>
              <w:rPr>
                <w:b/>
                <w:bCs/>
                <w:color w:val="FFFFFF"/>
                <w:sz w:val="19"/>
                <w:szCs w:val="19"/>
              </w:rPr>
              <w:t xml:space="preserve">Priorité</w:t>
            </w:r>
          </w:p>
        </w:tc>
        <w:tc>
          <w:tcPr>
            <w:tcW w:type="dxa" w:w="7838"/>
            <w:tcBorders>
              <w:top w:val="single" w:color="BFC9D9" w:sz="4"/>
              <w:left w:val="single" w:color="BFC9D9" w:sz="4"/>
              <w:bottom w:val="single" w:color="BFC9D9" w:sz="4"/>
              <w:right w:val="single" w:color="BFC9D9" w:sz="4"/>
            </w:tcBorders>
            <w:shd w:fill="1F3864" w:color="auto" w:val="clear"/>
            <w:tcMar>
              <w:top w:type="dxa" w:w="70"/>
              <w:left w:type="dxa" w:w="110"/>
              <w:bottom w:type="dxa" w:w="70"/>
              <w:right w:type="dxa" w:w="110"/>
            </w:tcMar>
            <w:vAlign w:val="top"/>
          </w:tcPr>
          <w:p>
            <w:pPr>
              <w:keepNext w:val="false"/>
              <w:keepLines/>
              <w:spacing w:after="40" w:line="252"/>
              <w:jc w:val="left"/>
            </w:pPr>
            <w:r>
              <w:rPr>
                <w:b/>
                <w:bCs/>
                <w:color w:val="FFFFFF"/>
                <w:sz w:val="19"/>
                <w:szCs w:val="19"/>
              </w:rPr>
              <w:t xml:space="preserve">Signification</w:t>
            </w:r>
          </w:p>
        </w:tc>
      </w:tr>
      <w:tr>
        <w:trPr>
          <w:cantSplit/>
        </w:trPr>
        <w:tc>
          <w:tcPr>
            <w:tcW w:type="dxa" w:w="18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b/>
                <w:bCs/>
                <w:color w:val="C00000"/>
                <w:sz w:val="19"/>
                <w:szCs w:val="19"/>
              </w:rPr>
              <w:t xml:space="preserve">Critique</w:t>
            </w:r>
          </w:p>
        </w:tc>
        <w:tc>
          <w:tcPr>
            <w:tcW w:type="dxa" w:w="7838"/>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Peut à lui seul justifier un rejet. À traiter en premier, souvent par une vérification du code.</w:t>
            </w:r>
          </w:p>
        </w:tc>
      </w:tr>
      <w:tr>
        <w:trPr>
          <w:cantSplit/>
        </w:trPr>
        <w:tc>
          <w:tcPr>
            <w:tcW w:type="dxa" w:w="1800"/>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b/>
                <w:bCs/>
                <w:color w:val="E26B0A"/>
                <w:sz w:val="19"/>
                <w:szCs w:val="19"/>
              </w:rPr>
              <w:t xml:space="preserve">Élevée</w:t>
            </w:r>
          </w:p>
        </w:tc>
        <w:tc>
          <w:tcPr>
            <w:tcW w:type="dxa" w:w="7838"/>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Sera demandé par au moins un relecteur ; une révision majeure ne passera pas sans.</w:t>
            </w:r>
          </w:p>
        </w:tc>
      </w:tr>
      <w:tr>
        <w:trPr>
          <w:cantSplit/>
        </w:trPr>
        <w:tc>
          <w:tcPr>
            <w:tcW w:type="dxa" w:w="18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b/>
                <w:bCs/>
                <w:color w:val="BF8F00"/>
                <w:sz w:val="19"/>
                <w:szCs w:val="19"/>
              </w:rPr>
              <w:t xml:space="preserve">Moyenne</w:t>
            </w:r>
          </w:p>
        </w:tc>
        <w:tc>
          <w:tcPr>
            <w:tcW w:type="dxa" w:w="7838"/>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Renforce nettement l'article ; souvent une reformulation ou une analyse complémentaire.</w:t>
            </w:r>
          </w:p>
        </w:tc>
      </w:tr>
      <w:tr>
        <w:trPr>
          <w:cantSplit/>
        </w:trPr>
        <w:tc>
          <w:tcPr>
            <w:tcW w:type="dxa" w:w="1800"/>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b/>
                <w:bCs/>
                <w:color w:val="7F7F7F"/>
                <w:sz w:val="19"/>
                <w:szCs w:val="19"/>
              </w:rPr>
              <w:t xml:space="preserve">Faible</w:t>
            </w:r>
          </w:p>
        </w:tc>
        <w:tc>
          <w:tcPr>
            <w:tcW w:type="dxa" w:w="7838"/>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Forme, style, coquilles.</w:t>
            </w:r>
          </w:p>
        </w:tc>
      </w:tr>
    </w:tbl>
    <w:p>
      <w:pPr>
        <w:spacing w:after="120"/>
      </w:pPr>
    </w:p>
    <w:p>
      <w:pPr>
        <w:pStyle w:val="Heading2"/>
      </w:pPr>
      <w:r>
        <w:t xml:space="preserve">Abréviations des sources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rPr>
          <w:tblHeader/>
        </w:trPr>
        <w:tc>
          <w:tcPr>
            <w:tcW w:type="dxa" w:w="1800"/>
            <w:tcBorders>
              <w:top w:val="single" w:color="BFC9D9" w:sz="4"/>
              <w:left w:val="single" w:color="BFC9D9" w:sz="4"/>
              <w:bottom w:val="single" w:color="BFC9D9" w:sz="4"/>
              <w:right w:val="single" w:color="BFC9D9" w:sz="4"/>
            </w:tcBorders>
            <w:shd w:fill="1F3864" w:color="auto" w:val="clear"/>
            <w:tcMar>
              <w:top w:type="dxa" w:w="70"/>
              <w:left w:type="dxa" w:w="110"/>
              <w:bottom w:type="dxa" w:w="70"/>
              <w:right w:type="dxa" w:w="110"/>
            </w:tcMar>
            <w:vAlign w:val="top"/>
          </w:tcPr>
          <w:p>
            <w:pPr>
              <w:keepNext w:val="false"/>
              <w:keepLines/>
              <w:spacing w:after="40" w:line="252"/>
              <w:jc w:val="left"/>
            </w:pPr>
            <w:r>
              <w:rPr>
                <w:b/>
                <w:bCs/>
                <w:color w:val="FFFFFF"/>
                <w:sz w:val="19"/>
                <w:szCs w:val="19"/>
              </w:rPr>
              <w:t xml:space="preserve">Code</w:t>
            </w:r>
          </w:p>
        </w:tc>
        <w:tc>
          <w:tcPr>
            <w:tcW w:type="dxa" w:w="7838"/>
            <w:tcBorders>
              <w:top w:val="single" w:color="BFC9D9" w:sz="4"/>
              <w:left w:val="single" w:color="BFC9D9" w:sz="4"/>
              <w:bottom w:val="single" w:color="BFC9D9" w:sz="4"/>
              <w:right w:val="single" w:color="BFC9D9" w:sz="4"/>
            </w:tcBorders>
            <w:shd w:fill="1F3864" w:color="auto" w:val="clear"/>
            <w:tcMar>
              <w:top w:type="dxa" w:w="70"/>
              <w:left w:type="dxa" w:w="110"/>
              <w:bottom w:type="dxa" w:w="70"/>
              <w:right w:type="dxa" w:w="110"/>
            </w:tcMar>
            <w:vAlign w:val="top"/>
          </w:tcPr>
          <w:p>
            <w:pPr>
              <w:keepNext w:val="false"/>
              <w:keepLines/>
              <w:spacing w:after="40" w:line="252"/>
              <w:jc w:val="left"/>
            </w:pPr>
            <w:r>
              <w:rPr>
                <w:b/>
                <w:bCs/>
                <w:color w:val="FFFFFF"/>
                <w:sz w:val="19"/>
                <w:szCs w:val="19"/>
              </w:rPr>
              <w:t xml:space="preserve">Source</w:t>
            </w:r>
          </w:p>
        </w:tc>
      </w:tr>
      <w:tr>
        <w:trPr>
          <w:cantSplit/>
        </w:trPr>
        <w:tc>
          <w:tcPr>
            <w:tcW w:type="dxa" w:w="18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Claude</w:t>
            </w:r>
          </w:p>
        </w:tc>
        <w:tc>
          <w:tcPr>
            <w:tcW w:type="dxa" w:w="7838"/>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Ma relecture détaillée (rapport du 7 octobre)</w:t>
            </w:r>
          </w:p>
        </w:tc>
      </w:tr>
      <w:tr>
        <w:trPr>
          <w:cantSplit/>
        </w:trPr>
        <w:tc>
          <w:tcPr>
            <w:tcW w:type="dxa" w:w="1800"/>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GPT</w:t>
            </w:r>
          </w:p>
        </w:tc>
        <w:tc>
          <w:tcPr>
            <w:tcW w:type="dxa" w:w="7838"/>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Rapport de relecture de GPT transmis le 7 octobre</w:t>
            </w:r>
          </w:p>
        </w:tc>
      </w:tr>
      <w:tr>
        <w:trPr>
          <w:cantSplit/>
        </w:trPr>
        <w:tc>
          <w:tcPr>
            <w:tcW w:type="dxa" w:w="18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Dir. 16/08</w:t>
            </w:r>
          </w:p>
        </w:tc>
        <w:tc>
          <w:tcPr>
            <w:tcW w:type="dxa" w:w="7838"/>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Réunion avec la directrice du 16 août 2026</w:t>
            </w:r>
          </w:p>
        </w:tc>
      </w:tr>
      <w:tr>
        <w:trPr>
          <w:cantSplit/>
        </w:trPr>
        <w:tc>
          <w:tcPr>
            <w:tcW w:type="dxa" w:w="1800"/>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Dir. 22/09</w:t>
            </w:r>
          </w:p>
        </w:tc>
        <w:tc>
          <w:tcPr>
            <w:tcW w:type="dxa" w:w="7838"/>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Réunion avec la directrice du 22 septembre 2026</w:t>
            </w:r>
          </w:p>
        </w:tc>
      </w:tr>
      <w:tr>
        <w:trPr>
          <w:cantSplit/>
        </w:trPr>
        <w:tc>
          <w:tcPr>
            <w:tcW w:type="dxa" w:w="18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Dir. 30/09</w:t>
            </w:r>
          </w:p>
        </w:tc>
        <w:tc>
          <w:tcPr>
            <w:tcW w:type="dxa" w:w="7838"/>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Réunion avec la directrice du 30 septembre 2026</w:t>
            </w:r>
          </w:p>
        </w:tc>
      </w:tr>
      <w:tr>
        <w:trPr>
          <w:cantSplit/>
        </w:trPr>
        <w:tc>
          <w:tcPr>
            <w:tcW w:type="dxa" w:w="1800"/>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Dir. corr.</w:t>
            </w:r>
          </w:p>
        </w:tc>
        <w:tc>
          <w:tcPr>
            <w:tcW w:type="dxa" w:w="7838"/>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Document « Remarques de correction scientifique » (10 points)</w:t>
            </w:r>
          </w:p>
        </w:tc>
      </w:tr>
      <w:tr>
        <w:trPr>
          <w:cantSplit/>
        </w:trPr>
        <w:tc>
          <w:tcPr>
            <w:tcW w:type="dxa" w:w="18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Dir. plan</w:t>
            </w:r>
          </w:p>
        </w:tc>
        <w:tc>
          <w:tcPr>
            <w:tcW w:type="dxa" w:w="7838"/>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Document « Plan article Q1 logistique minière RL »</w:t>
            </w:r>
          </w:p>
        </w:tc>
      </w:tr>
    </w:tbl>
    <w:p>
      <w:pPr>
        <w:spacing w:after="120"/>
      </w:pPr>
    </w:p>
    <w:p>
      <w:pPr>
        <w:spacing w:after="120" w:before="0" w:line="276"/>
        <w:jc w:val="both"/>
      </w:pPr>
      <w:r>
        <w:rPr>
          <w:b/>
          <w:bCs/>
        </w:rPr>
        <w:t xml:space="preserve">Remarque importante sur l'ordre de travail.</w:t>
      </w:r>
      <w:r>
        <w:t xml:space="preserve"> Trois points (M1, M2 et M3) ne se corrigent pas dans le texte : ils exigent d'abord de vérifier le code et les fichiers de résultats. Leurs conclusions peuvent modifier des tableaux, des chiffres de l'abstract et la discussion. Il est donc inutile de polir la rédaction avant de les avoir tranchés.</w:t>
      </w:r>
    </w:p>
    <w:p>
      <w:pPr>
        <w:pStyle w:val="Heading1"/>
        <w:pageBreakBefore/>
      </w:pPr>
      <w:r>
        <w:t xml:space="preserve">2. Synthèse et recommandation</w:t>
      </w:r>
    </w:p>
    <w:p>
      <w:pPr>
        <w:spacing w:after="120" w:before="0" w:line="276"/>
        <w:jc w:val="both"/>
      </w:pPr>
      <w:r>
        <w:t xml:space="preserve">Le manuscrit compare huit politiques de dispatching camions et pelles (quatre heuristiques, deux agents d'apprentissage par renforcement tabulaire et deux agents d'apprentissage par renforcement profond) dans trois régimes : nominal, forte charge et fortes pannes, avec 30 réplications. Le message central, selon lequel le classement des politiques dépend du régime et la performance nominale prédit mal la résilience, est pertinent, honnêtement nuancé et publiable. Les trois relecteurs s'accordent sur ce point et sur la recommandation : </w:t>
      </w:r>
      <w:r>
        <w:rPr>
          <w:b/>
          <w:bCs/>
        </w:rPr>
        <w:t xml:space="preserve">révision majeure, sans rejet</w:t>
      </w:r>
      <w:r>
        <w:t xml:space="preserve">.</w:t>
      </w:r>
    </w:p>
    <w:p>
      <w:pPr>
        <w:pStyle w:val="Heading2"/>
      </w:pPr>
      <w:r>
        <w:t xml:space="preserve">Points forts reconnus par tous les relecteurs</w:t>
      </w:r>
    </w:p>
    <w:p>
      <w:pPr>
        <w:pStyle w:val="ListParagraph"/>
        <w:numPr>
          <w:ilvl w:val="0"/>
          <w:numId w:val="2"/>
        </w:numPr>
        <w:spacing w:after="60" w:line="264"/>
        <w:jc w:val="both"/>
      </w:pPr>
      <w:r>
        <w:t xml:space="preserve">Question scientifique claire et utile : la performance nominale ne prédit pas la résilience.</w:t>
      </w:r>
    </w:p>
    <w:p>
      <w:pPr>
        <w:pStyle w:val="ListParagraph"/>
        <w:numPr>
          <w:ilvl w:val="0"/>
          <w:numId w:val="2"/>
        </w:numPr>
        <w:spacing w:after="60" w:line="264"/>
        <w:jc w:val="both"/>
      </w:pPr>
      <w:r>
        <w:t xml:space="preserve">Protocole multi-régimes avec évaluation sans réentraînement (</w:t>
      </w:r>
      <w:r>
        <w:rPr>
          <w:i/>
          <w:iCs/>
        </w:rPr>
        <w:t xml:space="preserve">zero-shot</w:t>
      </w:r>
      <w:r>
        <w:t xml:space="preserve">), 30 réplications et graines communes.</w:t>
      </w:r>
    </w:p>
    <w:p>
      <w:pPr>
        <w:pStyle w:val="ListParagraph"/>
        <w:numPr>
          <w:ilvl w:val="0"/>
          <w:numId w:val="2"/>
        </w:numPr>
        <w:spacing w:after="60" w:line="264"/>
        <w:jc w:val="both"/>
      </w:pPr>
      <w:r>
        <w:t xml:space="preserve">Comparaison inter-familles (heuristiques, apprentissage tabulaire et profond) sur le même état et les mêmes indicateurs.</w:t>
      </w:r>
    </w:p>
    <w:p>
      <w:pPr>
        <w:pStyle w:val="ListParagraph"/>
        <w:numPr>
          <w:ilvl w:val="0"/>
          <w:numId w:val="2"/>
        </w:numPr>
        <w:spacing w:after="60" w:line="264"/>
        <w:jc w:val="both"/>
      </w:pPr>
      <w:r>
        <w:t xml:space="preserve">Transparence sur les limites (écart simulation-réalité, non-convergence des agents tabulaires).</w:t>
      </w:r>
    </w:p>
    <w:p>
      <w:pPr>
        <w:pStyle w:val="ListParagraph"/>
        <w:numPr>
          <w:ilvl w:val="0"/>
          <w:numId w:val="2"/>
        </w:numPr>
        <w:spacing w:after="60" w:line="264"/>
        <w:jc w:val="both"/>
      </w:pPr>
      <w:r>
        <w:t xml:space="preserve">Étude d'ablation, analyse énergétique, pseudo-codes et code annoncé comme disponible.</w:t>
      </w:r>
    </w:p>
    <w:p>
      <w:pPr>
        <w:pStyle w:val="Heading2"/>
      </w:pPr>
      <w:r>
        <w:t xml:space="preserve">Les cinq problèmes qui bloquent l'article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5400"/>
        <w:gridCol w:w="2000"/>
        <w:gridCol w:w="1538"/>
      </w:tblGrid>
      <w:tr>
        <w:trPr>
          <w:tblHeader/>
        </w:trPr>
        <w:tc>
          <w:tcPr>
            <w:tcW w:type="dxa" w:w="700"/>
            <w:tcBorders>
              <w:top w:val="single" w:color="BFC9D9" w:sz="4"/>
              <w:left w:val="single" w:color="BFC9D9" w:sz="4"/>
              <w:bottom w:val="single" w:color="BFC9D9" w:sz="4"/>
              <w:right w:val="single" w:color="BFC9D9" w:sz="4"/>
            </w:tcBorders>
            <w:shd w:fill="1F3864" w:color="auto" w:val="clear"/>
            <w:tcMar>
              <w:top w:type="dxa" w:w="70"/>
              <w:left w:type="dxa" w:w="110"/>
              <w:bottom w:type="dxa" w:w="70"/>
              <w:right w:type="dxa" w:w="110"/>
            </w:tcMar>
            <w:vAlign w:val="top"/>
          </w:tcPr>
          <w:p>
            <w:pPr>
              <w:keepNext w:val="false"/>
              <w:keepLines/>
              <w:spacing w:after="40" w:line="252"/>
              <w:jc w:val="left"/>
            </w:pPr>
            <w:r>
              <w:rPr>
                <w:b/>
                <w:bCs/>
                <w:color w:val="FFFFFF"/>
                <w:sz w:val="19"/>
                <w:szCs w:val="19"/>
              </w:rPr>
              <w:t xml:space="preserve">#</w:t>
            </w:r>
          </w:p>
        </w:tc>
        <w:tc>
          <w:tcPr>
            <w:tcW w:type="dxa" w:w="5400"/>
            <w:tcBorders>
              <w:top w:val="single" w:color="BFC9D9" w:sz="4"/>
              <w:left w:val="single" w:color="BFC9D9" w:sz="4"/>
              <w:bottom w:val="single" w:color="BFC9D9" w:sz="4"/>
              <w:right w:val="single" w:color="BFC9D9" w:sz="4"/>
            </w:tcBorders>
            <w:shd w:fill="1F3864" w:color="auto" w:val="clear"/>
            <w:tcMar>
              <w:top w:type="dxa" w:w="70"/>
              <w:left w:type="dxa" w:w="110"/>
              <w:bottom w:type="dxa" w:w="70"/>
              <w:right w:type="dxa" w:w="110"/>
            </w:tcMar>
            <w:vAlign w:val="top"/>
          </w:tcPr>
          <w:p>
            <w:pPr>
              <w:keepNext w:val="false"/>
              <w:keepLines/>
              <w:spacing w:after="40" w:line="252"/>
              <w:jc w:val="left"/>
            </w:pPr>
            <w:r>
              <w:rPr>
                <w:b/>
                <w:bCs/>
                <w:color w:val="FFFFFF"/>
                <w:sz w:val="19"/>
                <w:szCs w:val="19"/>
              </w:rPr>
              <w:t xml:space="preserve">Problème</w:t>
            </w:r>
          </w:p>
        </w:tc>
        <w:tc>
          <w:tcPr>
            <w:tcW w:type="dxa" w:w="2000"/>
            <w:tcBorders>
              <w:top w:val="single" w:color="BFC9D9" w:sz="4"/>
              <w:left w:val="single" w:color="BFC9D9" w:sz="4"/>
              <w:bottom w:val="single" w:color="BFC9D9" w:sz="4"/>
              <w:right w:val="single" w:color="BFC9D9" w:sz="4"/>
            </w:tcBorders>
            <w:shd w:fill="1F3864" w:color="auto" w:val="clear"/>
            <w:tcMar>
              <w:top w:type="dxa" w:w="70"/>
              <w:left w:type="dxa" w:w="110"/>
              <w:bottom w:type="dxa" w:w="70"/>
              <w:right w:type="dxa" w:w="110"/>
            </w:tcMar>
            <w:vAlign w:val="top"/>
          </w:tcPr>
          <w:p>
            <w:pPr>
              <w:keepNext w:val="false"/>
              <w:keepLines/>
              <w:spacing w:after="40" w:line="252"/>
              <w:jc w:val="left"/>
            </w:pPr>
            <w:r>
              <w:rPr>
                <w:b/>
                <w:bCs/>
                <w:color w:val="FFFFFF"/>
                <w:sz w:val="19"/>
                <w:szCs w:val="19"/>
              </w:rPr>
              <w:t xml:space="preserve">Signalé par</w:t>
            </w:r>
          </w:p>
        </w:tc>
        <w:tc>
          <w:tcPr>
            <w:tcW w:type="dxa" w:w="1538"/>
            <w:tcBorders>
              <w:top w:val="single" w:color="BFC9D9" w:sz="4"/>
              <w:left w:val="single" w:color="BFC9D9" w:sz="4"/>
              <w:bottom w:val="single" w:color="BFC9D9" w:sz="4"/>
              <w:right w:val="single" w:color="BFC9D9" w:sz="4"/>
            </w:tcBorders>
            <w:shd w:fill="1F3864" w:color="auto" w:val="clear"/>
            <w:tcMar>
              <w:top w:type="dxa" w:w="70"/>
              <w:left w:type="dxa" w:w="110"/>
              <w:bottom w:type="dxa" w:w="70"/>
              <w:right w:type="dxa" w:w="110"/>
            </w:tcMar>
            <w:vAlign w:val="top"/>
          </w:tcPr>
          <w:p>
            <w:pPr>
              <w:keepNext w:val="false"/>
              <w:keepLines/>
              <w:spacing w:after="40" w:line="252"/>
              <w:jc w:val="left"/>
            </w:pPr>
            <w:r>
              <w:rPr>
                <w:b/>
                <w:bCs/>
                <w:color w:val="FFFFFF"/>
                <w:sz w:val="19"/>
                <w:szCs w:val="19"/>
              </w:rPr>
              <w:t xml:space="preserve">Priorité</w:t>
            </w:r>
          </w:p>
        </w:tc>
      </w:tr>
      <w:tr>
        <w:trPr>
          <w:cantSplit/>
        </w:trPr>
        <w:tc>
          <w:tcPr>
            <w:tcW w:type="dxa" w:w="7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M1</w:t>
            </w:r>
          </w:p>
        </w:tc>
        <w:tc>
          <w:tcPr>
            <w:tcW w:type="dxa" w:w="54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Le transfert sans réentraînement de 147 vers 213 dimensions est techniquement inexpliqué.</w:t>
            </w:r>
          </w:p>
        </w:tc>
        <w:tc>
          <w:tcPr>
            <w:tcW w:type="dxa" w:w="20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Claude, GPT</w:t>
            </w:r>
          </w:p>
        </w:tc>
        <w:tc>
          <w:tcPr>
            <w:tcW w:type="dxa" w:w="1538"/>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b/>
                <w:bCs/>
                <w:color w:val="C00000"/>
                <w:sz w:val="19"/>
                <w:szCs w:val="19"/>
              </w:rPr>
              <w:t xml:space="preserve">Critique</w:t>
            </w:r>
          </w:p>
        </w:tc>
      </w:tr>
      <w:tr>
        <w:trPr>
          <w:cantSplit/>
        </w:trPr>
        <w:tc>
          <w:tcPr>
            <w:tcW w:type="dxa" w:w="700"/>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M2</w:t>
            </w:r>
          </w:p>
        </w:tc>
        <w:tc>
          <w:tcPr>
            <w:tcW w:type="dxa" w:w="5400"/>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Le temps d'attente rapporté dépasse la durée du cycle ; incompatible avec l'utilisation à 96 %.</w:t>
            </w:r>
          </w:p>
        </w:tc>
        <w:tc>
          <w:tcPr>
            <w:tcW w:type="dxa" w:w="2000"/>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Claude</w:t>
            </w:r>
          </w:p>
        </w:tc>
        <w:tc>
          <w:tcPr>
            <w:tcW w:type="dxa" w:w="1538"/>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b/>
                <w:bCs/>
                <w:color w:val="C00000"/>
                <w:sz w:val="19"/>
                <w:szCs w:val="19"/>
              </w:rPr>
              <w:t xml:space="preserve">Critique</w:t>
            </w:r>
          </w:p>
        </w:tc>
      </w:tr>
      <w:tr>
        <w:trPr>
          <w:cantSplit/>
        </w:trPr>
        <w:tc>
          <w:tcPr>
            <w:tcW w:type="dxa" w:w="7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M3</w:t>
            </w:r>
          </w:p>
        </w:tc>
        <w:tc>
          <w:tcPr>
            <w:tcW w:type="dxa" w:w="54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Valeurs p et intervalles de confiance incompatibles avec les écarts-types et n = 30 (pseudo-réplication probable).</w:t>
            </w:r>
          </w:p>
        </w:tc>
        <w:tc>
          <w:tcPr>
            <w:tcW w:type="dxa" w:w="20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Claude</w:t>
            </w:r>
          </w:p>
        </w:tc>
        <w:tc>
          <w:tcPr>
            <w:tcW w:type="dxa" w:w="1538"/>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b/>
                <w:bCs/>
                <w:color w:val="C00000"/>
                <w:sz w:val="19"/>
                <w:szCs w:val="19"/>
              </w:rPr>
              <w:t xml:space="preserve">Critique</w:t>
            </w:r>
          </w:p>
        </w:tc>
      </w:tr>
      <w:tr>
        <w:trPr>
          <w:cantSplit/>
        </w:trPr>
        <w:tc>
          <w:tcPr>
            <w:tcW w:type="dxa" w:w="700"/>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M4</w:t>
            </w:r>
          </w:p>
        </w:tc>
        <w:tc>
          <w:tcPr>
            <w:tcW w:type="dxa" w:w="5400"/>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Tests pour échantillons indépendants alors que les graines communes rendent les données appariées.</w:t>
            </w:r>
          </w:p>
        </w:tc>
        <w:tc>
          <w:tcPr>
            <w:tcW w:type="dxa" w:w="2000"/>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Claude, GPT</w:t>
            </w:r>
          </w:p>
        </w:tc>
        <w:tc>
          <w:tcPr>
            <w:tcW w:type="dxa" w:w="1538"/>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b/>
                <w:bCs/>
                <w:color w:val="C00000"/>
                <w:sz w:val="19"/>
                <w:szCs w:val="19"/>
              </w:rPr>
              <w:t xml:space="preserve">Critique</w:t>
            </w:r>
          </w:p>
        </w:tc>
      </w:tr>
      <w:tr>
        <w:trPr>
          <w:cantSplit/>
        </w:trPr>
        <w:tc>
          <w:tcPr>
            <w:tcW w:type="dxa" w:w="7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M7</w:t>
            </w:r>
          </w:p>
        </w:tc>
        <w:tc>
          <w:tcPr>
            <w:tcW w:type="dxa" w:w="54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Une seule graine d'entraînement par agent : aucune conclusion possible au niveau de l'algorithme.</w:t>
            </w:r>
          </w:p>
        </w:tc>
        <w:tc>
          <w:tcPr>
            <w:tcW w:type="dxa" w:w="20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Claude, GPT, Dir. corr.</w:t>
            </w:r>
          </w:p>
        </w:tc>
        <w:tc>
          <w:tcPr>
            <w:tcW w:type="dxa" w:w="1538"/>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b/>
                <w:bCs/>
                <w:color w:val="C00000"/>
                <w:sz w:val="19"/>
                <w:szCs w:val="19"/>
              </w:rPr>
              <w:t xml:space="preserve">Critique</w:t>
            </w:r>
          </w:p>
        </w:tc>
      </w:tr>
    </w:tbl>
    <w:p>
      <w:pPr>
        <w:spacing w:after="120"/>
      </w:pPr>
    </w:p>
    <w:p>
      <w:pPr>
        <w:pStyle w:val="Heading2"/>
      </w:pPr>
      <w:r>
        <w:t xml:space="preserve">Divergence entre les relecteurs</w:t>
      </w:r>
    </w:p>
    <w:p>
      <w:pPr>
        <w:spacing w:after="120" w:before="0" w:line="276"/>
        <w:jc w:val="both"/>
      </w:pPr>
      <w:r>
        <w:t xml:space="preserve">GPT juge la cohérence entre résultats et discussion « globalement bonne ». C'est vrai pour le récit, mais pas pour les nombres : plusieurs chiffres se contredisent quand on refait les calculs (voir M2, M3, M15, M16 et l'annexe A). Sur l'entraînement multi-graines, GPT estime qu'un recadrage du texte peut suffire. Ce n'est acceptable que si vous retirez toute comparaison au niveau de l'algorithme (« PPO &gt; DQN », « DQN plus robuste que PPO »). Vu le coût annoncé (environ 2 h par entraînement), cinq graines restent le choix le plus sûr.</w:t>
      </w:r>
    </w:p>
    <w:p>
      <w:pPr>
        <w:pStyle w:val="Heading1"/>
        <w:pageBreakBefore/>
      </w:pPr>
      <w:r>
        <w:t xml:space="preserve">3. Bilan des remarques de la directrice</w:t>
      </w:r>
    </w:p>
    <w:p>
      <w:pPr>
        <w:spacing w:after="120" w:before="0" w:line="276"/>
        <w:jc w:val="both"/>
      </w:pPr>
      <w:r>
        <w:t xml:space="preserve">J'ai vérifié, dans la version actuelle du fichier RL_article_FR.tex, si chaque remarque de votre directrice a déjà été prise en compte. Les points « Fait » n'exigent qu'une vérification finale ; les points « Partiel » et « À faire » sont repris dans les fiches ou dans les tableaux de contrôle de ce rapport.</w:t>
      </w:r>
    </w:p>
    <w:p>
      <w:pPr>
        <w:pStyle w:val="Heading2"/>
      </w:pPr>
      <w:r>
        <w:t xml:space="preserve">3.1 Remarques de forme et de structure (réunions)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1300"/>
        <w:gridCol w:w="1000"/>
        <w:gridCol w:w="4638"/>
      </w:tblGrid>
      <w:tr>
        <w:trPr>
          <w:tblHeader/>
        </w:trPr>
        <w:tc>
          <w:tcPr>
            <w:tcW w:type="dxa" w:w="2700"/>
            <w:tcBorders>
              <w:top w:val="single" w:color="BFC9D9" w:sz="4"/>
              <w:left w:val="single" w:color="BFC9D9" w:sz="4"/>
              <w:bottom w:val="single" w:color="BFC9D9" w:sz="4"/>
              <w:right w:val="single" w:color="BFC9D9" w:sz="4"/>
            </w:tcBorders>
            <w:shd w:fill="1F3864" w:color="auto" w:val="clear"/>
            <w:tcMar>
              <w:top w:type="dxa" w:w="70"/>
              <w:left w:type="dxa" w:w="110"/>
              <w:bottom w:type="dxa" w:w="70"/>
              <w:right w:type="dxa" w:w="110"/>
            </w:tcMar>
            <w:vAlign w:val="top"/>
          </w:tcPr>
          <w:p>
            <w:pPr>
              <w:keepNext w:val="false"/>
              <w:keepLines/>
              <w:spacing w:after="40" w:line="252"/>
              <w:jc w:val="left"/>
            </w:pPr>
            <w:r>
              <w:rPr>
                <w:b/>
                <w:bCs/>
                <w:color w:val="FFFFFF"/>
                <w:sz w:val="19"/>
                <w:szCs w:val="19"/>
              </w:rPr>
              <w:t xml:space="preserve">Remarque</w:t>
            </w:r>
          </w:p>
        </w:tc>
        <w:tc>
          <w:tcPr>
            <w:tcW w:type="dxa" w:w="1300"/>
            <w:tcBorders>
              <w:top w:val="single" w:color="BFC9D9" w:sz="4"/>
              <w:left w:val="single" w:color="BFC9D9" w:sz="4"/>
              <w:bottom w:val="single" w:color="BFC9D9" w:sz="4"/>
              <w:right w:val="single" w:color="BFC9D9" w:sz="4"/>
            </w:tcBorders>
            <w:shd w:fill="1F3864" w:color="auto" w:val="clear"/>
            <w:tcMar>
              <w:top w:type="dxa" w:w="70"/>
              <w:left w:type="dxa" w:w="110"/>
              <w:bottom w:type="dxa" w:w="70"/>
              <w:right w:type="dxa" w:w="110"/>
            </w:tcMar>
            <w:vAlign w:val="top"/>
          </w:tcPr>
          <w:p>
            <w:pPr>
              <w:keepNext w:val="false"/>
              <w:keepLines/>
              <w:spacing w:after="40" w:line="252"/>
              <w:jc w:val="left"/>
            </w:pPr>
            <w:r>
              <w:rPr>
                <w:b/>
                <w:bCs/>
                <w:color w:val="FFFFFF"/>
                <w:sz w:val="19"/>
                <w:szCs w:val="19"/>
              </w:rPr>
              <w:t xml:space="preserve">Source</w:t>
            </w:r>
          </w:p>
        </w:tc>
        <w:tc>
          <w:tcPr>
            <w:tcW w:type="dxa" w:w="1000"/>
            <w:tcBorders>
              <w:top w:val="single" w:color="BFC9D9" w:sz="4"/>
              <w:left w:val="single" w:color="BFC9D9" w:sz="4"/>
              <w:bottom w:val="single" w:color="BFC9D9" w:sz="4"/>
              <w:right w:val="single" w:color="BFC9D9" w:sz="4"/>
            </w:tcBorders>
            <w:shd w:fill="1F3864" w:color="auto" w:val="clear"/>
            <w:tcMar>
              <w:top w:type="dxa" w:w="70"/>
              <w:left w:type="dxa" w:w="110"/>
              <w:bottom w:type="dxa" w:w="70"/>
              <w:right w:type="dxa" w:w="110"/>
            </w:tcMar>
            <w:vAlign w:val="top"/>
          </w:tcPr>
          <w:p>
            <w:pPr>
              <w:keepNext w:val="false"/>
              <w:keepLines/>
              <w:spacing w:after="40" w:line="252"/>
              <w:jc w:val="left"/>
            </w:pPr>
            <w:r>
              <w:rPr>
                <w:b/>
                <w:bCs/>
                <w:color w:val="FFFFFF"/>
                <w:sz w:val="19"/>
                <w:szCs w:val="19"/>
              </w:rPr>
              <w:t xml:space="preserve">État</w:t>
            </w:r>
          </w:p>
        </w:tc>
        <w:tc>
          <w:tcPr>
            <w:tcW w:type="dxa" w:w="4638"/>
            <w:tcBorders>
              <w:top w:val="single" w:color="BFC9D9" w:sz="4"/>
              <w:left w:val="single" w:color="BFC9D9" w:sz="4"/>
              <w:bottom w:val="single" w:color="BFC9D9" w:sz="4"/>
              <w:right w:val="single" w:color="BFC9D9" w:sz="4"/>
            </w:tcBorders>
            <w:shd w:fill="1F3864" w:color="auto" w:val="clear"/>
            <w:tcMar>
              <w:top w:type="dxa" w:w="70"/>
              <w:left w:type="dxa" w:w="110"/>
              <w:bottom w:type="dxa" w:w="70"/>
              <w:right w:type="dxa" w:w="110"/>
            </w:tcMar>
            <w:vAlign w:val="top"/>
          </w:tcPr>
          <w:p>
            <w:pPr>
              <w:keepNext w:val="false"/>
              <w:keepLines/>
              <w:spacing w:after="40" w:line="252"/>
              <w:jc w:val="left"/>
            </w:pPr>
            <w:r>
              <w:rPr>
                <w:b/>
                <w:bCs/>
                <w:color w:val="FFFFFF"/>
                <w:sz w:val="19"/>
                <w:szCs w:val="19"/>
              </w:rPr>
              <w:t xml:space="preserve">Ce qu'il reste à faire</w:t>
            </w:r>
          </w:p>
        </w:tc>
      </w:tr>
      <w:tr>
        <w:trPr>
          <w:cantSplit/>
        </w:trPr>
        <w:tc>
          <w:tcPr>
            <w:tcW w:type="dxa" w:w="27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Doctorant premier auteur, encadrante deuxième ; adresses, facultés et laboratoires</w:t>
            </w:r>
          </w:p>
        </w:tc>
        <w:tc>
          <w:tcPr>
            <w:tcW w:type="dxa" w:w="13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Dir. 16/08</w:t>
            </w:r>
          </w:p>
        </w:tc>
        <w:tc>
          <w:tcPr>
            <w:tcW w:type="dxa" w:w="10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b/>
                <w:bCs/>
                <w:color w:val="2E7D32"/>
                <w:sz w:val="19"/>
                <w:szCs w:val="19"/>
              </w:rPr>
              <w:t xml:space="preserve">Fait</w:t>
            </w:r>
          </w:p>
        </w:tc>
        <w:tc>
          <w:tcPr>
            <w:tcW w:type="dxa" w:w="4638"/>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Vérifier l'adresse : 16mk293@esisalama.org ne correspond pas à l'affiliation UDBL. Utiliser une adresse institutionnelle UDBL si possible.</w:t>
            </w:r>
          </w:p>
        </w:tc>
      </w:tr>
      <w:tr>
        <w:trPr>
          <w:cantSplit/>
        </w:trPr>
        <w:tc>
          <w:tcPr>
            <w:tcW w:type="dxa" w:w="2700"/>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Corriger l'adresse de la co-auteure (« Olfa Ferchichi »)</w:t>
            </w:r>
          </w:p>
        </w:tc>
        <w:tc>
          <w:tcPr>
            <w:tcW w:type="dxa" w:w="1300"/>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Dir. 30/09</w:t>
            </w:r>
          </w:p>
        </w:tc>
        <w:tc>
          <w:tcPr>
            <w:tcW w:type="dxa" w:w="1000"/>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b/>
                <w:bCs/>
                <w:color w:val="2E7D32"/>
                <w:sz w:val="19"/>
                <w:szCs w:val="19"/>
              </w:rPr>
              <w:t xml:space="preserve">Fait</w:t>
            </w:r>
          </w:p>
        </w:tc>
        <w:tc>
          <w:tcPr>
            <w:tcW w:type="dxa" w:w="4638"/>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olfaferchichi@yahoo.fr est en place.</w:t>
            </w:r>
          </w:p>
        </w:tc>
      </w:tr>
      <w:tr>
        <w:trPr>
          <w:cantSplit/>
        </w:trPr>
        <w:tc>
          <w:tcPr>
            <w:tcW w:type="dxa" w:w="27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Pas de saut de ligne dans l'abstract</w:t>
            </w:r>
          </w:p>
        </w:tc>
        <w:tc>
          <w:tcPr>
            <w:tcW w:type="dxa" w:w="13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Dir. 16/08</w:t>
            </w:r>
          </w:p>
        </w:tc>
        <w:tc>
          <w:tcPr>
            <w:tcW w:type="dxa" w:w="10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b/>
                <w:bCs/>
                <w:color w:val="2E7D32"/>
                <w:sz w:val="19"/>
                <w:szCs w:val="19"/>
              </w:rPr>
              <w:t xml:space="preserve">Fait</w:t>
            </w:r>
          </w:p>
        </w:tc>
        <w:tc>
          <w:tcPr>
            <w:tcW w:type="dxa" w:w="4638"/>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Le rendu LaTeX forme un seul paragraphe.</w:t>
            </w:r>
          </w:p>
        </w:tc>
      </w:tr>
      <w:tr>
        <w:trPr>
          <w:cantSplit/>
        </w:trPr>
        <w:tc>
          <w:tcPr>
            <w:tcW w:type="dxa" w:w="2700"/>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Aucune abréviation dans l'abstract ni dans les mots-clés</w:t>
            </w:r>
          </w:p>
        </w:tc>
        <w:tc>
          <w:tcPr>
            <w:tcW w:type="dxa" w:w="1300"/>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Dir. 16/08, 30/09</w:t>
            </w:r>
          </w:p>
        </w:tc>
        <w:tc>
          <w:tcPr>
            <w:tcW w:type="dxa" w:w="1000"/>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b/>
                <w:bCs/>
                <w:color w:val="C00000"/>
                <w:sz w:val="19"/>
                <w:szCs w:val="19"/>
              </w:rPr>
              <w:t xml:space="preserve">À faire</w:t>
            </w:r>
          </w:p>
        </w:tc>
        <w:tc>
          <w:tcPr>
            <w:tcW w:type="dxa" w:w="4638"/>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L'abstract contient encore DQN, PPO, SARSA, FIFO ; les mots-clés contiennent « PPO ; DQN ». Voir m1.</w:t>
            </w:r>
          </w:p>
        </w:tc>
      </w:tr>
      <w:tr>
        <w:trPr>
          <w:cantSplit/>
        </w:trPr>
        <w:tc>
          <w:tcPr>
            <w:tcW w:type="dxa" w:w="27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Supprimer les traits d'union inutiles dans l'abstract</w:t>
            </w:r>
          </w:p>
        </w:tc>
        <w:tc>
          <w:tcPr>
            <w:tcW w:type="dxa" w:w="13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Dir. 30/09</w:t>
            </w:r>
          </w:p>
        </w:tc>
        <w:tc>
          <w:tcPr>
            <w:tcW w:type="dxa" w:w="10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b/>
                <w:bCs/>
                <w:color w:val="C00000"/>
                <w:sz w:val="19"/>
                <w:szCs w:val="19"/>
              </w:rPr>
              <w:t xml:space="preserve">À faire</w:t>
            </w:r>
          </w:p>
        </w:tc>
        <w:tc>
          <w:tcPr>
            <w:tcW w:type="dxa" w:w="4638"/>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 camions--pelles », « multi-régimes » à reformuler. Garder les tirets des noms propres (Kruskal–Wallis, Holm–Bonferroni). Voir m2.</w:t>
            </w:r>
          </w:p>
        </w:tc>
      </w:tr>
      <w:tr>
        <w:trPr>
          <w:cantSplit/>
        </w:trPr>
        <w:tc>
          <w:tcPr>
            <w:tcW w:type="dxa" w:w="2700"/>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Définir chaque abréviation en toutes lettres à sa première occurrence dans l'introduction</w:t>
            </w:r>
          </w:p>
        </w:tc>
        <w:tc>
          <w:tcPr>
            <w:tcW w:type="dxa" w:w="1300"/>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Dir. 16/08, 30/09</w:t>
            </w:r>
          </w:p>
        </w:tc>
        <w:tc>
          <w:tcPr>
            <w:tcW w:type="dxa" w:w="1000"/>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b/>
                <w:bCs/>
                <w:color w:val="E26B0A"/>
                <w:sz w:val="19"/>
                <w:szCs w:val="19"/>
              </w:rPr>
              <w:t xml:space="preserve">Partiel</w:t>
            </w:r>
          </w:p>
        </w:tc>
        <w:tc>
          <w:tcPr>
            <w:tcW w:type="dxa" w:w="4638"/>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RL, DRL et FMS le sont. Vérifier PPO, DQN, SARSA, FIFO, MDP, GAE à leur première apparition.</w:t>
            </w:r>
          </w:p>
        </w:tc>
      </w:tr>
      <w:tr>
        <w:trPr>
          <w:cantSplit/>
        </w:trPr>
        <w:tc>
          <w:tcPr>
            <w:tcW w:type="dxa" w:w="27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Texte justifié, sans italique</w:t>
            </w:r>
          </w:p>
        </w:tc>
        <w:tc>
          <w:tcPr>
            <w:tcW w:type="dxa" w:w="13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Dir. 30/09</w:t>
            </w:r>
          </w:p>
        </w:tc>
        <w:tc>
          <w:tcPr>
            <w:tcW w:type="dxa" w:w="10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b/>
                <w:bCs/>
                <w:color w:val="E26B0A"/>
                <w:sz w:val="19"/>
                <w:szCs w:val="19"/>
              </w:rPr>
              <w:t xml:space="preserve">Partiel</w:t>
            </w:r>
          </w:p>
        </w:tc>
        <w:tc>
          <w:tcPr>
            <w:tcW w:type="dxa" w:w="4638"/>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Le texte est justifié, mais on compte encore 18 \textit et de nombreux \emph. Voir m4.</w:t>
            </w:r>
          </w:p>
        </w:tc>
      </w:tr>
      <w:tr>
        <w:trPr>
          <w:cantSplit/>
        </w:trPr>
        <w:tc>
          <w:tcPr>
            <w:tcW w:type="dxa" w:w="2700"/>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Remplacer les parenthèses d'exemples par « such as »</w:t>
            </w:r>
          </w:p>
        </w:tc>
        <w:tc>
          <w:tcPr>
            <w:tcW w:type="dxa" w:w="1300"/>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Dir. 30/09</w:t>
            </w:r>
          </w:p>
        </w:tc>
        <w:tc>
          <w:tcPr>
            <w:tcW w:type="dxa" w:w="1000"/>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b/>
                <w:bCs/>
                <w:color w:val="C00000"/>
                <w:sz w:val="19"/>
                <w:szCs w:val="19"/>
              </w:rPr>
              <w:t xml:space="preserve">À faire</w:t>
            </w:r>
          </w:p>
        </w:tc>
        <w:tc>
          <w:tcPr>
            <w:tcW w:type="dxa" w:w="4638"/>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Exemples : « (Q-Learning et SARSA) », « (FIFO, Affectation fixe) ». Voir m5.</w:t>
            </w:r>
          </w:p>
        </w:tc>
      </w:tr>
      <w:tr>
        <w:trPr>
          <w:cantSplit/>
        </w:trPr>
        <w:tc>
          <w:tcPr>
            <w:tcW w:type="dxa" w:w="27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Pas d'abréviation dans les titres de sections</w:t>
            </w:r>
          </w:p>
        </w:tc>
        <w:tc>
          <w:tcPr>
            <w:tcW w:type="dxa" w:w="13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Dir. 16/08</w:t>
            </w:r>
          </w:p>
        </w:tc>
        <w:tc>
          <w:tcPr>
            <w:tcW w:type="dxa" w:w="10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b/>
                <w:bCs/>
                <w:color w:val="2E7D32"/>
                <w:sz w:val="19"/>
                <w:szCs w:val="19"/>
              </w:rPr>
              <w:t xml:space="preserve">Fait</w:t>
            </w:r>
          </w:p>
        </w:tc>
        <w:tc>
          <w:tcPr>
            <w:tcW w:type="dxa" w:w="4638"/>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À revérifier dans la version anglaise.</w:t>
            </w:r>
          </w:p>
        </w:tc>
      </w:tr>
      <w:tr>
        <w:trPr>
          <w:cantSplit/>
        </w:trPr>
        <w:tc>
          <w:tcPr>
            <w:tcW w:type="dxa" w:w="2700"/>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Traduire toutes les figures en anglais</w:t>
            </w:r>
          </w:p>
        </w:tc>
        <w:tc>
          <w:tcPr>
            <w:tcW w:type="dxa" w:w="1300"/>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Dir. 16/08</w:t>
            </w:r>
          </w:p>
        </w:tc>
        <w:tc>
          <w:tcPr>
            <w:tcW w:type="dxa" w:w="1000"/>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b/>
                <w:bCs/>
                <w:color w:val="E26B0A"/>
                <w:sz w:val="19"/>
                <w:szCs w:val="19"/>
              </w:rPr>
              <w:t xml:space="preserve">Partiel</w:t>
            </w:r>
          </w:p>
        </w:tc>
        <w:tc>
          <w:tcPr>
            <w:tcW w:type="dxa" w:w="4638"/>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L'architecture logicielle est en anglais (EN_v2). Vérifier les autres figures (MDP, architecture fonctionnelle, scénarios).</w:t>
            </w:r>
          </w:p>
        </w:tc>
      </w:tr>
      <w:tr>
        <w:trPr>
          <w:cantSplit/>
        </w:trPr>
        <w:tc>
          <w:tcPr>
            <w:tcW w:type="dxa" w:w="27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Renommer les images pour supprimer les espaces</w:t>
            </w:r>
          </w:p>
        </w:tc>
        <w:tc>
          <w:tcPr>
            <w:tcW w:type="dxa" w:w="13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Dir. 22/09</w:t>
            </w:r>
          </w:p>
        </w:tc>
        <w:tc>
          <w:tcPr>
            <w:tcW w:type="dxa" w:w="10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b/>
                <w:bCs/>
                <w:color w:val="C00000"/>
                <w:sz w:val="19"/>
                <w:szCs w:val="19"/>
              </w:rPr>
              <w:t xml:space="preserve">À faire</w:t>
            </w:r>
          </w:p>
        </w:tc>
        <w:tc>
          <w:tcPr>
            <w:tcW w:type="dxa" w:w="4638"/>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 Formulation du problème en tant que MDP.drawio.png » et « Architecture fonctionnelle.drawio.png » contiennent encore des espaces.</w:t>
            </w:r>
          </w:p>
        </w:tc>
      </w:tr>
      <w:tr>
        <w:trPr>
          <w:cantSplit/>
        </w:trPr>
        <w:tc>
          <w:tcPr>
            <w:tcW w:type="dxa" w:w="2700"/>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Plan de l'article à la fin de l'introduction</w:t>
            </w:r>
          </w:p>
        </w:tc>
        <w:tc>
          <w:tcPr>
            <w:tcW w:type="dxa" w:w="1300"/>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Dir. 22/09</w:t>
            </w:r>
          </w:p>
        </w:tc>
        <w:tc>
          <w:tcPr>
            <w:tcW w:type="dxa" w:w="1000"/>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b/>
                <w:bCs/>
                <w:color w:val="2E7D32"/>
                <w:sz w:val="19"/>
                <w:szCs w:val="19"/>
              </w:rPr>
              <w:t xml:space="preserve">Fait</w:t>
            </w:r>
          </w:p>
        </w:tc>
        <w:tc>
          <w:tcPr>
            <w:tcW w:type="dxa" w:w="4638"/>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Paragraphe listant toutes les sections avec leur titre.</w:t>
            </w:r>
          </w:p>
        </w:tc>
      </w:tr>
      <w:tr>
        <w:trPr>
          <w:cantSplit/>
        </w:trPr>
        <w:tc>
          <w:tcPr>
            <w:tcW w:type="dxa" w:w="27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Contributions distinctes de l'introduction, décrites de manière abstraite, avec une figure récapitulative des étapes (sans logos)</w:t>
            </w:r>
          </w:p>
        </w:tc>
        <w:tc>
          <w:tcPr>
            <w:tcW w:type="dxa" w:w="13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Dir. 16/08, 22/09</w:t>
            </w:r>
          </w:p>
        </w:tc>
        <w:tc>
          <w:tcPr>
            <w:tcW w:type="dxa" w:w="10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b/>
                <w:bCs/>
                <w:color w:val="E26B0A"/>
                <w:sz w:val="19"/>
                <w:szCs w:val="19"/>
              </w:rPr>
              <w:t xml:space="preserve">Partiel</w:t>
            </w:r>
          </w:p>
        </w:tc>
        <w:tc>
          <w:tcPr>
            <w:tcW w:type="dxa" w:w="4638"/>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Les contributions restent une sous-section de l'introduction et il n'y a pas de figure du cadre méthodologique en début d'article. Voir M24.</w:t>
            </w:r>
          </w:p>
        </w:tc>
      </w:tr>
      <w:tr>
        <w:trPr>
          <w:cantSplit/>
        </w:trPr>
        <w:tc>
          <w:tcPr>
            <w:tcW w:type="dxa" w:w="2700"/>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Problématique et lacune de recherche après la revue de littérature et le tableau de positionnement ; regroupement avec un tableau de synthèse</w:t>
            </w:r>
          </w:p>
        </w:tc>
        <w:tc>
          <w:tcPr>
            <w:tcW w:type="dxa" w:w="1300"/>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Dir. 16/08, 30/09</w:t>
            </w:r>
          </w:p>
        </w:tc>
        <w:tc>
          <w:tcPr>
            <w:tcW w:type="dxa" w:w="1000"/>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b/>
                <w:bCs/>
                <w:color w:val="E26B0A"/>
                <w:sz w:val="19"/>
                <w:szCs w:val="19"/>
              </w:rPr>
              <w:t xml:space="preserve">Partiel</w:t>
            </w:r>
          </w:p>
        </w:tc>
        <w:tc>
          <w:tcPr>
            <w:tcW w:type="dxa" w:w="4638"/>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Le tableau de positionnement existe (§3), mais problème, lacune et questions de recherche sont encore en §1.2 à §1.4. Voir M24.</w:t>
            </w:r>
          </w:p>
        </w:tc>
      </w:tr>
      <w:tr>
        <w:trPr>
          <w:cantSplit/>
        </w:trPr>
        <w:tc>
          <w:tcPr>
            <w:tcW w:type="dxa" w:w="27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Processus de décision markovien intégré dans la solution proposée, avec 2 à 3 références et un tableau environnement, états, actions, transitions</w:t>
            </w:r>
          </w:p>
        </w:tc>
        <w:tc>
          <w:tcPr>
            <w:tcW w:type="dxa" w:w="13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Dir. 30/09</w:t>
            </w:r>
          </w:p>
        </w:tc>
        <w:tc>
          <w:tcPr>
            <w:tcW w:type="dxa" w:w="10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b/>
                <w:bCs/>
                <w:color w:val="E26B0A"/>
                <w:sz w:val="19"/>
                <w:szCs w:val="19"/>
              </w:rPr>
              <w:t xml:space="preserve">Partiel</w:t>
            </w:r>
          </w:p>
        </w:tc>
        <w:tc>
          <w:tcPr>
            <w:tcW w:type="dxa" w:w="4638"/>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Le tableau existe (tab:mdp), mais le processus est dans une section « Formulation du problème » séparée et la sous-section ne cite aucune référence. Voir M24.</w:t>
            </w:r>
          </w:p>
        </w:tc>
      </w:tr>
      <w:tr>
        <w:trPr>
          <w:cantSplit/>
        </w:trPr>
        <w:tc>
          <w:tcPr>
            <w:tcW w:type="dxa" w:w="2700"/>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Pseudo-codes des algorithmes</w:t>
            </w:r>
          </w:p>
        </w:tc>
        <w:tc>
          <w:tcPr>
            <w:tcW w:type="dxa" w:w="1300"/>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Dir. 16/08</w:t>
            </w:r>
          </w:p>
        </w:tc>
        <w:tc>
          <w:tcPr>
            <w:tcW w:type="dxa" w:w="1000"/>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b/>
                <w:bCs/>
                <w:color w:val="E26B0A"/>
                <w:sz w:val="19"/>
                <w:szCs w:val="19"/>
              </w:rPr>
              <w:t xml:space="preserve">Partiel</w:t>
            </w:r>
          </w:p>
        </w:tc>
        <w:tc>
          <w:tcPr>
            <w:tcW w:type="dxa" w:w="4638"/>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PPO, DQN et Q-Learning présents ; SARSA absent (ajouter ou indiquer la ligne qui diffère).</w:t>
            </w:r>
          </w:p>
        </w:tc>
      </w:tr>
      <w:tr>
        <w:trPr>
          <w:cantSplit/>
        </w:trPr>
        <w:tc>
          <w:tcPr>
            <w:tcW w:type="dxa" w:w="27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Résultats d'ablation</w:t>
            </w:r>
          </w:p>
        </w:tc>
        <w:tc>
          <w:tcPr>
            <w:tcW w:type="dxa" w:w="13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Dir. 16/08</w:t>
            </w:r>
          </w:p>
        </w:tc>
        <w:tc>
          <w:tcPr>
            <w:tcW w:type="dxa" w:w="10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b/>
                <w:bCs/>
                <w:color w:val="2E7D32"/>
                <w:sz w:val="19"/>
                <w:szCs w:val="19"/>
              </w:rPr>
              <w:t xml:space="preserve">Fait</w:t>
            </w:r>
          </w:p>
        </w:tc>
        <w:tc>
          <w:tcPr>
            <w:tcW w:type="dxa" w:w="4638"/>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Voir toutefois M13 sur l'interprétation.</w:t>
            </w:r>
          </w:p>
        </w:tc>
      </w:tr>
      <w:tr>
        <w:trPr>
          <w:cantSplit/>
        </w:trPr>
        <w:tc>
          <w:tcPr>
            <w:tcW w:type="dxa" w:w="2700"/>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Discussion sur l'application à de grands jeux de données</w:t>
            </w:r>
          </w:p>
        </w:tc>
        <w:tc>
          <w:tcPr>
            <w:tcW w:type="dxa" w:w="1300"/>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Dir. 16/08</w:t>
            </w:r>
          </w:p>
        </w:tc>
        <w:tc>
          <w:tcPr>
            <w:tcW w:type="dxa" w:w="1000"/>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b/>
                <w:bCs/>
                <w:color w:val="2E7D32"/>
                <w:sz w:val="19"/>
                <w:szCs w:val="19"/>
              </w:rPr>
              <w:t xml:space="preserve">Fait</w:t>
            </w:r>
          </w:p>
        </w:tc>
        <w:tc>
          <w:tcPr>
            <w:tcW w:type="dxa" w:w="4638"/>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À rendre plus prudente (M27).</w:t>
            </w:r>
          </w:p>
        </w:tc>
      </w:tr>
      <w:tr>
        <w:trPr>
          <w:cantSplit/>
        </w:trPr>
        <w:tc>
          <w:tcPr>
            <w:tcW w:type="dxa" w:w="27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Longueur maximale de 40 pages</w:t>
            </w:r>
          </w:p>
        </w:tc>
        <w:tc>
          <w:tcPr>
            <w:tcW w:type="dxa" w:w="13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Dir. 16/08</w:t>
            </w:r>
          </w:p>
        </w:tc>
        <w:tc>
          <w:tcPr>
            <w:tcW w:type="dxa" w:w="10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b/>
                <w:bCs/>
                <w:color w:val="BF8F00"/>
                <w:sz w:val="19"/>
                <w:szCs w:val="19"/>
              </w:rPr>
              <w:t xml:space="preserve">À vérifier</w:t>
            </w:r>
          </w:p>
        </w:tc>
        <w:tc>
          <w:tcPr>
            <w:tcW w:type="dxa" w:w="4638"/>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À contrôler après les ajouts ; les fusions de M23 et M24 libèrent de la place.</w:t>
            </w:r>
          </w:p>
        </w:tc>
      </w:tr>
    </w:tbl>
    <w:p>
      <w:pPr>
        <w:spacing w:after="120"/>
      </w:pPr>
    </w:p>
    <w:p>
      <w:pPr>
        <w:pStyle w:val="Heading2"/>
      </w:pPr>
      <w:r>
        <w:t xml:space="preserve">3.2 Document « Remarques de correction scientifique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3000"/>
        <w:gridCol w:w="1000"/>
        <w:gridCol w:w="5138"/>
      </w:tblGrid>
      <w:tr>
        <w:trPr>
          <w:tblHeader/>
        </w:trPr>
        <w:tc>
          <w:tcPr>
            <w:tcW w:type="dxa" w:w="500"/>
            <w:tcBorders>
              <w:top w:val="single" w:color="BFC9D9" w:sz="4"/>
              <w:left w:val="single" w:color="BFC9D9" w:sz="4"/>
              <w:bottom w:val="single" w:color="BFC9D9" w:sz="4"/>
              <w:right w:val="single" w:color="BFC9D9" w:sz="4"/>
            </w:tcBorders>
            <w:shd w:fill="1F3864" w:color="auto" w:val="clear"/>
            <w:tcMar>
              <w:top w:type="dxa" w:w="70"/>
              <w:left w:type="dxa" w:w="110"/>
              <w:bottom w:type="dxa" w:w="70"/>
              <w:right w:type="dxa" w:w="110"/>
            </w:tcMar>
            <w:vAlign w:val="top"/>
          </w:tcPr>
          <w:p>
            <w:pPr>
              <w:keepNext w:val="false"/>
              <w:keepLines/>
              <w:spacing w:after="40" w:line="252"/>
              <w:jc w:val="left"/>
            </w:pPr>
            <w:r>
              <w:rPr>
                <w:b/>
                <w:bCs/>
                <w:color w:val="FFFFFF"/>
                <w:sz w:val="19"/>
                <w:szCs w:val="19"/>
              </w:rPr>
              <w:t xml:space="preserve">#</w:t>
            </w:r>
          </w:p>
        </w:tc>
        <w:tc>
          <w:tcPr>
            <w:tcW w:type="dxa" w:w="3000"/>
            <w:tcBorders>
              <w:top w:val="single" w:color="BFC9D9" w:sz="4"/>
              <w:left w:val="single" w:color="BFC9D9" w:sz="4"/>
              <w:bottom w:val="single" w:color="BFC9D9" w:sz="4"/>
              <w:right w:val="single" w:color="BFC9D9" w:sz="4"/>
            </w:tcBorders>
            <w:shd w:fill="1F3864" w:color="auto" w:val="clear"/>
            <w:tcMar>
              <w:top w:type="dxa" w:w="70"/>
              <w:left w:type="dxa" w:w="110"/>
              <w:bottom w:type="dxa" w:w="70"/>
              <w:right w:type="dxa" w:w="110"/>
            </w:tcMar>
            <w:vAlign w:val="top"/>
          </w:tcPr>
          <w:p>
            <w:pPr>
              <w:keepNext w:val="false"/>
              <w:keepLines/>
              <w:spacing w:after="40" w:line="252"/>
              <w:jc w:val="left"/>
            </w:pPr>
            <w:r>
              <w:rPr>
                <w:b/>
                <w:bCs/>
                <w:color w:val="FFFFFF"/>
                <w:sz w:val="19"/>
                <w:szCs w:val="19"/>
              </w:rPr>
              <w:t xml:space="preserve">Remarque</w:t>
            </w:r>
          </w:p>
        </w:tc>
        <w:tc>
          <w:tcPr>
            <w:tcW w:type="dxa" w:w="1000"/>
            <w:tcBorders>
              <w:top w:val="single" w:color="BFC9D9" w:sz="4"/>
              <w:left w:val="single" w:color="BFC9D9" w:sz="4"/>
              <w:bottom w:val="single" w:color="BFC9D9" w:sz="4"/>
              <w:right w:val="single" w:color="BFC9D9" w:sz="4"/>
            </w:tcBorders>
            <w:shd w:fill="1F3864" w:color="auto" w:val="clear"/>
            <w:tcMar>
              <w:top w:type="dxa" w:w="70"/>
              <w:left w:type="dxa" w:w="110"/>
              <w:bottom w:type="dxa" w:w="70"/>
              <w:right w:type="dxa" w:w="110"/>
            </w:tcMar>
            <w:vAlign w:val="top"/>
          </w:tcPr>
          <w:p>
            <w:pPr>
              <w:keepNext w:val="false"/>
              <w:keepLines/>
              <w:spacing w:after="40" w:line="252"/>
              <w:jc w:val="left"/>
            </w:pPr>
            <w:r>
              <w:rPr>
                <w:b/>
                <w:bCs/>
                <w:color w:val="FFFFFF"/>
                <w:sz w:val="19"/>
                <w:szCs w:val="19"/>
              </w:rPr>
              <w:t xml:space="preserve">État</w:t>
            </w:r>
          </w:p>
        </w:tc>
        <w:tc>
          <w:tcPr>
            <w:tcW w:type="dxa" w:w="5138"/>
            <w:tcBorders>
              <w:top w:val="single" w:color="BFC9D9" w:sz="4"/>
              <w:left w:val="single" w:color="BFC9D9" w:sz="4"/>
              <w:bottom w:val="single" w:color="BFC9D9" w:sz="4"/>
              <w:right w:val="single" w:color="BFC9D9" w:sz="4"/>
            </w:tcBorders>
            <w:shd w:fill="1F3864" w:color="auto" w:val="clear"/>
            <w:tcMar>
              <w:top w:type="dxa" w:w="70"/>
              <w:left w:type="dxa" w:w="110"/>
              <w:bottom w:type="dxa" w:w="70"/>
              <w:right w:type="dxa" w:w="110"/>
            </w:tcMar>
            <w:vAlign w:val="top"/>
          </w:tcPr>
          <w:p>
            <w:pPr>
              <w:keepNext w:val="false"/>
              <w:keepLines/>
              <w:spacing w:after="40" w:line="252"/>
              <w:jc w:val="left"/>
            </w:pPr>
            <w:r>
              <w:rPr>
                <w:b/>
                <w:bCs/>
                <w:color w:val="FFFFFF"/>
                <w:sz w:val="19"/>
                <w:szCs w:val="19"/>
              </w:rPr>
              <w:t xml:space="preserve">Ce qu'il reste à faire</w:t>
            </w:r>
          </w:p>
        </w:tc>
      </w:tr>
      <w:tr>
        <w:trPr>
          <w:cantSplit/>
        </w:trPr>
        <w:tc>
          <w:tcPr>
            <w:tcW w:type="dxa" w:w="5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1</w:t>
            </w:r>
          </w:p>
        </w:tc>
        <w:tc>
          <w:tcPr>
            <w:tcW w:type="dxa" w:w="30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Définition contradictoire de l'Affectation fixe</w:t>
            </w:r>
          </w:p>
        </w:tc>
        <w:tc>
          <w:tcPr>
            <w:tcW w:type="dxa" w:w="10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b/>
                <w:bCs/>
                <w:color w:val="2E7D32"/>
                <w:sz w:val="19"/>
                <w:szCs w:val="19"/>
              </w:rPr>
              <w:t xml:space="preserve">Fait</w:t>
            </w:r>
          </w:p>
        </w:tc>
        <w:tc>
          <w:tcPr>
            <w:tcW w:type="dxa" w:w="5138"/>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La réaffectation de secours est décrite de façon cohérente (§2.1, §5.3, tableau des références). Remplacer « statique » par « à base de règles » (m9).</w:t>
            </w:r>
          </w:p>
        </w:tc>
      </w:tr>
      <w:tr>
        <w:trPr>
          <w:cantSplit/>
        </w:trPr>
        <w:tc>
          <w:tcPr>
            <w:tcW w:type="dxa" w:w="500"/>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2</w:t>
            </w:r>
          </w:p>
        </w:tc>
        <w:tc>
          <w:tcPr>
            <w:tcW w:type="dxa" w:w="3000"/>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Kruskal–Wallis associé à Games–Howell</w:t>
            </w:r>
          </w:p>
        </w:tc>
        <w:tc>
          <w:tcPr>
            <w:tcW w:type="dxa" w:w="1000"/>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b/>
                <w:bCs/>
                <w:color w:val="E26B0A"/>
                <w:sz w:val="19"/>
                <w:szCs w:val="19"/>
              </w:rPr>
              <w:t xml:space="preserve">Partiel</w:t>
            </w:r>
          </w:p>
        </w:tc>
        <w:tc>
          <w:tcPr>
            <w:tcW w:type="dxa" w:w="5138"/>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Le tableau utilise désormais Dunn. Mais le protocole affirme à tort que Games–Howell exige l'homoscédasticité (M6), et toute l'analyse doit devenir appariée (M4).</w:t>
            </w:r>
          </w:p>
        </w:tc>
      </w:tr>
      <w:tr>
        <w:trPr>
          <w:cantSplit/>
        </w:trPr>
        <w:tc>
          <w:tcPr>
            <w:tcW w:type="dxa" w:w="5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3</w:t>
            </w:r>
          </w:p>
        </w:tc>
        <w:tc>
          <w:tcPr>
            <w:tcW w:type="dxa" w:w="30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Renvoi « Section ?? »</w:t>
            </w:r>
          </w:p>
        </w:tc>
        <w:tc>
          <w:tcPr>
            <w:tcW w:type="dxa" w:w="10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b/>
                <w:bCs/>
                <w:color w:val="2E7D32"/>
                <w:sz w:val="19"/>
                <w:szCs w:val="19"/>
              </w:rPr>
              <w:t xml:space="preserve">Fait</w:t>
            </w:r>
          </w:p>
        </w:tc>
        <w:tc>
          <w:tcPr>
            <w:tcW w:type="dxa" w:w="5138"/>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Aucun renvoi non résolu détecté dans le source. Vérifier après compilation.</w:t>
            </w:r>
          </w:p>
        </w:tc>
      </w:tr>
      <w:tr>
        <w:trPr>
          <w:cantSplit/>
        </w:trPr>
        <w:tc>
          <w:tcPr>
            <w:tcW w:type="dxa" w:w="500"/>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4</w:t>
            </w:r>
          </w:p>
        </w:tc>
        <w:tc>
          <w:tcPr>
            <w:tcW w:type="dxa" w:w="3000"/>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Budget d'apprentissage incohérent</w:t>
            </w:r>
          </w:p>
        </w:tc>
        <w:tc>
          <w:tcPr>
            <w:tcW w:type="dxa" w:w="1000"/>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b/>
                <w:bCs/>
                <w:color w:val="2E7D32"/>
                <w:sz w:val="19"/>
                <w:szCs w:val="19"/>
              </w:rPr>
              <w:t xml:space="preserve">Fait</w:t>
            </w:r>
          </w:p>
        </w:tc>
        <w:tc>
          <w:tcPr>
            <w:tcW w:type="dxa" w:w="5138"/>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Harmonisé (2 millions de pas contre 30 000 épisodes).</w:t>
            </w:r>
          </w:p>
        </w:tc>
      </w:tr>
      <w:tr>
        <w:trPr>
          <w:cantSplit/>
        </w:trPr>
        <w:tc>
          <w:tcPr>
            <w:tcW w:type="dxa" w:w="5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5</w:t>
            </w:r>
          </w:p>
        </w:tc>
        <w:tc>
          <w:tcPr>
            <w:tcW w:type="dxa" w:w="30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Interprétation trop causale du tampon de rejeu</w:t>
            </w:r>
          </w:p>
        </w:tc>
        <w:tc>
          <w:tcPr>
            <w:tcW w:type="dxa" w:w="10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b/>
                <w:bCs/>
                <w:color w:val="E26B0A"/>
                <w:sz w:val="19"/>
                <w:szCs w:val="19"/>
              </w:rPr>
              <w:t xml:space="preserve">Partiel</w:t>
            </w:r>
          </w:p>
        </w:tc>
        <w:tc>
          <w:tcPr>
            <w:tcW w:type="dxa" w:w="5138"/>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Formulation prudente dans la conclusion, mais l'hypothèse est répétée environ cinq fois (M14).</w:t>
            </w:r>
          </w:p>
        </w:tc>
      </w:tr>
      <w:tr>
        <w:trPr>
          <w:cantSplit/>
        </w:trPr>
        <w:tc>
          <w:tcPr>
            <w:tcW w:type="dxa" w:w="500"/>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6</w:t>
            </w:r>
          </w:p>
        </w:tc>
        <w:tc>
          <w:tcPr>
            <w:tcW w:type="dxa" w:w="3000"/>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Nature des 30 réplications de l'ablation</w:t>
            </w:r>
          </w:p>
        </w:tc>
        <w:tc>
          <w:tcPr>
            <w:tcW w:type="dxa" w:w="1000"/>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b/>
                <w:bCs/>
                <w:color w:val="E26B0A"/>
                <w:sz w:val="19"/>
                <w:szCs w:val="19"/>
              </w:rPr>
              <w:t xml:space="preserve">Partiel</w:t>
            </w:r>
          </w:p>
        </w:tc>
        <w:tc>
          <w:tcPr>
            <w:tcW w:type="dxa" w:w="5138"/>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La légende parle de « 30 exécutions d'évaluation », mais le texte conclut encore à un « équilibre sous-optimal » (M13).</w:t>
            </w:r>
          </w:p>
        </w:tc>
      </w:tr>
      <w:tr>
        <w:trPr>
          <w:cantSplit/>
        </w:trPr>
        <w:tc>
          <w:tcPr>
            <w:tcW w:type="dxa" w:w="5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7</w:t>
            </w:r>
          </w:p>
        </w:tc>
        <w:tc>
          <w:tcPr>
            <w:tcW w:type="dxa" w:w="30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Sensibilité des hyperparamètres non documentée</w:t>
            </w:r>
          </w:p>
        </w:tc>
        <w:tc>
          <w:tcPr>
            <w:tcW w:type="dxa" w:w="10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b/>
                <w:bCs/>
                <w:color w:val="E26B0A"/>
                <w:sz w:val="19"/>
                <w:szCs w:val="19"/>
              </w:rPr>
              <w:t xml:space="preserve">Partiel</w:t>
            </w:r>
          </w:p>
        </w:tc>
        <w:tc>
          <w:tcPr>
            <w:tcW w:type="dxa" w:w="5138"/>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Un balayage qualitatif est mentionné, sans tableau chiffré (M12).</w:t>
            </w:r>
          </w:p>
        </w:tc>
      </w:tr>
      <w:tr>
        <w:trPr>
          <w:cantSplit/>
        </w:trPr>
        <w:tc>
          <w:tcPr>
            <w:tcW w:type="dxa" w:w="500"/>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8</w:t>
            </w:r>
          </w:p>
        </w:tc>
        <w:tc>
          <w:tcPr>
            <w:tcW w:type="dxa" w:w="3000"/>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Conclusion de l'abstract trop générale</w:t>
            </w:r>
          </w:p>
        </w:tc>
        <w:tc>
          <w:tcPr>
            <w:tcW w:type="dxa" w:w="1000"/>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b/>
                <w:bCs/>
                <w:color w:val="2E7D32"/>
                <w:sz w:val="19"/>
                <w:szCs w:val="19"/>
              </w:rPr>
              <w:t xml:space="preserve">Fait</w:t>
            </w:r>
          </w:p>
        </w:tc>
        <w:tc>
          <w:tcPr>
            <w:tcW w:type="dxa" w:w="5138"/>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La reformulation proposée par la directrice est intégrée.</w:t>
            </w:r>
          </w:p>
        </w:tc>
      </w:tr>
      <w:tr>
        <w:trPr>
          <w:cantSplit/>
        </w:trPr>
        <w:tc>
          <w:tcPr>
            <w:tcW w:type="dxa" w:w="5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9</w:t>
            </w:r>
          </w:p>
        </w:tc>
        <w:tc>
          <w:tcPr>
            <w:tcW w:type="dxa" w:w="30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 Simulateur haute fidélité »</w:t>
            </w:r>
          </w:p>
        </w:tc>
        <w:tc>
          <w:tcPr>
            <w:tcW w:type="dxa" w:w="10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b/>
                <w:bCs/>
                <w:color w:val="2E7D32"/>
                <w:sz w:val="19"/>
                <w:szCs w:val="19"/>
              </w:rPr>
              <w:t xml:space="preserve">Fait</w:t>
            </w:r>
          </w:p>
        </w:tc>
        <w:tc>
          <w:tcPr>
            <w:tcW w:type="dxa" w:w="5138"/>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L'expression a disparu.</w:t>
            </w:r>
          </w:p>
        </w:tc>
      </w:tr>
      <w:tr>
        <w:trPr>
          <w:cantSplit/>
        </w:trPr>
        <w:tc>
          <w:tcPr>
            <w:tcW w:type="dxa" w:w="500"/>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10</w:t>
            </w:r>
          </w:p>
        </w:tc>
        <w:tc>
          <w:tcPr>
            <w:tcW w:type="dxa" w:w="3000"/>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Appui statistique de la partie durabilité</w:t>
            </w:r>
          </w:p>
        </w:tc>
        <w:tc>
          <w:tcPr>
            <w:tcW w:type="dxa" w:w="1000"/>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b/>
                <w:bCs/>
                <w:color w:val="E26B0A"/>
                <w:sz w:val="19"/>
                <w:szCs w:val="19"/>
              </w:rPr>
              <w:t xml:space="preserve">Partiel</w:t>
            </w:r>
          </w:p>
        </w:tc>
        <w:tc>
          <w:tcPr>
            <w:tcW w:type="dxa" w:w="5138"/>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Les écarts-types sont ajoutés, mais les valeurs p rapportées sont invraisemblables et l'économie « 53 L / 1 000 t » est fausse (M3, M20).</w:t>
            </w:r>
          </w:p>
        </w:tc>
      </w:tr>
    </w:tbl>
    <w:p>
      <w:pPr>
        <w:spacing w:after="120"/>
      </w:pPr>
    </w:p>
    <w:p>
      <w:pPr>
        <w:pStyle w:val="Heading2"/>
      </w:pPr>
      <w:r>
        <w:t xml:space="preserve">3.3 Document « Plan article Q1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1000"/>
        <w:gridCol w:w="5038"/>
      </w:tblGrid>
      <w:tr>
        <w:trPr>
          <w:tblHeader/>
        </w:trPr>
        <w:tc>
          <w:tcPr>
            <w:tcW w:type="dxa" w:w="3600"/>
            <w:tcBorders>
              <w:top w:val="single" w:color="BFC9D9" w:sz="4"/>
              <w:left w:val="single" w:color="BFC9D9" w:sz="4"/>
              <w:bottom w:val="single" w:color="BFC9D9" w:sz="4"/>
              <w:right w:val="single" w:color="BFC9D9" w:sz="4"/>
            </w:tcBorders>
            <w:shd w:fill="1F3864" w:color="auto" w:val="clear"/>
            <w:tcMar>
              <w:top w:type="dxa" w:w="70"/>
              <w:left w:type="dxa" w:w="110"/>
              <w:bottom w:type="dxa" w:w="70"/>
              <w:right w:type="dxa" w:w="110"/>
            </w:tcMar>
            <w:vAlign w:val="top"/>
          </w:tcPr>
          <w:p>
            <w:pPr>
              <w:keepNext w:val="false"/>
              <w:keepLines/>
              <w:spacing w:after="40" w:line="252"/>
              <w:jc w:val="left"/>
            </w:pPr>
            <w:r>
              <w:rPr>
                <w:b/>
                <w:bCs/>
                <w:color w:val="FFFFFF"/>
                <w:sz w:val="19"/>
                <w:szCs w:val="19"/>
              </w:rPr>
              <w:t xml:space="preserve">Recommandation</w:t>
            </w:r>
          </w:p>
        </w:tc>
        <w:tc>
          <w:tcPr>
            <w:tcW w:type="dxa" w:w="1000"/>
            <w:tcBorders>
              <w:top w:val="single" w:color="BFC9D9" w:sz="4"/>
              <w:left w:val="single" w:color="BFC9D9" w:sz="4"/>
              <w:bottom w:val="single" w:color="BFC9D9" w:sz="4"/>
              <w:right w:val="single" w:color="BFC9D9" w:sz="4"/>
            </w:tcBorders>
            <w:shd w:fill="1F3864" w:color="auto" w:val="clear"/>
            <w:tcMar>
              <w:top w:type="dxa" w:w="70"/>
              <w:left w:type="dxa" w:w="110"/>
              <w:bottom w:type="dxa" w:w="70"/>
              <w:right w:type="dxa" w:w="110"/>
            </w:tcMar>
            <w:vAlign w:val="top"/>
          </w:tcPr>
          <w:p>
            <w:pPr>
              <w:keepNext w:val="false"/>
              <w:keepLines/>
              <w:spacing w:after="40" w:line="252"/>
              <w:jc w:val="left"/>
            </w:pPr>
            <w:r>
              <w:rPr>
                <w:b/>
                <w:bCs/>
                <w:color w:val="FFFFFF"/>
                <w:sz w:val="19"/>
                <w:szCs w:val="19"/>
              </w:rPr>
              <w:t xml:space="preserve">État</w:t>
            </w:r>
          </w:p>
        </w:tc>
        <w:tc>
          <w:tcPr>
            <w:tcW w:type="dxa" w:w="5038"/>
            <w:tcBorders>
              <w:top w:val="single" w:color="BFC9D9" w:sz="4"/>
              <w:left w:val="single" w:color="BFC9D9" w:sz="4"/>
              <w:bottom w:val="single" w:color="BFC9D9" w:sz="4"/>
              <w:right w:val="single" w:color="BFC9D9" w:sz="4"/>
            </w:tcBorders>
            <w:shd w:fill="1F3864" w:color="auto" w:val="clear"/>
            <w:tcMar>
              <w:top w:type="dxa" w:w="70"/>
              <w:left w:type="dxa" w:w="110"/>
              <w:bottom w:type="dxa" w:w="70"/>
              <w:right w:type="dxa" w:w="110"/>
            </w:tcMar>
            <w:vAlign w:val="top"/>
          </w:tcPr>
          <w:p>
            <w:pPr>
              <w:keepNext w:val="false"/>
              <w:keepLines/>
              <w:spacing w:after="40" w:line="252"/>
              <w:jc w:val="left"/>
            </w:pPr>
            <w:r>
              <w:rPr>
                <w:b/>
                <w:bCs/>
                <w:color w:val="FFFFFF"/>
                <w:sz w:val="19"/>
                <w:szCs w:val="19"/>
              </w:rPr>
              <w:t xml:space="preserve">Ce qu'il reste à faire</w:t>
            </w:r>
          </w:p>
        </w:tc>
      </w:tr>
      <w:tr>
        <w:trPr>
          <w:cantSplit/>
        </w:trPr>
        <w:tc>
          <w:tcPr>
            <w:tcW w:type="dxa" w:w="36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Abstract de 200 à 250 mots</w:t>
            </w:r>
          </w:p>
        </w:tc>
        <w:tc>
          <w:tcPr>
            <w:tcW w:type="dxa" w:w="10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b/>
                <w:bCs/>
                <w:color w:val="C00000"/>
                <w:sz w:val="19"/>
                <w:szCs w:val="19"/>
              </w:rPr>
              <w:t xml:space="preserve">À faire</w:t>
            </w:r>
          </w:p>
        </w:tc>
        <w:tc>
          <w:tcPr>
            <w:tcW w:type="dxa" w:w="5038"/>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L'abstract actuel compte environ 380 mots (m1).</w:t>
            </w:r>
          </w:p>
        </w:tc>
      </w:tr>
      <w:tr>
        <w:trPr>
          <w:cantSplit/>
        </w:trPr>
        <w:tc>
          <w:tcPr>
            <w:tcW w:type="dxa" w:w="3600"/>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Positionnement sur la robustesse et la dépendance au régime</w:t>
            </w:r>
          </w:p>
        </w:tc>
        <w:tc>
          <w:tcPr>
            <w:tcW w:type="dxa" w:w="1000"/>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b/>
                <w:bCs/>
                <w:color w:val="E26B0A"/>
                <w:sz w:val="19"/>
                <w:szCs w:val="19"/>
              </w:rPr>
              <w:t xml:space="preserve">Partiel</w:t>
            </w:r>
          </w:p>
        </w:tc>
        <w:tc>
          <w:tcPr>
            <w:tcW w:type="dxa" w:w="5038"/>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Bien engagé ; à rendre central (M23).</w:t>
            </w:r>
          </w:p>
        </w:tc>
      </w:tr>
      <w:tr>
        <w:trPr>
          <w:cantSplit/>
        </w:trPr>
        <w:tc>
          <w:tcPr>
            <w:tcW w:type="dxa" w:w="36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Analyse de sensibilité des hyperparamètres</w:t>
            </w:r>
          </w:p>
        </w:tc>
        <w:tc>
          <w:tcPr>
            <w:tcW w:type="dxa" w:w="10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b/>
                <w:bCs/>
                <w:color w:val="E26B0A"/>
                <w:sz w:val="19"/>
                <w:szCs w:val="19"/>
              </w:rPr>
              <w:t xml:space="preserve">Partiel</w:t>
            </w:r>
          </w:p>
        </w:tc>
        <w:tc>
          <w:tcPr>
            <w:tcW w:type="dxa" w:w="5038"/>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Voir M12.</w:t>
            </w:r>
          </w:p>
        </w:tc>
      </w:tr>
      <w:tr>
        <w:trPr>
          <w:cantSplit/>
        </w:trPr>
        <w:tc>
          <w:tcPr>
            <w:tcW w:type="dxa" w:w="3600"/>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Courbes de convergence moyenne ± intervalle de confiance</w:t>
            </w:r>
          </w:p>
        </w:tc>
        <w:tc>
          <w:tcPr>
            <w:tcW w:type="dxa" w:w="1000"/>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b/>
                <w:bCs/>
                <w:color w:val="C00000"/>
                <w:sz w:val="19"/>
                <w:szCs w:val="19"/>
              </w:rPr>
              <w:t xml:space="preserve">À faire</w:t>
            </w:r>
          </w:p>
        </w:tc>
        <w:tc>
          <w:tcPr>
            <w:tcW w:type="dxa" w:w="5038"/>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Les courbes actuelles sont une exécution unique (M7).</w:t>
            </w:r>
          </w:p>
        </w:tc>
      </w:tr>
      <w:tr>
        <w:trPr>
          <w:cantSplit/>
        </w:trPr>
        <w:tc>
          <w:tcPr>
            <w:tcW w:type="dxa" w:w="36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Tests sur scénarios non vus, temps d'inférence, code et graines disponibles</w:t>
            </w:r>
          </w:p>
        </w:tc>
        <w:tc>
          <w:tcPr>
            <w:tcW w:type="dxa" w:w="10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b/>
                <w:bCs/>
                <w:color w:val="2E7D32"/>
                <w:sz w:val="19"/>
                <w:szCs w:val="19"/>
              </w:rPr>
              <w:t xml:space="preserve">Fait</w:t>
            </w:r>
          </w:p>
        </w:tc>
        <w:tc>
          <w:tcPr>
            <w:tcW w:type="dxa" w:w="5038"/>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Clarifier le transfert à 18 camions (M1).</w:t>
            </w:r>
          </w:p>
        </w:tc>
      </w:tr>
      <w:tr>
        <w:trPr>
          <w:cantSplit/>
        </w:trPr>
        <w:tc>
          <w:tcPr>
            <w:tcW w:type="dxa" w:w="3600"/>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Aucune amélioration environnementale affirmée sans mesure</w:t>
            </w:r>
          </w:p>
        </w:tc>
        <w:tc>
          <w:tcPr>
            <w:tcW w:type="dxa" w:w="1000"/>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b/>
                <w:bCs/>
                <w:color w:val="E26B0A"/>
                <w:sz w:val="19"/>
                <w:szCs w:val="19"/>
              </w:rPr>
              <w:t xml:space="preserve">Partiel</w:t>
            </w:r>
          </w:p>
        </w:tc>
        <w:tc>
          <w:tcPr>
            <w:tcW w:type="dxa" w:w="5038"/>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Réduire la partie émissions (M20).</w:t>
            </w:r>
          </w:p>
        </w:tc>
      </w:tr>
    </w:tbl>
    <w:p>
      <w:pPr>
        <w:pStyle w:val="Heading1"/>
        <w:pageBreakBefore/>
      </w:pPr>
      <w:r>
        <w:t xml:space="preserve">4. Commentaires majeurs</w:t>
      </w:r>
    </w:p>
    <w:p>
      <w:pPr>
        <w:spacing w:after="120" w:before="0" w:line="276"/>
        <w:jc w:val="both"/>
      </w:pPr>
      <w:r>
        <w:t xml:space="preserve">Les fiches sont regroupées en quatre blocs. Le bloc A rassemble les points bloquants à vérifier dans le code avant toute réécriture.</w:t>
      </w:r>
    </w:p>
    <w:p>
      <w:pPr>
        <w:pStyle w:val="Heading2"/>
      </w:pPr>
      <w:r>
        <w:t xml:space="preserve">Bloc A. Points bloquants à vérifier dans le code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rPr>
        <w:tc>
          <w:tcPr>
            <w:tcW w:type="dxa" w:w="9638"/>
            <w:gridSpan w:val="2"/>
            <w:tcBorders>
              <w:top w:val="single" w:color="BFC9D9" w:sz="4"/>
              <w:left w:val="single" w:color="BFC9D9" w:sz="4"/>
              <w:bottom w:val="single" w:color="BFC9D9" w:sz="4"/>
              <w:right w:val="single" w:color="BFC9D9" w:sz="4"/>
            </w:tcBorders>
            <w:shd w:fill="2E5597" w:color="auto" w:val="clear"/>
            <w:tcMar>
              <w:top w:type="dxa" w:w="70"/>
              <w:left w:type="dxa" w:w="110"/>
              <w:bottom w:type="dxa" w:w="70"/>
              <w:right w:type="dxa" w:w="110"/>
            </w:tcMar>
            <w:vAlign w:val="top"/>
          </w:tcPr>
          <w:p>
            <w:pPr>
              <w:keepNext/>
            </w:pPr>
            <w:r>
              <w:rPr>
                <w:b/>
                <w:bCs/>
                <w:color w:val="FFFFFF"/>
                <w:sz w:val="21"/>
                <w:szCs w:val="21"/>
              </w:rPr>
              <w:t xml:space="preserve">M1  </w:t>
            </w:r>
            <w:r>
              <w:rPr>
                <w:b/>
                <w:bCs/>
                <w:color w:val="FFFFFF"/>
                <w:sz w:val="21"/>
                <w:szCs w:val="21"/>
              </w:rPr>
              <w:t xml:space="preserve">Transfert sans réentraînement de 147 vers 213 dimensions</w:t>
            </w:r>
          </w:p>
        </w:tc>
      </w:tr>
      <w:tr>
        <w:tc>
          <w:tcPr>
            <w:tcW w:type="dxa" w:w="1900"/>
            <w:tcBorders>
              <w:top w:val="single" w:color="BFC9D9" w:sz="4"/>
              <w:left w:val="single" w:color="BFC9D9" w:sz="4"/>
              <w:bottom w:val="single" w:color="BFC9D9" w:sz="4"/>
              <w:right w:val="single" w:color="BFC9D9" w:sz="4"/>
            </w:tcBorders>
            <w:shd w:fill="EEF2F8" w:color="auto" w:val="clear"/>
            <w:tcMar>
              <w:top w:type="dxa" w:w="70"/>
              <w:left w:type="dxa" w:w="110"/>
              <w:bottom w:type="dxa" w:w="70"/>
              <w:right w:type="dxa" w:w="110"/>
            </w:tcMar>
            <w:vAlign w:val="top"/>
          </w:tcPr>
          <w:p>
            <w:pPr>
              <w:keepNext w:val="false"/>
              <w:keepLines/>
              <w:spacing w:after="40" w:line="252"/>
              <w:jc w:val="left"/>
            </w:pPr>
            <w:r>
              <w:rPr>
                <w:b/>
                <w:bCs/>
                <w:color w:val="1F3864"/>
                <w:sz w:val="19"/>
                <w:szCs w:val="19"/>
              </w:rPr>
              <w:t xml:space="preserve">Priorité</w:t>
            </w:r>
          </w:p>
        </w:tc>
        <w:tc>
          <w:tcPr>
            <w:tcW w:type="dxa" w:w="7738"/>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pPr>
            <w:r>
              <w:rPr>
                <w:b/>
                <w:bCs/>
                <w:color w:val="C00000"/>
                <w:sz w:val="19"/>
                <w:szCs w:val="19"/>
              </w:rPr>
              <w:t xml:space="preserve">Critique</w:t>
            </w:r>
            <w:r>
              <w:rPr>
                <w:color w:val="595959"/>
                <w:sz w:val="19"/>
                <w:szCs w:val="19"/>
              </w:rPr>
              <w:t xml:space="preserve">     Source : </w:t>
            </w:r>
            <w:r>
              <w:rPr>
                <w:sz w:val="19"/>
                <w:szCs w:val="19"/>
              </w:rPr>
              <w:t xml:space="preserve">Claude, GPT (priorité n° 1 des deux rapports)</w:t>
            </w:r>
          </w:p>
        </w:tc>
      </w:tr>
      <w:tr>
        <w:trPr>
          <w:cantSplit/>
        </w:trPr>
        <w:tc>
          <w:tcPr>
            <w:tcW w:type="dxa" w:w="1900"/>
            <w:tcBorders>
              <w:top w:val="single" w:color="BFC9D9" w:sz="4"/>
              <w:left w:val="single" w:color="BFC9D9" w:sz="4"/>
              <w:bottom w:val="single" w:color="BFC9D9" w:sz="4"/>
              <w:right w:val="single" w:color="BFC9D9" w:sz="4"/>
            </w:tcBorders>
            <w:shd w:fill="EEF2F8" w:color="auto" w:val="clear"/>
            <w:tcMar>
              <w:top w:type="dxa" w:w="70"/>
              <w:left w:type="dxa" w:w="110"/>
              <w:bottom w:type="dxa" w:w="70"/>
              <w:right w:type="dxa" w:w="110"/>
            </w:tcMar>
            <w:vAlign w:val="top"/>
          </w:tcPr>
          <w:p>
            <w:pPr>
              <w:keepNext/>
              <w:keepLines/>
              <w:spacing w:after="40" w:line="252"/>
              <w:jc w:val="left"/>
            </w:pPr>
            <w:r>
              <w:rPr>
                <w:b/>
                <w:bCs/>
                <w:color w:val="1F3864"/>
                <w:sz w:val="19"/>
                <w:szCs w:val="19"/>
              </w:rPr>
              <w:t xml:space="preserve">Constat</w:t>
            </w:r>
          </w:p>
        </w:tc>
        <w:tc>
          <w:tcPr>
            <w:tcW w:type="dxa" w:w="7738"/>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keepLines/>
              <w:spacing w:after="40" w:line="252"/>
              <w:jc w:val="left"/>
            </w:pPr>
            <w:r>
              <w:rPr>
                <w:sz w:val="19"/>
                <w:szCs w:val="19"/>
              </w:rPr>
              <w:t xml:space="preserve">L'état a une dimension 15 + 11N : 147 pour N = 12 et 213 pour N = 18. Un réseau MLP [128, 128] entraîné sur une entrée de taille 147 ne peut pas recevoir un vecteur de taille 213. Il en va de même pour la table Q discrétisée. Le tableau tab:mdp écrit d'ailleurs « S_t ∈ ℝ^(147–213) ». Le manuscrit affirme pourtant que toutes les politiques entraînées en nominal sont évaluées sans réentraînement en forte charge.</w:t>
            </w:r>
          </w:p>
        </w:tc>
      </w:tr>
      <w:tr>
        <w:trPr>
          <w:cantSplit/>
        </w:trPr>
        <w:tc>
          <w:tcPr>
            <w:tcW w:type="dxa" w:w="1900"/>
            <w:tcBorders>
              <w:top w:val="single" w:color="BFC9D9" w:sz="4"/>
              <w:left w:val="single" w:color="BFC9D9" w:sz="4"/>
              <w:bottom w:val="single" w:color="BFC9D9" w:sz="4"/>
              <w:right w:val="single" w:color="BFC9D9" w:sz="4"/>
            </w:tcBorders>
            <w:shd w:fill="EEF2F8" w:color="auto" w:val="clear"/>
            <w:tcMar>
              <w:top w:type="dxa" w:w="70"/>
              <w:left w:type="dxa" w:w="110"/>
              <w:bottom w:type="dxa" w:w="70"/>
              <w:right w:type="dxa" w:w="110"/>
            </w:tcMar>
            <w:vAlign w:val="top"/>
          </w:tcPr>
          <w:p>
            <w:pPr>
              <w:keepNext w:val="false"/>
              <w:keepLines/>
              <w:spacing w:after="40" w:line="252"/>
              <w:jc w:val="left"/>
            </w:pPr>
            <w:r>
              <w:rPr>
                <w:b/>
                <w:bCs/>
                <w:color w:val="1F3864"/>
                <w:sz w:val="19"/>
                <w:szCs w:val="19"/>
              </w:rPr>
              <w:t xml:space="preserve">Pourquoi c'est grave</w:t>
            </w:r>
          </w:p>
        </w:tc>
        <w:tc>
          <w:tcPr>
            <w:tcW w:type="dxa" w:w="7738"/>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Si le code complète l'observation (padding), la tronque ou si les agents ont été réentraînés, les affirmations de robustesse hors distribution en forte charge doivent être revues. Un relecteur peut considérer qu'il s'agit d'une incohérence expérimentale fondamentale.</w:t>
            </w:r>
          </w:p>
        </w:tc>
      </w:tr>
      <w:tr>
        <w:trPr>
          <w:cantSplit/>
        </w:trPr>
        <w:tc>
          <w:tcPr>
            <w:tcW w:type="dxa" w:w="1900"/>
            <w:tcBorders>
              <w:top w:val="single" w:color="BFC9D9" w:sz="4"/>
              <w:left w:val="single" w:color="BFC9D9" w:sz="4"/>
              <w:bottom w:val="single" w:color="BFC9D9" w:sz="4"/>
              <w:right w:val="single" w:color="BFC9D9" w:sz="4"/>
            </w:tcBorders>
            <w:shd w:fill="EEF2F8" w:color="auto" w:val="clear"/>
            <w:tcMar>
              <w:top w:type="dxa" w:w="70"/>
              <w:left w:type="dxa" w:w="110"/>
              <w:bottom w:type="dxa" w:w="70"/>
              <w:right w:type="dxa" w:w="110"/>
            </w:tcMar>
            <w:vAlign w:val="top"/>
          </w:tcPr>
          <w:p>
            <w:pPr>
              <w:keepNext w:val="false"/>
              <w:keepLines/>
              <w:spacing w:after="40" w:line="252"/>
              <w:jc w:val="left"/>
            </w:pPr>
            <w:r>
              <w:rPr>
                <w:b/>
                <w:bCs/>
                <w:color w:val="1F3864"/>
                <w:sz w:val="19"/>
                <w:szCs w:val="19"/>
              </w:rPr>
              <w:t xml:space="preserve">Action corrective</w:t>
            </w:r>
          </w:p>
        </w:tc>
        <w:tc>
          <w:tcPr>
            <w:tcW w:type="dxa" w:w="7738"/>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1. Ouvrir le code de l'environnement et des agents : quelle est la taille réelle de l'observation à N = 18 ?</w:t>
            </w:r>
          </w:p>
          <w:p>
            <w:pPr>
              <w:keepNext w:val="false"/>
              <w:keepLines/>
              <w:spacing w:after="40" w:line="252"/>
              <w:jc w:val="left"/>
            </w:pPr>
            <w:r>
              <w:rPr>
                <w:sz w:val="19"/>
                <w:szCs w:val="19"/>
              </w:rPr>
              <w:t xml:space="preserve">2. Si padding jusqu'à N_max : le décrire (valeurs de remplissage, masque, entraînement avec ou sans camions fictifs) et justifier que l'agent n'a jamais vu ces positions actives.</w:t>
            </w:r>
          </w:p>
          <w:p>
            <w:pPr>
              <w:keepNext w:val="false"/>
              <w:keepLines/>
              <w:spacing w:after="40" w:line="252"/>
              <w:jc w:val="left"/>
            </w:pPr>
            <w:r>
              <w:rPr>
                <w:sz w:val="19"/>
                <w:szCs w:val="19"/>
              </w:rPr>
              <w:t xml:space="preserve">3. Si troncature : indiquer quels camions sont ignorés et pourquoi.</w:t>
            </w:r>
          </w:p>
          <w:p>
            <w:pPr>
              <w:keepNext w:val="false"/>
              <w:keepLines/>
              <w:spacing w:after="40" w:line="252"/>
              <w:jc w:val="left"/>
            </w:pPr>
            <w:r>
              <w:rPr>
                <w:sz w:val="19"/>
                <w:szCs w:val="19"/>
              </w:rPr>
              <w:t xml:space="preserve">4. Si réentraînement : retirer toute affirmation « zero-shot » pour la forte charge et le dire clairement.</w:t>
            </w:r>
          </w:p>
          <w:p>
            <w:pPr>
              <w:keepNext w:val="false"/>
              <w:keepLines/>
              <w:spacing w:after="40" w:line="252"/>
              <w:jc w:val="left"/>
            </w:pPr>
            <w:r>
              <w:rPr>
                <w:sz w:val="19"/>
                <w:szCs w:val="19"/>
              </w:rPr>
              <w:t xml:space="preserve">5. Préciser aussi la normalisation dans [0, 1] des observations hors distribution.</w:t>
            </w:r>
          </w:p>
          <w:p>
            <w:pPr>
              <w:keepNext w:val="false"/>
              <w:keepLines/>
              <w:spacing w:after="40" w:line="252"/>
              <w:jc w:val="left"/>
            </w:pPr>
            <w:r>
              <w:rPr>
                <w:sz w:val="19"/>
                <w:szCs w:val="19"/>
              </w:rPr>
              <w:t xml:space="preserve">6. Ajouter un court paragraphe ou un pseudo-code « construction de l'observation ».</w:t>
            </w:r>
          </w:p>
        </w:tc>
      </w:tr>
      <w:tr>
        <w:trPr>
          <w:cantSplit/>
        </w:trPr>
        <w:tc>
          <w:tcPr>
            <w:tcW w:type="dxa" w:w="1900"/>
            <w:tcBorders>
              <w:top w:val="single" w:color="BFC9D9" w:sz="4"/>
              <w:left w:val="single" w:color="BFC9D9" w:sz="4"/>
              <w:bottom w:val="single" w:color="BFC9D9" w:sz="4"/>
              <w:right w:val="single" w:color="BFC9D9" w:sz="4"/>
            </w:tcBorders>
            <w:shd w:fill="EEF2F8" w:color="auto" w:val="clear"/>
            <w:tcMar>
              <w:top w:type="dxa" w:w="70"/>
              <w:left w:type="dxa" w:w="110"/>
              <w:bottom w:type="dxa" w:w="70"/>
              <w:right w:type="dxa" w:w="110"/>
            </w:tcMar>
            <w:vAlign w:val="top"/>
          </w:tcPr>
          <w:p>
            <w:pPr>
              <w:keepNext w:val="false"/>
              <w:keepLines/>
              <w:spacing w:after="40" w:line="252"/>
              <w:jc w:val="left"/>
            </w:pPr>
            <w:r>
              <w:rPr>
                <w:b/>
                <w:bCs/>
                <w:color w:val="1F3864"/>
                <w:sz w:val="19"/>
                <w:szCs w:val="19"/>
              </w:rPr>
              <w:t xml:space="preserve">Où dans le .tex</w:t>
            </w:r>
          </w:p>
        </w:tc>
        <w:tc>
          <w:tcPr>
            <w:tcW w:type="dxa" w:w="7738"/>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§4.3 Espace d'états ; tableau tab:mdp ; §6.1 Scénarios ; §6.5 Reproductibilité ; §7.3 Robustesse ; abstract.</w:t>
            </w:r>
          </w:p>
        </w:tc>
      </w:tr>
      <w:tr>
        <w:trPr>
          <w:cantSplit/>
        </w:trPr>
        <w:tc>
          <w:tcPr>
            <w:tcW w:type="dxa" w:w="1900"/>
            <w:tcBorders>
              <w:top w:val="single" w:color="BFC9D9" w:sz="4"/>
              <w:left w:val="single" w:color="BFC9D9" w:sz="4"/>
              <w:bottom w:val="single" w:color="BFC9D9" w:sz="4"/>
              <w:right w:val="single" w:color="BFC9D9" w:sz="4"/>
            </w:tcBorders>
            <w:shd w:fill="EEF2F8" w:color="auto" w:val="clear"/>
            <w:tcMar>
              <w:top w:type="dxa" w:w="70"/>
              <w:left w:type="dxa" w:w="110"/>
              <w:bottom w:type="dxa" w:w="70"/>
              <w:right w:type="dxa" w:w="110"/>
            </w:tcMar>
            <w:vAlign w:val="top"/>
          </w:tcPr>
          <w:p>
            <w:pPr>
              <w:keepNext w:val="false"/>
              <w:keepLines/>
              <w:spacing w:after="40" w:line="252"/>
              <w:jc w:val="left"/>
            </w:pPr>
            <w:r>
              <w:rPr>
                <w:b/>
                <w:bCs/>
                <w:color w:val="1F3864"/>
                <w:sz w:val="19"/>
                <w:szCs w:val="19"/>
              </w:rPr>
              <w:t xml:space="preserve">Statut</w:t>
            </w:r>
          </w:p>
        </w:tc>
        <w:tc>
          <w:tcPr>
            <w:tcW w:type="dxa" w:w="7738"/>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 À faire     ☐ En cours     ☐ Fait     Notes : ……………………………………………</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rPr>
        <w:tc>
          <w:tcPr>
            <w:tcW w:type="dxa" w:w="9638"/>
            <w:gridSpan w:val="2"/>
            <w:tcBorders>
              <w:top w:val="single" w:color="BFC9D9" w:sz="4"/>
              <w:left w:val="single" w:color="BFC9D9" w:sz="4"/>
              <w:bottom w:val="single" w:color="BFC9D9" w:sz="4"/>
              <w:right w:val="single" w:color="BFC9D9" w:sz="4"/>
            </w:tcBorders>
            <w:shd w:fill="2E5597" w:color="auto" w:val="clear"/>
            <w:tcMar>
              <w:top w:type="dxa" w:w="70"/>
              <w:left w:type="dxa" w:w="110"/>
              <w:bottom w:type="dxa" w:w="70"/>
              <w:right w:type="dxa" w:w="110"/>
            </w:tcMar>
            <w:vAlign w:val="top"/>
          </w:tcPr>
          <w:p>
            <w:pPr>
              <w:keepNext/>
            </w:pPr>
            <w:r>
              <w:rPr>
                <w:b/>
                <w:bCs/>
                <w:color w:val="FFFFFF"/>
                <w:sz w:val="21"/>
                <w:szCs w:val="21"/>
              </w:rPr>
              <w:t xml:space="preserve">M2  </w:t>
            </w:r>
            <w:r>
              <w:rPr>
                <w:b/>
                <w:bCs/>
                <w:color w:val="FFFFFF"/>
                <w:sz w:val="21"/>
                <w:szCs w:val="21"/>
              </w:rPr>
              <w:t xml:space="preserve">Le temps d'attente rapporté est plus long que le cycle lui-même</w:t>
            </w:r>
          </w:p>
        </w:tc>
      </w:tr>
      <w:tr>
        <w:tc>
          <w:tcPr>
            <w:tcW w:type="dxa" w:w="1900"/>
            <w:tcBorders>
              <w:top w:val="single" w:color="BFC9D9" w:sz="4"/>
              <w:left w:val="single" w:color="BFC9D9" w:sz="4"/>
              <w:bottom w:val="single" w:color="BFC9D9" w:sz="4"/>
              <w:right w:val="single" w:color="BFC9D9" w:sz="4"/>
            </w:tcBorders>
            <w:shd w:fill="EEF2F8" w:color="auto" w:val="clear"/>
            <w:tcMar>
              <w:top w:type="dxa" w:w="70"/>
              <w:left w:type="dxa" w:w="110"/>
              <w:bottom w:type="dxa" w:w="70"/>
              <w:right w:type="dxa" w:w="110"/>
            </w:tcMar>
            <w:vAlign w:val="top"/>
          </w:tcPr>
          <w:p>
            <w:pPr>
              <w:keepNext w:val="false"/>
              <w:keepLines/>
              <w:spacing w:after="40" w:line="252"/>
              <w:jc w:val="left"/>
            </w:pPr>
            <w:r>
              <w:rPr>
                <w:b/>
                <w:bCs/>
                <w:color w:val="1F3864"/>
                <w:sz w:val="19"/>
                <w:szCs w:val="19"/>
              </w:rPr>
              <w:t xml:space="preserve">Priorité</w:t>
            </w:r>
          </w:p>
        </w:tc>
        <w:tc>
          <w:tcPr>
            <w:tcW w:type="dxa" w:w="7738"/>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pPr>
            <w:r>
              <w:rPr>
                <w:b/>
                <w:bCs/>
                <w:color w:val="C00000"/>
                <w:sz w:val="19"/>
                <w:szCs w:val="19"/>
              </w:rPr>
              <w:t xml:space="preserve">Critique</w:t>
            </w:r>
            <w:r>
              <w:rPr>
                <w:color w:val="595959"/>
                <w:sz w:val="19"/>
                <w:szCs w:val="19"/>
              </w:rPr>
              <w:t xml:space="preserve">     Source : </w:t>
            </w:r>
            <w:r>
              <w:rPr>
                <w:sz w:val="19"/>
                <w:szCs w:val="19"/>
              </w:rPr>
              <w:t xml:space="preserve">Claude</w:t>
            </w:r>
          </w:p>
        </w:tc>
      </w:tr>
      <w:tr>
        <w:trPr>
          <w:cantSplit/>
        </w:trPr>
        <w:tc>
          <w:tcPr>
            <w:tcW w:type="dxa" w:w="1900"/>
            <w:tcBorders>
              <w:top w:val="single" w:color="BFC9D9" w:sz="4"/>
              <w:left w:val="single" w:color="BFC9D9" w:sz="4"/>
              <w:bottom w:val="single" w:color="BFC9D9" w:sz="4"/>
              <w:right w:val="single" w:color="BFC9D9" w:sz="4"/>
            </w:tcBorders>
            <w:shd w:fill="EEF2F8" w:color="auto" w:val="clear"/>
            <w:tcMar>
              <w:top w:type="dxa" w:w="70"/>
              <w:left w:type="dxa" w:w="110"/>
              <w:bottom w:type="dxa" w:w="70"/>
              <w:right w:type="dxa" w:w="110"/>
            </w:tcMar>
            <w:vAlign w:val="top"/>
          </w:tcPr>
          <w:p>
            <w:pPr>
              <w:keepNext/>
              <w:keepLines/>
              <w:spacing w:after="40" w:line="252"/>
              <w:jc w:val="left"/>
            </w:pPr>
            <w:r>
              <w:rPr>
                <w:b/>
                <w:bCs/>
                <w:color w:val="1F3864"/>
                <w:sz w:val="19"/>
                <w:szCs w:val="19"/>
              </w:rPr>
              <w:t xml:space="preserve">Constat</w:t>
            </w:r>
          </w:p>
        </w:tc>
        <w:tc>
          <w:tcPr>
            <w:tcW w:type="dxa" w:w="7738"/>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keepLines/>
              <w:spacing w:after="40" w:line="252"/>
              <w:jc w:val="left"/>
            </w:pPr>
            <w:r>
              <w:rPr>
                <w:sz w:val="19"/>
                <w:szCs w:val="19"/>
              </w:rPr>
              <w:t xml:space="preserve">En nominal, PPO réalise 238,7 cycles × 140 t sur 8 h, soit 4 177 t/h (cohérent). Cela fait environ 19,9 cycles par camion en 480 min, donc un cycle complet d'environ 24 min. Or le temps d'attente rapporté est de 33,5 min par cycle. En forte charge, Pelle la plus proche donne un cycle d'environ 38 min pour 199,6 min d'attente. Une utilisation de 96,4 % pour l'Affectation fixe est aussi incompatible avec 29 min d'attente par cycle de 24 min. Le détail des calculs est en annexe A.</w:t>
            </w:r>
          </w:p>
        </w:tc>
      </w:tr>
      <w:tr>
        <w:trPr>
          <w:cantSplit/>
        </w:trPr>
        <w:tc>
          <w:tcPr>
            <w:tcW w:type="dxa" w:w="1900"/>
            <w:tcBorders>
              <w:top w:val="single" w:color="BFC9D9" w:sz="4"/>
              <w:left w:val="single" w:color="BFC9D9" w:sz="4"/>
              <w:bottom w:val="single" w:color="BFC9D9" w:sz="4"/>
              <w:right w:val="single" w:color="BFC9D9" w:sz="4"/>
            </w:tcBorders>
            <w:shd w:fill="EEF2F8" w:color="auto" w:val="clear"/>
            <w:tcMar>
              <w:top w:type="dxa" w:w="70"/>
              <w:left w:type="dxa" w:w="110"/>
              <w:bottom w:type="dxa" w:w="70"/>
              <w:right w:type="dxa" w:w="110"/>
            </w:tcMar>
            <w:vAlign w:val="top"/>
          </w:tcPr>
          <w:p>
            <w:pPr>
              <w:keepNext w:val="false"/>
              <w:keepLines/>
              <w:spacing w:after="40" w:line="252"/>
              <w:jc w:val="left"/>
            </w:pPr>
            <w:r>
              <w:rPr>
                <w:b/>
                <w:bCs/>
                <w:color w:val="1F3864"/>
                <w:sz w:val="19"/>
                <w:szCs w:val="19"/>
              </w:rPr>
              <w:t xml:space="preserve">Pourquoi c'est grave</w:t>
            </w:r>
          </w:p>
        </w:tc>
        <w:tc>
          <w:tcPr>
            <w:tcW w:type="dxa" w:w="7738"/>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Une grande partie de la discussion (H2, H4, dégradation de l'attente, Pareto, « effondrement par congestion ») repose sur cette métrique. Si elle est mal définie, ces conclusions tombent.</w:t>
            </w:r>
          </w:p>
        </w:tc>
      </w:tr>
      <w:tr>
        <w:trPr>
          <w:cantSplit/>
        </w:trPr>
        <w:tc>
          <w:tcPr>
            <w:tcW w:type="dxa" w:w="1900"/>
            <w:tcBorders>
              <w:top w:val="single" w:color="BFC9D9" w:sz="4"/>
              <w:left w:val="single" w:color="BFC9D9" w:sz="4"/>
              <w:bottom w:val="single" w:color="BFC9D9" w:sz="4"/>
              <w:right w:val="single" w:color="BFC9D9" w:sz="4"/>
            </w:tcBorders>
            <w:shd w:fill="EEF2F8" w:color="auto" w:val="clear"/>
            <w:tcMar>
              <w:top w:type="dxa" w:w="70"/>
              <w:left w:type="dxa" w:w="110"/>
              <w:bottom w:type="dxa" w:w="70"/>
              <w:right w:type="dxa" w:w="110"/>
            </w:tcMar>
            <w:vAlign w:val="top"/>
          </w:tcPr>
          <w:p>
            <w:pPr>
              <w:keepNext w:val="false"/>
              <w:keepLines/>
              <w:spacing w:after="40" w:line="252"/>
              <w:jc w:val="left"/>
            </w:pPr>
            <w:r>
              <w:rPr>
                <w:b/>
                <w:bCs/>
                <w:color w:val="1F3864"/>
                <w:sz w:val="19"/>
                <w:szCs w:val="19"/>
              </w:rPr>
              <w:t xml:space="preserve">Action corrective</w:t>
            </w:r>
          </w:p>
        </w:tc>
        <w:tc>
          <w:tcPr>
            <w:tcW w:type="dxa" w:w="7738"/>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1. Retrouver dans le code comment le temps d'attente est agrégé : cumul sur la flotte, par pelle, par poste, ou somme des attentes divisée par le nombre de cycles d'un seul camion ?</w:t>
            </w:r>
          </w:p>
          <w:p>
            <w:pPr>
              <w:keepNext w:val="false"/>
              <w:keepLines/>
              <w:spacing w:after="40" w:line="252"/>
              <w:jc w:val="left"/>
            </w:pPr>
            <w:r>
              <w:rPr>
                <w:sz w:val="19"/>
                <w:szCs w:val="19"/>
              </w:rPr>
              <w:t xml:space="preserve">2. Définir formellement la métrique dans §6.3 (formule et unité).</w:t>
            </w:r>
          </w:p>
          <w:p>
            <w:pPr>
              <w:keepNext w:val="false"/>
              <w:keepLines/>
              <w:spacing w:after="40" w:line="252"/>
              <w:jc w:val="left"/>
            </w:pPr>
            <w:r>
              <w:rPr>
                <w:sz w:val="19"/>
                <w:szCs w:val="19"/>
              </w:rPr>
              <w:t xml:space="preserve">3. Faire de même pour l'utilisation, et séparer utilisation des camions et utilisation des pelles.</w:t>
            </w:r>
          </w:p>
          <w:p>
            <w:pPr>
              <w:keepNext w:val="false"/>
              <w:keepLines/>
              <w:spacing w:after="40" w:line="252"/>
              <w:jc w:val="left"/>
            </w:pPr>
            <w:r>
              <w:rPr>
                <w:sz w:val="19"/>
                <w:szCs w:val="19"/>
              </w:rPr>
              <w:t xml:space="preserve">4. Recalculer les tableaux et figures concernés, puis relire tous les passages qui citent des minutes d'attente.</w:t>
            </w:r>
          </w:p>
          <w:p>
            <w:pPr>
              <w:keepNext w:val="false"/>
              <w:keepLines/>
              <w:spacing w:after="40" w:line="252"/>
              <w:jc w:val="left"/>
            </w:pPr>
            <w:r>
              <w:rPr>
                <w:sz w:val="19"/>
                <w:szCs w:val="19"/>
              </w:rPr>
              <w:t xml:space="preserve">5. Ajouter un contrôle de cohérence : cycle moyen = trajet + chargement + déversement + attente.</w:t>
            </w:r>
          </w:p>
        </w:tc>
      </w:tr>
      <w:tr>
        <w:trPr>
          <w:cantSplit/>
        </w:trPr>
        <w:tc>
          <w:tcPr>
            <w:tcW w:type="dxa" w:w="1900"/>
            <w:tcBorders>
              <w:top w:val="single" w:color="BFC9D9" w:sz="4"/>
              <w:left w:val="single" w:color="BFC9D9" w:sz="4"/>
              <w:bottom w:val="single" w:color="BFC9D9" w:sz="4"/>
              <w:right w:val="single" w:color="BFC9D9" w:sz="4"/>
            </w:tcBorders>
            <w:shd w:fill="EEF2F8" w:color="auto" w:val="clear"/>
            <w:tcMar>
              <w:top w:type="dxa" w:w="70"/>
              <w:left w:type="dxa" w:w="110"/>
              <w:bottom w:type="dxa" w:w="70"/>
              <w:right w:type="dxa" w:w="110"/>
            </w:tcMar>
            <w:vAlign w:val="top"/>
          </w:tcPr>
          <w:p>
            <w:pPr>
              <w:keepNext w:val="false"/>
              <w:keepLines/>
              <w:spacing w:after="40" w:line="252"/>
              <w:jc w:val="left"/>
            </w:pPr>
            <w:r>
              <w:rPr>
                <w:b/>
                <w:bCs/>
                <w:color w:val="1F3864"/>
                <w:sz w:val="19"/>
                <w:szCs w:val="19"/>
              </w:rPr>
              <w:t xml:space="preserve">Où dans le .tex</w:t>
            </w:r>
          </w:p>
        </w:tc>
        <w:tc>
          <w:tcPr>
            <w:tcW w:type="dxa" w:w="7738"/>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§6.3 Métriques ; tableaux de temps d'attente, de robustesse et d'efficacité ; figures d'attente et de Pareto ; §8 Discussion ; abstract.</w:t>
            </w:r>
          </w:p>
        </w:tc>
      </w:tr>
      <w:tr>
        <w:trPr>
          <w:cantSplit/>
        </w:trPr>
        <w:tc>
          <w:tcPr>
            <w:tcW w:type="dxa" w:w="1900"/>
            <w:tcBorders>
              <w:top w:val="single" w:color="BFC9D9" w:sz="4"/>
              <w:left w:val="single" w:color="BFC9D9" w:sz="4"/>
              <w:bottom w:val="single" w:color="BFC9D9" w:sz="4"/>
              <w:right w:val="single" w:color="BFC9D9" w:sz="4"/>
            </w:tcBorders>
            <w:shd w:fill="EEF2F8" w:color="auto" w:val="clear"/>
            <w:tcMar>
              <w:top w:type="dxa" w:w="70"/>
              <w:left w:type="dxa" w:w="110"/>
              <w:bottom w:type="dxa" w:w="70"/>
              <w:right w:type="dxa" w:w="110"/>
            </w:tcMar>
            <w:vAlign w:val="top"/>
          </w:tcPr>
          <w:p>
            <w:pPr>
              <w:keepNext w:val="false"/>
              <w:keepLines/>
              <w:spacing w:after="40" w:line="252"/>
              <w:jc w:val="left"/>
            </w:pPr>
            <w:r>
              <w:rPr>
                <w:b/>
                <w:bCs/>
                <w:color w:val="1F3864"/>
                <w:sz w:val="19"/>
                <w:szCs w:val="19"/>
              </w:rPr>
              <w:t xml:space="preserve">Statut</w:t>
            </w:r>
          </w:p>
        </w:tc>
        <w:tc>
          <w:tcPr>
            <w:tcW w:type="dxa" w:w="7738"/>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 À faire     ☐ En cours     ☐ Fait     Notes : ……………………………………………</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rPr>
        <w:tc>
          <w:tcPr>
            <w:tcW w:type="dxa" w:w="9638"/>
            <w:gridSpan w:val="2"/>
            <w:tcBorders>
              <w:top w:val="single" w:color="BFC9D9" w:sz="4"/>
              <w:left w:val="single" w:color="BFC9D9" w:sz="4"/>
              <w:bottom w:val="single" w:color="BFC9D9" w:sz="4"/>
              <w:right w:val="single" w:color="BFC9D9" w:sz="4"/>
            </w:tcBorders>
            <w:shd w:fill="2E5597" w:color="auto" w:val="clear"/>
            <w:tcMar>
              <w:top w:type="dxa" w:w="70"/>
              <w:left w:type="dxa" w:w="110"/>
              <w:bottom w:type="dxa" w:w="70"/>
              <w:right w:type="dxa" w:w="110"/>
            </w:tcMar>
            <w:vAlign w:val="top"/>
          </w:tcPr>
          <w:p>
            <w:pPr>
              <w:keepNext/>
            </w:pPr>
            <w:r>
              <w:rPr>
                <w:b/>
                <w:bCs/>
                <w:color w:val="FFFFFF"/>
                <w:sz w:val="21"/>
                <w:szCs w:val="21"/>
              </w:rPr>
              <w:t xml:space="preserve">M3  </w:t>
            </w:r>
            <w:r>
              <w:rPr>
                <w:b/>
                <w:bCs/>
                <w:color w:val="FFFFFF"/>
                <w:sz w:val="21"/>
                <w:szCs w:val="21"/>
              </w:rPr>
              <w:t xml:space="preserve">Valeurs p et intervalles de confiance incompatibles avec les données</w:t>
            </w:r>
          </w:p>
        </w:tc>
      </w:tr>
      <w:tr>
        <w:tc>
          <w:tcPr>
            <w:tcW w:type="dxa" w:w="1900"/>
            <w:tcBorders>
              <w:top w:val="single" w:color="BFC9D9" w:sz="4"/>
              <w:left w:val="single" w:color="BFC9D9" w:sz="4"/>
              <w:bottom w:val="single" w:color="BFC9D9" w:sz="4"/>
              <w:right w:val="single" w:color="BFC9D9" w:sz="4"/>
            </w:tcBorders>
            <w:shd w:fill="EEF2F8" w:color="auto" w:val="clear"/>
            <w:tcMar>
              <w:top w:type="dxa" w:w="70"/>
              <w:left w:type="dxa" w:w="110"/>
              <w:bottom w:type="dxa" w:w="70"/>
              <w:right w:type="dxa" w:w="110"/>
            </w:tcMar>
            <w:vAlign w:val="top"/>
          </w:tcPr>
          <w:p>
            <w:pPr>
              <w:keepNext w:val="false"/>
              <w:keepLines/>
              <w:spacing w:after="40" w:line="252"/>
              <w:jc w:val="left"/>
            </w:pPr>
            <w:r>
              <w:rPr>
                <w:b/>
                <w:bCs/>
                <w:color w:val="1F3864"/>
                <w:sz w:val="19"/>
                <w:szCs w:val="19"/>
              </w:rPr>
              <w:t xml:space="preserve">Priorité</w:t>
            </w:r>
          </w:p>
        </w:tc>
        <w:tc>
          <w:tcPr>
            <w:tcW w:type="dxa" w:w="7738"/>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pPr>
            <w:r>
              <w:rPr>
                <w:b/>
                <w:bCs/>
                <w:color w:val="C00000"/>
                <w:sz w:val="19"/>
                <w:szCs w:val="19"/>
              </w:rPr>
              <w:t xml:space="preserve">Critique</w:t>
            </w:r>
            <w:r>
              <w:rPr>
                <w:color w:val="595959"/>
                <w:sz w:val="19"/>
                <w:szCs w:val="19"/>
              </w:rPr>
              <w:t xml:space="preserve">     Source : </w:t>
            </w:r>
            <w:r>
              <w:rPr>
                <w:sz w:val="19"/>
                <w:szCs w:val="19"/>
              </w:rPr>
              <w:t xml:space="preserve">Claude ; Dir. corr. point 10 (pour la durabilité)</w:t>
            </w:r>
          </w:p>
        </w:tc>
      </w:tr>
      <w:tr>
        <w:trPr>
          <w:cantSplit/>
        </w:trPr>
        <w:tc>
          <w:tcPr>
            <w:tcW w:type="dxa" w:w="1900"/>
            <w:tcBorders>
              <w:top w:val="single" w:color="BFC9D9" w:sz="4"/>
              <w:left w:val="single" w:color="BFC9D9" w:sz="4"/>
              <w:bottom w:val="single" w:color="BFC9D9" w:sz="4"/>
              <w:right w:val="single" w:color="BFC9D9" w:sz="4"/>
            </w:tcBorders>
            <w:shd w:fill="EEF2F8" w:color="auto" w:val="clear"/>
            <w:tcMar>
              <w:top w:type="dxa" w:w="70"/>
              <w:left w:type="dxa" w:w="110"/>
              <w:bottom w:type="dxa" w:w="70"/>
              <w:right w:type="dxa" w:w="110"/>
            </w:tcMar>
            <w:vAlign w:val="top"/>
          </w:tcPr>
          <w:p>
            <w:pPr>
              <w:keepNext/>
              <w:keepLines/>
              <w:spacing w:after="40" w:line="252"/>
              <w:jc w:val="left"/>
            </w:pPr>
            <w:r>
              <w:rPr>
                <w:b/>
                <w:bCs/>
                <w:color w:val="1F3864"/>
                <w:sz w:val="19"/>
                <w:szCs w:val="19"/>
              </w:rPr>
              <w:t xml:space="preserve">Constat</w:t>
            </w:r>
          </w:p>
        </w:tc>
        <w:tc>
          <w:tcPr>
            <w:tcW w:type="dxa" w:w="7738"/>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keepLines/>
              <w:spacing w:after="40" w:line="252"/>
              <w:jc w:val="left"/>
            </w:pPr>
            <w:r>
              <w:rPr>
                <w:sz w:val="19"/>
                <w:szCs w:val="19"/>
              </w:rPr>
              <w:t xml:space="preserve">PPO contre Affectation fixe en nominal : écart de 105 t/h, écarts-types 64 et 43, n = 30. On obtient t ≈ 7,5, donc p de l'ordre de 10⁻⁹, et non 4 × 10⁻¹⁸. Pour le carburant, d = 3,5 avec n = 30 donne p de l'ordre de 10⁻¹⁹, et non 3 × 10⁻⁴⁶ (même constat pour 2,9 × 10⁻⁵⁸). À l'inverse, DQN contre PPO en fortes pannes donne p ≈ 0,02 avant correction, et non 5,4 × 10⁻⁴. Les intervalles de confiance du tableau tab:stats sont environ 30 % trop étroits.</w:t>
            </w:r>
          </w:p>
        </w:tc>
      </w:tr>
      <w:tr>
        <w:trPr>
          <w:cantSplit/>
        </w:trPr>
        <w:tc>
          <w:tcPr>
            <w:tcW w:type="dxa" w:w="1900"/>
            <w:tcBorders>
              <w:top w:val="single" w:color="BFC9D9" w:sz="4"/>
              <w:left w:val="single" w:color="BFC9D9" w:sz="4"/>
              <w:bottom w:val="single" w:color="BFC9D9" w:sz="4"/>
              <w:right w:val="single" w:color="BFC9D9" w:sz="4"/>
            </w:tcBorders>
            <w:shd w:fill="EEF2F8" w:color="auto" w:val="clear"/>
            <w:tcMar>
              <w:top w:type="dxa" w:w="70"/>
              <w:left w:type="dxa" w:w="110"/>
              <w:bottom w:type="dxa" w:w="70"/>
              <w:right w:type="dxa" w:w="110"/>
            </w:tcMar>
            <w:vAlign w:val="top"/>
          </w:tcPr>
          <w:p>
            <w:pPr>
              <w:keepNext w:val="false"/>
              <w:keepLines/>
              <w:spacing w:after="40" w:line="252"/>
              <w:jc w:val="left"/>
            </w:pPr>
            <w:r>
              <w:rPr>
                <w:b/>
                <w:bCs/>
                <w:color w:val="1F3864"/>
                <w:sz w:val="19"/>
                <w:szCs w:val="19"/>
              </w:rPr>
              <w:t xml:space="preserve">Pourquoi c'est grave</w:t>
            </w:r>
          </w:p>
        </w:tc>
        <w:tc>
          <w:tcPr>
            <w:tcW w:type="dxa" w:w="7738"/>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Ces écarts suggèrent que les tests ont été faits sur des observations par cycle ou par décision plutôt que par réplication (pseudo-réplication), ou que les « ± » ne sont pas des écarts-types. Un relecteur statisticien qui refait le calcul jugera l'ensemble de l'inférence non fiable. L'argument « Welch significatif mais Dunn trop conservateur » utilisé pour défendre DQN s'effondre également.</w:t>
            </w:r>
          </w:p>
        </w:tc>
      </w:tr>
      <w:tr>
        <w:trPr>
          <w:cantSplit/>
        </w:trPr>
        <w:tc>
          <w:tcPr>
            <w:tcW w:type="dxa" w:w="1900"/>
            <w:tcBorders>
              <w:top w:val="single" w:color="BFC9D9" w:sz="4"/>
              <w:left w:val="single" w:color="BFC9D9" w:sz="4"/>
              <w:bottom w:val="single" w:color="BFC9D9" w:sz="4"/>
              <w:right w:val="single" w:color="BFC9D9" w:sz="4"/>
            </w:tcBorders>
            <w:shd w:fill="EEF2F8" w:color="auto" w:val="clear"/>
            <w:tcMar>
              <w:top w:type="dxa" w:w="70"/>
              <w:left w:type="dxa" w:w="110"/>
              <w:bottom w:type="dxa" w:w="70"/>
              <w:right w:type="dxa" w:w="110"/>
            </w:tcMar>
            <w:vAlign w:val="top"/>
          </w:tcPr>
          <w:p>
            <w:pPr>
              <w:keepNext w:val="false"/>
              <w:keepLines/>
              <w:spacing w:after="40" w:line="252"/>
              <w:jc w:val="left"/>
            </w:pPr>
            <w:r>
              <w:rPr>
                <w:b/>
                <w:bCs/>
                <w:color w:val="1F3864"/>
                <w:sz w:val="19"/>
                <w:szCs w:val="19"/>
              </w:rPr>
              <w:t xml:space="preserve">Action corrective</w:t>
            </w:r>
          </w:p>
        </w:tc>
        <w:tc>
          <w:tcPr>
            <w:tcW w:type="dxa" w:w="7738"/>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1. Vérifier dans les scripts l'unité statistique : une valeur par réplication (n = 30) pour chaque politique et scénario.</w:t>
            </w:r>
          </w:p>
          <w:p>
            <w:pPr>
              <w:keepNext w:val="false"/>
              <w:keepLines/>
              <w:spacing w:after="40" w:line="252"/>
              <w:jc w:val="left"/>
            </w:pPr>
            <w:r>
              <w:rPr>
                <w:sz w:val="19"/>
                <w:szCs w:val="19"/>
              </w:rPr>
              <w:t xml:space="preserve">2. Vérifier que les « ± » rapportés sont bien des écarts-types (et non des erreurs-types ou des écarts-types par cycle).</w:t>
            </w:r>
          </w:p>
          <w:p>
            <w:pPr>
              <w:keepNext w:val="false"/>
              <w:keepLines/>
              <w:spacing w:after="40" w:line="252"/>
              <w:jc w:val="left"/>
            </w:pPr>
            <w:r>
              <w:rPr>
                <w:sz w:val="19"/>
                <w:szCs w:val="19"/>
              </w:rPr>
              <w:t xml:space="preserve">3. Recalculer toutes les valeurs p, tailles d'effet et intervalles au niveau des réplications.</w:t>
            </w:r>
          </w:p>
          <w:p>
            <w:pPr>
              <w:keepNext w:val="false"/>
              <w:keepLines/>
              <w:spacing w:after="40" w:line="252"/>
              <w:jc w:val="left"/>
            </w:pPr>
            <w:r>
              <w:rPr>
                <w:sz w:val="19"/>
                <w:szCs w:val="19"/>
              </w:rPr>
              <w:t xml:space="preserve">4. Fournir en matériel supplémentaire un CSV avec une ligne par (politique, scénario, réplication).</w:t>
            </w:r>
          </w:p>
          <w:p>
            <w:pPr>
              <w:keepNext w:val="false"/>
              <w:keepLines/>
              <w:spacing w:after="40" w:line="252"/>
              <w:jc w:val="left"/>
            </w:pPr>
            <w:r>
              <w:rPr>
                <w:sz w:val="19"/>
                <w:szCs w:val="19"/>
              </w:rPr>
              <w:t xml:space="preserve">5. Rapporter les valeurs p très faibles sous la forme « p &lt; 0,001 » dans le texte.</w:t>
            </w:r>
          </w:p>
        </w:tc>
      </w:tr>
      <w:tr>
        <w:trPr>
          <w:cantSplit/>
        </w:trPr>
        <w:tc>
          <w:tcPr>
            <w:tcW w:type="dxa" w:w="1900"/>
            <w:tcBorders>
              <w:top w:val="single" w:color="BFC9D9" w:sz="4"/>
              <w:left w:val="single" w:color="BFC9D9" w:sz="4"/>
              <w:bottom w:val="single" w:color="BFC9D9" w:sz="4"/>
              <w:right w:val="single" w:color="BFC9D9" w:sz="4"/>
            </w:tcBorders>
            <w:shd w:fill="EEF2F8" w:color="auto" w:val="clear"/>
            <w:tcMar>
              <w:top w:type="dxa" w:w="70"/>
              <w:left w:type="dxa" w:w="110"/>
              <w:bottom w:type="dxa" w:w="70"/>
              <w:right w:type="dxa" w:w="110"/>
            </w:tcMar>
            <w:vAlign w:val="top"/>
          </w:tcPr>
          <w:p>
            <w:pPr>
              <w:keepNext w:val="false"/>
              <w:keepLines/>
              <w:spacing w:after="40" w:line="252"/>
              <w:jc w:val="left"/>
            </w:pPr>
            <w:r>
              <w:rPr>
                <w:b/>
                <w:bCs/>
                <w:color w:val="1F3864"/>
                <w:sz w:val="19"/>
                <w:szCs w:val="19"/>
              </w:rPr>
              <w:t xml:space="preserve">Où dans le .tex</w:t>
            </w:r>
          </w:p>
        </w:tc>
        <w:tc>
          <w:tcPr>
            <w:tcW w:type="dxa" w:w="7738"/>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§7.4 Significativité statistique ; tableau tab:stats ; §8.3 Durabilité ; conclusion ; abstract.</w:t>
            </w:r>
          </w:p>
        </w:tc>
      </w:tr>
      <w:tr>
        <w:trPr>
          <w:cantSplit/>
        </w:trPr>
        <w:tc>
          <w:tcPr>
            <w:tcW w:type="dxa" w:w="1900"/>
            <w:tcBorders>
              <w:top w:val="single" w:color="BFC9D9" w:sz="4"/>
              <w:left w:val="single" w:color="BFC9D9" w:sz="4"/>
              <w:bottom w:val="single" w:color="BFC9D9" w:sz="4"/>
              <w:right w:val="single" w:color="BFC9D9" w:sz="4"/>
            </w:tcBorders>
            <w:shd w:fill="EEF2F8" w:color="auto" w:val="clear"/>
            <w:tcMar>
              <w:top w:type="dxa" w:w="70"/>
              <w:left w:type="dxa" w:w="110"/>
              <w:bottom w:type="dxa" w:w="70"/>
              <w:right w:type="dxa" w:w="110"/>
            </w:tcMar>
            <w:vAlign w:val="top"/>
          </w:tcPr>
          <w:p>
            <w:pPr>
              <w:keepNext w:val="false"/>
              <w:keepLines/>
              <w:spacing w:after="40" w:line="252"/>
              <w:jc w:val="left"/>
            </w:pPr>
            <w:r>
              <w:rPr>
                <w:b/>
                <w:bCs/>
                <w:color w:val="1F3864"/>
                <w:sz w:val="19"/>
                <w:szCs w:val="19"/>
              </w:rPr>
              <w:t xml:space="preserve">Statut</w:t>
            </w:r>
          </w:p>
        </w:tc>
        <w:tc>
          <w:tcPr>
            <w:tcW w:type="dxa" w:w="7738"/>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 À faire     ☐ En cours     ☐ Fait     Notes : ……………………………………………</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rPr>
        <w:tc>
          <w:tcPr>
            <w:tcW w:type="dxa" w:w="9638"/>
            <w:gridSpan w:val="2"/>
            <w:tcBorders>
              <w:top w:val="single" w:color="BFC9D9" w:sz="4"/>
              <w:left w:val="single" w:color="BFC9D9" w:sz="4"/>
              <w:bottom w:val="single" w:color="BFC9D9" w:sz="4"/>
              <w:right w:val="single" w:color="BFC9D9" w:sz="4"/>
            </w:tcBorders>
            <w:shd w:fill="2E5597" w:color="auto" w:val="clear"/>
            <w:tcMar>
              <w:top w:type="dxa" w:w="70"/>
              <w:left w:type="dxa" w:w="110"/>
              <w:bottom w:type="dxa" w:w="70"/>
              <w:right w:type="dxa" w:w="110"/>
            </w:tcMar>
            <w:vAlign w:val="top"/>
          </w:tcPr>
          <w:p>
            <w:pPr>
              <w:keepNext/>
            </w:pPr>
            <w:r>
              <w:rPr>
                <w:b/>
                <w:bCs/>
                <w:color w:val="FFFFFF"/>
                <w:sz w:val="21"/>
                <w:szCs w:val="21"/>
              </w:rPr>
              <w:t xml:space="preserve">M4  </w:t>
            </w:r>
            <w:r>
              <w:rPr>
                <w:b/>
                <w:bCs/>
                <w:color w:val="FFFFFF"/>
                <w:sz w:val="21"/>
                <w:szCs w:val="21"/>
              </w:rPr>
              <w:t xml:space="preserve">Graines communes : les données sont appariées, les tests ne le sont pas</w:t>
            </w:r>
          </w:p>
        </w:tc>
      </w:tr>
      <w:tr>
        <w:tc>
          <w:tcPr>
            <w:tcW w:type="dxa" w:w="1900"/>
            <w:tcBorders>
              <w:top w:val="single" w:color="BFC9D9" w:sz="4"/>
              <w:left w:val="single" w:color="BFC9D9" w:sz="4"/>
              <w:bottom w:val="single" w:color="BFC9D9" w:sz="4"/>
              <w:right w:val="single" w:color="BFC9D9" w:sz="4"/>
            </w:tcBorders>
            <w:shd w:fill="EEF2F8" w:color="auto" w:val="clear"/>
            <w:tcMar>
              <w:top w:type="dxa" w:w="70"/>
              <w:left w:type="dxa" w:w="110"/>
              <w:bottom w:type="dxa" w:w="70"/>
              <w:right w:type="dxa" w:w="110"/>
            </w:tcMar>
            <w:vAlign w:val="top"/>
          </w:tcPr>
          <w:p>
            <w:pPr>
              <w:keepNext w:val="false"/>
              <w:keepLines/>
              <w:spacing w:after="40" w:line="252"/>
              <w:jc w:val="left"/>
            </w:pPr>
            <w:r>
              <w:rPr>
                <w:b/>
                <w:bCs/>
                <w:color w:val="1F3864"/>
                <w:sz w:val="19"/>
                <w:szCs w:val="19"/>
              </w:rPr>
              <w:t xml:space="preserve">Priorité</w:t>
            </w:r>
          </w:p>
        </w:tc>
        <w:tc>
          <w:tcPr>
            <w:tcW w:type="dxa" w:w="7738"/>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pPr>
            <w:r>
              <w:rPr>
                <w:b/>
                <w:bCs/>
                <w:color w:val="C00000"/>
                <w:sz w:val="19"/>
                <w:szCs w:val="19"/>
              </w:rPr>
              <w:t xml:space="preserve">Critique</w:t>
            </w:r>
            <w:r>
              <w:rPr>
                <w:color w:val="595959"/>
                <w:sz w:val="19"/>
                <w:szCs w:val="19"/>
              </w:rPr>
              <w:t xml:space="preserve">     Source : </w:t>
            </w:r>
            <w:r>
              <w:rPr>
                <w:sz w:val="19"/>
                <w:szCs w:val="19"/>
              </w:rPr>
              <w:t xml:space="preserve">Claude, GPT (« le point statistique le plus important »)</w:t>
            </w:r>
          </w:p>
        </w:tc>
      </w:tr>
      <w:tr>
        <w:trPr>
          <w:cantSplit/>
        </w:trPr>
        <w:tc>
          <w:tcPr>
            <w:tcW w:type="dxa" w:w="1900"/>
            <w:tcBorders>
              <w:top w:val="single" w:color="BFC9D9" w:sz="4"/>
              <w:left w:val="single" w:color="BFC9D9" w:sz="4"/>
              <w:bottom w:val="single" w:color="BFC9D9" w:sz="4"/>
              <w:right w:val="single" w:color="BFC9D9" w:sz="4"/>
            </w:tcBorders>
            <w:shd w:fill="EEF2F8" w:color="auto" w:val="clear"/>
            <w:tcMar>
              <w:top w:type="dxa" w:w="70"/>
              <w:left w:type="dxa" w:w="110"/>
              <w:bottom w:type="dxa" w:w="70"/>
              <w:right w:type="dxa" w:w="110"/>
            </w:tcMar>
            <w:vAlign w:val="top"/>
          </w:tcPr>
          <w:p>
            <w:pPr>
              <w:keepNext/>
              <w:keepLines/>
              <w:spacing w:after="40" w:line="252"/>
              <w:jc w:val="left"/>
            </w:pPr>
            <w:r>
              <w:rPr>
                <w:b/>
                <w:bCs/>
                <w:color w:val="1F3864"/>
                <w:sz w:val="19"/>
                <w:szCs w:val="19"/>
              </w:rPr>
              <w:t xml:space="preserve">Constat</w:t>
            </w:r>
          </w:p>
        </w:tc>
        <w:tc>
          <w:tcPr>
            <w:tcW w:type="dxa" w:w="7738"/>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keepLines/>
              <w:spacing w:after="40" w:line="252"/>
              <w:jc w:val="left"/>
            </w:pPr>
            <w:r>
              <w:rPr>
                <w:sz w:val="19"/>
                <w:szCs w:val="19"/>
              </w:rPr>
              <w:t xml:space="preserve">Les mêmes graines sont utilisées pour toutes les politiques dans chaque réplication. Les observations sont donc appariées par réplication. Pourtant, l'ANOVA de Welch, Kruskal–Wallis, les tests t de Welch et Dunn traitent les groupes comme indépendants.</w:t>
            </w:r>
          </w:p>
        </w:tc>
      </w:tr>
      <w:tr>
        <w:trPr>
          <w:cantSplit/>
        </w:trPr>
        <w:tc>
          <w:tcPr>
            <w:tcW w:type="dxa" w:w="1900"/>
            <w:tcBorders>
              <w:top w:val="single" w:color="BFC9D9" w:sz="4"/>
              <w:left w:val="single" w:color="BFC9D9" w:sz="4"/>
              <w:bottom w:val="single" w:color="BFC9D9" w:sz="4"/>
              <w:right w:val="single" w:color="BFC9D9" w:sz="4"/>
            </w:tcBorders>
            <w:shd w:fill="EEF2F8" w:color="auto" w:val="clear"/>
            <w:tcMar>
              <w:top w:type="dxa" w:w="70"/>
              <w:left w:type="dxa" w:w="110"/>
              <w:bottom w:type="dxa" w:w="70"/>
              <w:right w:type="dxa" w:w="110"/>
            </w:tcMar>
            <w:vAlign w:val="top"/>
          </w:tcPr>
          <w:p>
            <w:pPr>
              <w:keepNext w:val="false"/>
              <w:keepLines/>
              <w:spacing w:after="40" w:line="252"/>
              <w:jc w:val="left"/>
            </w:pPr>
            <w:r>
              <w:rPr>
                <w:b/>
                <w:bCs/>
                <w:color w:val="1F3864"/>
                <w:sz w:val="19"/>
                <w:szCs w:val="19"/>
              </w:rPr>
              <w:t xml:space="preserve">Pourquoi c'est grave</w:t>
            </w:r>
          </w:p>
        </w:tc>
        <w:tc>
          <w:tcPr>
            <w:tcW w:type="dxa" w:w="7738"/>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Le cadre inférentiel n'est pas aligné avec le plan expérimental, et l'on perd la réduction de variance que les graines communes visent justement à obtenir. Objection quasi certaine d'un relecteur.</w:t>
            </w:r>
          </w:p>
        </w:tc>
      </w:tr>
      <w:tr>
        <w:trPr>
          <w:cantSplit/>
        </w:trPr>
        <w:tc>
          <w:tcPr>
            <w:tcW w:type="dxa" w:w="1900"/>
            <w:tcBorders>
              <w:top w:val="single" w:color="BFC9D9" w:sz="4"/>
              <w:left w:val="single" w:color="BFC9D9" w:sz="4"/>
              <w:bottom w:val="single" w:color="BFC9D9" w:sz="4"/>
              <w:right w:val="single" w:color="BFC9D9" w:sz="4"/>
            </w:tcBorders>
            <w:shd w:fill="EEF2F8" w:color="auto" w:val="clear"/>
            <w:tcMar>
              <w:top w:type="dxa" w:w="70"/>
              <w:left w:type="dxa" w:w="110"/>
              <w:bottom w:type="dxa" w:w="70"/>
              <w:right w:type="dxa" w:w="110"/>
            </w:tcMar>
            <w:vAlign w:val="top"/>
          </w:tcPr>
          <w:p>
            <w:pPr>
              <w:keepNext w:val="false"/>
              <w:keepLines/>
              <w:spacing w:after="40" w:line="252"/>
              <w:jc w:val="left"/>
            </w:pPr>
            <w:r>
              <w:rPr>
                <w:b/>
                <w:bCs/>
                <w:color w:val="1F3864"/>
                <w:sz w:val="19"/>
                <w:szCs w:val="19"/>
              </w:rPr>
              <w:t xml:space="preserve">Action corrective</w:t>
            </w:r>
          </w:p>
        </w:tc>
        <w:tc>
          <w:tcPr>
            <w:tcW w:type="dxa" w:w="7738"/>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1. Conserver les graines communes et traiter les réplications comme des blocs (option recommandée par GPT et moi).</w:t>
            </w:r>
          </w:p>
          <w:p>
            <w:pPr>
              <w:keepNext w:val="false"/>
              <w:keepLines/>
              <w:spacing w:after="40" w:line="252"/>
              <w:jc w:val="left"/>
            </w:pPr>
            <w:r>
              <w:rPr>
                <w:sz w:val="19"/>
                <w:szCs w:val="19"/>
              </w:rPr>
              <w:t xml:space="preserve">2. Omnibus : test de Friedman (non paramétrique) ou ANOVA à mesures répétées / modèle mixte.</w:t>
            </w:r>
          </w:p>
          <w:p>
            <w:pPr>
              <w:keepNext w:val="false"/>
              <w:keepLines/>
              <w:spacing w:after="40" w:line="252"/>
              <w:jc w:val="left"/>
            </w:pPr>
            <w:r>
              <w:rPr>
                <w:sz w:val="19"/>
                <w:szCs w:val="19"/>
              </w:rPr>
              <w:t xml:space="preserve">3. Comparaisons par paires : test de Wilcoxon signé-rang ou test t apparié, avec correction de Holm ; post-hoc de Nemenyi ou Conover après Friedman (Demšar, 2006).</w:t>
            </w:r>
          </w:p>
          <w:p>
            <w:pPr>
              <w:keepNext w:val="false"/>
              <w:keepLines/>
              <w:spacing w:after="40" w:line="252"/>
              <w:jc w:val="left"/>
            </w:pPr>
            <w:r>
              <w:rPr>
                <w:sz w:val="19"/>
                <w:szCs w:val="19"/>
              </w:rPr>
              <w:t xml:space="preserve">4. Intervalles de confiance bootstrap appariés sur les différences.</w:t>
            </w:r>
          </w:p>
          <w:p>
            <w:pPr>
              <w:keepNext w:val="false"/>
              <w:keepLines/>
              <w:spacing w:after="40" w:line="252"/>
              <w:jc w:val="left"/>
            </w:pPr>
            <w:r>
              <w:rPr>
                <w:sz w:val="19"/>
                <w:szCs w:val="19"/>
              </w:rPr>
              <w:t xml:space="preserve">5. Préciser l'implémentation : un flux aléatoire séparé et synchronisé par processus stochastique (pannes, trajets, chargements). Sans cela, l'affirmation « une panne survient à la même minute pour PPO que pour FIFO » est fausse dès la première décision différente.</w:t>
            </w:r>
          </w:p>
        </w:tc>
      </w:tr>
      <w:tr>
        <w:trPr>
          <w:cantSplit/>
        </w:trPr>
        <w:tc>
          <w:tcPr>
            <w:tcW w:type="dxa" w:w="1900"/>
            <w:tcBorders>
              <w:top w:val="single" w:color="BFC9D9" w:sz="4"/>
              <w:left w:val="single" w:color="BFC9D9" w:sz="4"/>
              <w:bottom w:val="single" w:color="BFC9D9" w:sz="4"/>
              <w:right w:val="single" w:color="BFC9D9" w:sz="4"/>
            </w:tcBorders>
            <w:shd w:fill="EEF2F8" w:color="auto" w:val="clear"/>
            <w:tcMar>
              <w:top w:type="dxa" w:w="70"/>
              <w:left w:type="dxa" w:w="110"/>
              <w:bottom w:type="dxa" w:w="70"/>
              <w:right w:type="dxa" w:w="110"/>
            </w:tcMar>
            <w:vAlign w:val="top"/>
          </w:tcPr>
          <w:p>
            <w:pPr>
              <w:keepNext w:val="false"/>
              <w:keepLines/>
              <w:spacing w:after="40" w:line="252"/>
              <w:jc w:val="left"/>
            </w:pPr>
            <w:r>
              <w:rPr>
                <w:b/>
                <w:bCs/>
                <w:color w:val="1F3864"/>
                <w:sz w:val="19"/>
                <w:szCs w:val="19"/>
              </w:rPr>
              <w:t xml:space="preserve">Où dans le .tex</w:t>
            </w:r>
          </w:p>
        </w:tc>
        <w:tc>
          <w:tcPr>
            <w:tcW w:type="dxa" w:w="7738"/>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§6.4 Protocole statistique ; §7.4 ; tableau tab:stats ; conclusion (description du protocole).</w:t>
            </w:r>
          </w:p>
        </w:tc>
      </w:tr>
      <w:tr>
        <w:trPr>
          <w:cantSplit/>
        </w:trPr>
        <w:tc>
          <w:tcPr>
            <w:tcW w:type="dxa" w:w="1900"/>
            <w:tcBorders>
              <w:top w:val="single" w:color="BFC9D9" w:sz="4"/>
              <w:left w:val="single" w:color="BFC9D9" w:sz="4"/>
              <w:bottom w:val="single" w:color="BFC9D9" w:sz="4"/>
              <w:right w:val="single" w:color="BFC9D9" w:sz="4"/>
            </w:tcBorders>
            <w:shd w:fill="EEF2F8" w:color="auto" w:val="clear"/>
            <w:tcMar>
              <w:top w:type="dxa" w:w="70"/>
              <w:left w:type="dxa" w:w="110"/>
              <w:bottom w:type="dxa" w:w="70"/>
              <w:right w:type="dxa" w:w="110"/>
            </w:tcMar>
            <w:vAlign w:val="top"/>
          </w:tcPr>
          <w:p>
            <w:pPr>
              <w:keepNext w:val="false"/>
              <w:keepLines/>
              <w:spacing w:after="40" w:line="252"/>
              <w:jc w:val="left"/>
            </w:pPr>
            <w:r>
              <w:rPr>
                <w:b/>
                <w:bCs/>
                <w:color w:val="1F3864"/>
                <w:sz w:val="19"/>
                <w:szCs w:val="19"/>
              </w:rPr>
              <w:t xml:space="preserve">Statut</w:t>
            </w:r>
          </w:p>
        </w:tc>
        <w:tc>
          <w:tcPr>
            <w:tcW w:type="dxa" w:w="7738"/>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 À faire     ☐ En cours     ☐ Fait     Notes : ……………………………………………</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rPr>
        <w:tc>
          <w:tcPr>
            <w:tcW w:type="dxa" w:w="9638"/>
            <w:gridSpan w:val="2"/>
            <w:tcBorders>
              <w:top w:val="single" w:color="BFC9D9" w:sz="4"/>
              <w:left w:val="single" w:color="BFC9D9" w:sz="4"/>
              <w:bottom w:val="single" w:color="BFC9D9" w:sz="4"/>
              <w:right w:val="single" w:color="BFC9D9" w:sz="4"/>
            </w:tcBorders>
            <w:shd w:fill="2E5597" w:color="auto" w:val="clear"/>
            <w:tcMar>
              <w:top w:type="dxa" w:w="70"/>
              <w:left w:type="dxa" w:w="110"/>
              <w:bottom w:type="dxa" w:w="70"/>
              <w:right w:type="dxa" w:w="110"/>
            </w:tcMar>
            <w:vAlign w:val="top"/>
          </w:tcPr>
          <w:p>
            <w:pPr>
              <w:keepNext/>
            </w:pPr>
            <w:r>
              <w:rPr>
                <w:b/>
                <w:bCs/>
                <w:color w:val="FFFFFF"/>
                <w:sz w:val="21"/>
                <w:szCs w:val="21"/>
              </w:rPr>
              <w:t xml:space="preserve">M5  </w:t>
            </w:r>
            <w:r>
              <w:rPr>
                <w:b/>
                <w:bCs/>
                <w:color w:val="FFFFFF"/>
                <w:sz w:val="21"/>
                <w:szCs w:val="21"/>
              </w:rPr>
              <w:t xml:space="preserve">Tester directement l'interaction politique × régime</w:t>
            </w:r>
          </w:p>
        </w:tc>
      </w:tr>
      <w:tr>
        <w:tc>
          <w:tcPr>
            <w:tcW w:type="dxa" w:w="1900"/>
            <w:tcBorders>
              <w:top w:val="single" w:color="BFC9D9" w:sz="4"/>
              <w:left w:val="single" w:color="BFC9D9" w:sz="4"/>
              <w:bottom w:val="single" w:color="BFC9D9" w:sz="4"/>
              <w:right w:val="single" w:color="BFC9D9" w:sz="4"/>
            </w:tcBorders>
            <w:shd w:fill="EEF2F8" w:color="auto" w:val="clear"/>
            <w:tcMar>
              <w:top w:type="dxa" w:w="70"/>
              <w:left w:type="dxa" w:w="110"/>
              <w:bottom w:type="dxa" w:w="70"/>
              <w:right w:type="dxa" w:w="110"/>
            </w:tcMar>
            <w:vAlign w:val="top"/>
          </w:tcPr>
          <w:p>
            <w:pPr>
              <w:keepNext w:val="false"/>
              <w:keepLines/>
              <w:spacing w:after="40" w:line="252"/>
              <w:jc w:val="left"/>
            </w:pPr>
            <w:r>
              <w:rPr>
                <w:b/>
                <w:bCs/>
                <w:color w:val="1F3864"/>
                <w:sz w:val="19"/>
                <w:szCs w:val="19"/>
              </w:rPr>
              <w:t xml:space="preserve">Priorité</w:t>
            </w:r>
          </w:p>
        </w:tc>
        <w:tc>
          <w:tcPr>
            <w:tcW w:type="dxa" w:w="7738"/>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pPr>
            <w:r>
              <w:rPr>
                <w:b/>
                <w:bCs/>
                <w:color w:val="E26B0A"/>
                <w:sz w:val="19"/>
                <w:szCs w:val="19"/>
              </w:rPr>
              <w:t xml:space="preserve">Élevée</w:t>
            </w:r>
            <w:r>
              <w:rPr>
                <w:color w:val="595959"/>
                <w:sz w:val="19"/>
                <w:szCs w:val="19"/>
              </w:rPr>
              <w:t xml:space="preserve">     Source : </w:t>
            </w:r>
            <w:r>
              <w:rPr>
                <w:sz w:val="19"/>
                <w:szCs w:val="19"/>
              </w:rPr>
              <w:t xml:space="preserve">GPT</w:t>
            </w:r>
          </w:p>
        </w:tc>
      </w:tr>
      <w:tr>
        <w:trPr>
          <w:cantSplit/>
        </w:trPr>
        <w:tc>
          <w:tcPr>
            <w:tcW w:type="dxa" w:w="1900"/>
            <w:tcBorders>
              <w:top w:val="single" w:color="BFC9D9" w:sz="4"/>
              <w:left w:val="single" w:color="BFC9D9" w:sz="4"/>
              <w:bottom w:val="single" w:color="BFC9D9" w:sz="4"/>
              <w:right w:val="single" w:color="BFC9D9" w:sz="4"/>
            </w:tcBorders>
            <w:shd w:fill="EEF2F8" w:color="auto" w:val="clear"/>
            <w:tcMar>
              <w:top w:type="dxa" w:w="70"/>
              <w:left w:type="dxa" w:w="110"/>
              <w:bottom w:type="dxa" w:w="70"/>
              <w:right w:type="dxa" w:w="110"/>
            </w:tcMar>
            <w:vAlign w:val="top"/>
          </w:tcPr>
          <w:p>
            <w:pPr>
              <w:keepNext/>
              <w:keepLines/>
              <w:spacing w:after="40" w:line="252"/>
              <w:jc w:val="left"/>
            </w:pPr>
            <w:r>
              <w:rPr>
                <w:b/>
                <w:bCs/>
                <w:color w:val="1F3864"/>
                <w:sz w:val="19"/>
                <w:szCs w:val="19"/>
              </w:rPr>
              <w:t xml:space="preserve">Constat</w:t>
            </w:r>
          </w:p>
        </w:tc>
        <w:tc>
          <w:tcPr>
            <w:tcW w:type="dxa" w:w="7738"/>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keepLines/>
              <w:spacing w:after="40" w:line="252"/>
              <w:jc w:val="left"/>
            </w:pPr>
            <w:r>
              <w:rPr>
                <w:sz w:val="19"/>
                <w:szCs w:val="19"/>
              </w:rPr>
              <w:t xml:space="preserve">L'hypothèse H3 (« aucune politique ne domine dans tous les régimes ») est la thèse centrale, mais chaque scénario est analysé séparément.</w:t>
            </w:r>
          </w:p>
        </w:tc>
      </w:tr>
      <w:tr>
        <w:trPr>
          <w:cantSplit/>
        </w:trPr>
        <w:tc>
          <w:tcPr>
            <w:tcW w:type="dxa" w:w="1900"/>
            <w:tcBorders>
              <w:top w:val="single" w:color="BFC9D9" w:sz="4"/>
              <w:left w:val="single" w:color="BFC9D9" w:sz="4"/>
              <w:bottom w:val="single" w:color="BFC9D9" w:sz="4"/>
              <w:right w:val="single" w:color="BFC9D9" w:sz="4"/>
            </w:tcBorders>
            <w:shd w:fill="EEF2F8" w:color="auto" w:val="clear"/>
            <w:tcMar>
              <w:top w:type="dxa" w:w="70"/>
              <w:left w:type="dxa" w:w="110"/>
              <w:bottom w:type="dxa" w:w="70"/>
              <w:right w:type="dxa" w:w="110"/>
            </w:tcMar>
            <w:vAlign w:val="top"/>
          </w:tcPr>
          <w:p>
            <w:pPr>
              <w:keepNext w:val="false"/>
              <w:keepLines/>
              <w:spacing w:after="40" w:line="252"/>
              <w:jc w:val="left"/>
            </w:pPr>
            <w:r>
              <w:rPr>
                <w:b/>
                <w:bCs/>
                <w:color w:val="1F3864"/>
                <w:sz w:val="19"/>
                <w:szCs w:val="19"/>
              </w:rPr>
              <w:t xml:space="preserve">Pourquoi c'est grave</w:t>
            </w:r>
          </w:p>
        </w:tc>
        <w:tc>
          <w:tcPr>
            <w:tcW w:type="dxa" w:w="7738"/>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Sans test d'interaction, la dépendance au régime reste une lecture qualitative des tableaux.</w:t>
            </w:r>
          </w:p>
        </w:tc>
      </w:tr>
      <w:tr>
        <w:trPr>
          <w:cantSplit/>
        </w:trPr>
        <w:tc>
          <w:tcPr>
            <w:tcW w:type="dxa" w:w="1900"/>
            <w:tcBorders>
              <w:top w:val="single" w:color="BFC9D9" w:sz="4"/>
              <w:left w:val="single" w:color="BFC9D9" w:sz="4"/>
              <w:bottom w:val="single" w:color="BFC9D9" w:sz="4"/>
              <w:right w:val="single" w:color="BFC9D9" w:sz="4"/>
            </w:tcBorders>
            <w:shd w:fill="EEF2F8" w:color="auto" w:val="clear"/>
            <w:tcMar>
              <w:top w:type="dxa" w:w="70"/>
              <w:left w:type="dxa" w:w="110"/>
              <w:bottom w:type="dxa" w:w="70"/>
              <w:right w:type="dxa" w:w="110"/>
            </w:tcMar>
            <w:vAlign w:val="top"/>
          </w:tcPr>
          <w:p>
            <w:pPr>
              <w:keepNext w:val="false"/>
              <w:keepLines/>
              <w:spacing w:after="40" w:line="252"/>
              <w:jc w:val="left"/>
            </w:pPr>
            <w:r>
              <w:rPr>
                <w:b/>
                <w:bCs/>
                <w:color w:val="1F3864"/>
                <w:sz w:val="19"/>
                <w:szCs w:val="19"/>
              </w:rPr>
              <w:t xml:space="preserve">Action corrective</w:t>
            </w:r>
          </w:p>
        </w:tc>
        <w:tc>
          <w:tcPr>
            <w:tcW w:type="dxa" w:w="7738"/>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Ajuster un modèle mixte (facteurs Politique, Régime, Politique × Régime, réplication en effet aléatoire) ou une ANOVA à deux facteurs sur blocs appariés, sur la productivité normalisée par camion (voir M15).</w:t>
            </w:r>
          </w:p>
          <w:p>
            <w:pPr>
              <w:keepNext w:val="false"/>
              <w:keepLines/>
              <w:spacing w:after="40" w:line="252"/>
              <w:jc w:val="left"/>
            </w:pPr>
            <w:r>
              <w:rPr>
                <w:sz w:val="19"/>
                <w:szCs w:val="19"/>
              </w:rPr>
              <w:t xml:space="preserve">Rapporter le test de l'interaction et l'utiliser comme preuve principale de H3.</w:t>
            </w:r>
          </w:p>
        </w:tc>
      </w:tr>
      <w:tr>
        <w:trPr>
          <w:cantSplit/>
        </w:trPr>
        <w:tc>
          <w:tcPr>
            <w:tcW w:type="dxa" w:w="1900"/>
            <w:tcBorders>
              <w:top w:val="single" w:color="BFC9D9" w:sz="4"/>
              <w:left w:val="single" w:color="BFC9D9" w:sz="4"/>
              <w:bottom w:val="single" w:color="BFC9D9" w:sz="4"/>
              <w:right w:val="single" w:color="BFC9D9" w:sz="4"/>
            </w:tcBorders>
            <w:shd w:fill="EEF2F8" w:color="auto" w:val="clear"/>
            <w:tcMar>
              <w:top w:type="dxa" w:w="70"/>
              <w:left w:type="dxa" w:w="110"/>
              <w:bottom w:type="dxa" w:w="70"/>
              <w:right w:type="dxa" w:w="110"/>
            </w:tcMar>
            <w:vAlign w:val="top"/>
          </w:tcPr>
          <w:p>
            <w:pPr>
              <w:keepNext w:val="false"/>
              <w:keepLines/>
              <w:spacing w:after="40" w:line="252"/>
              <w:jc w:val="left"/>
            </w:pPr>
            <w:r>
              <w:rPr>
                <w:b/>
                <w:bCs/>
                <w:color w:val="1F3864"/>
                <w:sz w:val="19"/>
                <w:szCs w:val="19"/>
              </w:rPr>
              <w:t xml:space="preserve">Où dans le .tex</w:t>
            </w:r>
          </w:p>
        </w:tc>
        <w:tc>
          <w:tcPr>
            <w:tcW w:type="dxa" w:w="7738"/>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§6.4 ; §7.4 ; tableau de validation des hypothèses (§8).</w:t>
            </w:r>
          </w:p>
        </w:tc>
      </w:tr>
      <w:tr>
        <w:trPr>
          <w:cantSplit/>
        </w:trPr>
        <w:tc>
          <w:tcPr>
            <w:tcW w:type="dxa" w:w="1900"/>
            <w:tcBorders>
              <w:top w:val="single" w:color="BFC9D9" w:sz="4"/>
              <w:left w:val="single" w:color="BFC9D9" w:sz="4"/>
              <w:bottom w:val="single" w:color="BFC9D9" w:sz="4"/>
              <w:right w:val="single" w:color="BFC9D9" w:sz="4"/>
            </w:tcBorders>
            <w:shd w:fill="EEF2F8" w:color="auto" w:val="clear"/>
            <w:tcMar>
              <w:top w:type="dxa" w:w="70"/>
              <w:left w:type="dxa" w:w="110"/>
              <w:bottom w:type="dxa" w:w="70"/>
              <w:right w:type="dxa" w:w="110"/>
            </w:tcMar>
            <w:vAlign w:val="top"/>
          </w:tcPr>
          <w:p>
            <w:pPr>
              <w:keepNext w:val="false"/>
              <w:keepLines/>
              <w:spacing w:after="40" w:line="252"/>
              <w:jc w:val="left"/>
            </w:pPr>
            <w:r>
              <w:rPr>
                <w:b/>
                <w:bCs/>
                <w:color w:val="1F3864"/>
                <w:sz w:val="19"/>
                <w:szCs w:val="19"/>
              </w:rPr>
              <w:t xml:space="preserve">Statut</w:t>
            </w:r>
          </w:p>
        </w:tc>
        <w:tc>
          <w:tcPr>
            <w:tcW w:type="dxa" w:w="7738"/>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 À faire     ☐ En cours     ☐ Fait     Notes : ……………………………………………</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rPr>
        <w:tc>
          <w:tcPr>
            <w:tcW w:type="dxa" w:w="9638"/>
            <w:gridSpan w:val="2"/>
            <w:tcBorders>
              <w:top w:val="single" w:color="BFC9D9" w:sz="4"/>
              <w:left w:val="single" w:color="BFC9D9" w:sz="4"/>
              <w:bottom w:val="single" w:color="BFC9D9" w:sz="4"/>
              <w:right w:val="single" w:color="BFC9D9" w:sz="4"/>
            </w:tcBorders>
            <w:shd w:fill="2E5597" w:color="auto" w:val="clear"/>
            <w:tcMar>
              <w:top w:type="dxa" w:w="70"/>
              <w:left w:type="dxa" w:w="110"/>
              <w:bottom w:type="dxa" w:w="70"/>
              <w:right w:type="dxa" w:w="110"/>
            </w:tcMar>
            <w:vAlign w:val="top"/>
          </w:tcPr>
          <w:p>
            <w:pPr>
              <w:keepNext/>
            </w:pPr>
            <w:r>
              <w:rPr>
                <w:b/>
                <w:bCs/>
                <w:color w:val="FFFFFF"/>
                <w:sz w:val="21"/>
                <w:szCs w:val="21"/>
              </w:rPr>
              <w:t xml:space="preserve">M6  </w:t>
            </w:r>
            <w:r>
              <w:rPr>
                <w:b/>
                <w:bCs/>
                <w:color w:val="FFFFFF"/>
                <w:sz w:val="21"/>
                <w:szCs w:val="21"/>
              </w:rPr>
              <w:t xml:space="preserve">Cadre statistique incohérent et affirmations erronées</w:t>
            </w:r>
          </w:p>
        </w:tc>
      </w:tr>
      <w:tr>
        <w:tc>
          <w:tcPr>
            <w:tcW w:type="dxa" w:w="1900"/>
            <w:tcBorders>
              <w:top w:val="single" w:color="BFC9D9" w:sz="4"/>
              <w:left w:val="single" w:color="BFC9D9" w:sz="4"/>
              <w:bottom w:val="single" w:color="BFC9D9" w:sz="4"/>
              <w:right w:val="single" w:color="BFC9D9" w:sz="4"/>
            </w:tcBorders>
            <w:shd w:fill="EEF2F8" w:color="auto" w:val="clear"/>
            <w:tcMar>
              <w:top w:type="dxa" w:w="70"/>
              <w:left w:type="dxa" w:w="110"/>
              <w:bottom w:type="dxa" w:w="70"/>
              <w:right w:type="dxa" w:w="110"/>
            </w:tcMar>
            <w:vAlign w:val="top"/>
          </w:tcPr>
          <w:p>
            <w:pPr>
              <w:keepNext w:val="false"/>
              <w:keepLines/>
              <w:spacing w:after="40" w:line="252"/>
              <w:jc w:val="left"/>
            </w:pPr>
            <w:r>
              <w:rPr>
                <w:b/>
                <w:bCs/>
                <w:color w:val="1F3864"/>
                <w:sz w:val="19"/>
                <w:szCs w:val="19"/>
              </w:rPr>
              <w:t xml:space="preserve">Priorité</w:t>
            </w:r>
          </w:p>
        </w:tc>
        <w:tc>
          <w:tcPr>
            <w:tcW w:type="dxa" w:w="7738"/>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pPr>
            <w:r>
              <w:rPr>
                <w:b/>
                <w:bCs/>
                <w:color w:val="E26B0A"/>
                <w:sz w:val="19"/>
                <w:szCs w:val="19"/>
              </w:rPr>
              <w:t xml:space="preserve">Élevée</w:t>
            </w:r>
            <w:r>
              <w:rPr>
                <w:color w:val="595959"/>
                <w:sz w:val="19"/>
                <w:szCs w:val="19"/>
              </w:rPr>
              <w:t xml:space="preserve">     Source : </w:t>
            </w:r>
            <w:r>
              <w:rPr>
                <w:sz w:val="19"/>
                <w:szCs w:val="19"/>
              </w:rPr>
              <w:t xml:space="preserve">Claude ; lié à Dir. corr. point 2</w:t>
            </w:r>
          </w:p>
        </w:tc>
      </w:tr>
      <w:tr>
        <w:trPr>
          <w:cantSplit/>
        </w:trPr>
        <w:tc>
          <w:tcPr>
            <w:tcW w:type="dxa" w:w="1900"/>
            <w:tcBorders>
              <w:top w:val="single" w:color="BFC9D9" w:sz="4"/>
              <w:left w:val="single" w:color="BFC9D9" w:sz="4"/>
              <w:bottom w:val="single" w:color="BFC9D9" w:sz="4"/>
              <w:right w:val="single" w:color="BFC9D9" w:sz="4"/>
            </w:tcBorders>
            <w:shd w:fill="EEF2F8" w:color="auto" w:val="clear"/>
            <w:tcMar>
              <w:top w:type="dxa" w:w="70"/>
              <w:left w:type="dxa" w:w="110"/>
              <w:bottom w:type="dxa" w:w="70"/>
              <w:right w:type="dxa" w:w="110"/>
            </w:tcMar>
            <w:vAlign w:val="top"/>
          </w:tcPr>
          <w:p>
            <w:pPr>
              <w:keepNext/>
              <w:keepLines/>
              <w:spacing w:after="40" w:line="252"/>
              <w:jc w:val="left"/>
            </w:pPr>
            <w:r>
              <w:rPr>
                <w:b/>
                <w:bCs/>
                <w:color w:val="1F3864"/>
                <w:sz w:val="19"/>
                <w:szCs w:val="19"/>
              </w:rPr>
              <w:t xml:space="preserve">Constat</w:t>
            </w:r>
          </w:p>
        </w:tc>
        <w:tc>
          <w:tcPr>
            <w:tcW w:type="dxa" w:w="7738"/>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keepLines/>
              <w:spacing w:after="40" w:line="252"/>
              <w:jc w:val="left"/>
            </w:pPr>
            <w:r>
              <w:rPr>
                <w:sz w:val="19"/>
                <w:szCs w:val="19"/>
              </w:rPr>
              <w:t xml:space="preserve">Le théorème central limite est invoqué en nominal pour justifier Welch malgré la non-normalité, puis Kruskal–Wallis est préféré dans les scénarios perturbés pour la même raison. Le protocole annonce le g de Hedges, le delta de Cliff et des intervalles bootstrap, mais aucun n'est rapporté. Enfin, le texte affirme que Games–Howell exige l'homoscédasticité : c'est faux, Games–Howell est précisément conçu pour les variances inégales.</w:t>
            </w:r>
          </w:p>
        </w:tc>
      </w:tr>
      <w:tr>
        <w:trPr>
          <w:cantSplit/>
        </w:trPr>
        <w:tc>
          <w:tcPr>
            <w:tcW w:type="dxa" w:w="1900"/>
            <w:tcBorders>
              <w:top w:val="single" w:color="BFC9D9" w:sz="4"/>
              <w:left w:val="single" w:color="BFC9D9" w:sz="4"/>
              <w:bottom w:val="single" w:color="BFC9D9" w:sz="4"/>
              <w:right w:val="single" w:color="BFC9D9" w:sz="4"/>
            </w:tcBorders>
            <w:shd w:fill="EEF2F8" w:color="auto" w:val="clear"/>
            <w:tcMar>
              <w:top w:type="dxa" w:w="70"/>
              <w:left w:type="dxa" w:w="110"/>
              <w:bottom w:type="dxa" w:w="70"/>
              <w:right w:type="dxa" w:w="110"/>
            </w:tcMar>
            <w:vAlign w:val="top"/>
          </w:tcPr>
          <w:p>
            <w:pPr>
              <w:keepNext w:val="false"/>
              <w:keepLines/>
              <w:spacing w:after="40" w:line="252"/>
              <w:jc w:val="left"/>
            </w:pPr>
            <w:r>
              <w:rPr>
                <w:b/>
                <w:bCs/>
                <w:color w:val="1F3864"/>
                <w:sz w:val="19"/>
                <w:szCs w:val="19"/>
              </w:rPr>
              <w:t xml:space="preserve">Pourquoi c'est grave</w:t>
            </w:r>
          </w:p>
        </w:tc>
        <w:tc>
          <w:tcPr>
            <w:tcW w:type="dxa" w:w="7738"/>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Un relecteur y verra un choix de tests opportuniste et une erreur de fond.</w:t>
            </w:r>
          </w:p>
        </w:tc>
      </w:tr>
      <w:tr>
        <w:trPr>
          <w:cantSplit/>
        </w:trPr>
        <w:tc>
          <w:tcPr>
            <w:tcW w:type="dxa" w:w="1900"/>
            <w:tcBorders>
              <w:top w:val="single" w:color="BFC9D9" w:sz="4"/>
              <w:left w:val="single" w:color="BFC9D9" w:sz="4"/>
              <w:bottom w:val="single" w:color="BFC9D9" w:sz="4"/>
              <w:right w:val="single" w:color="BFC9D9" w:sz="4"/>
            </w:tcBorders>
            <w:shd w:fill="EEF2F8" w:color="auto" w:val="clear"/>
            <w:tcMar>
              <w:top w:type="dxa" w:w="70"/>
              <w:left w:type="dxa" w:w="110"/>
              <w:bottom w:type="dxa" w:w="70"/>
              <w:right w:type="dxa" w:w="110"/>
            </w:tcMar>
            <w:vAlign w:val="top"/>
          </w:tcPr>
          <w:p>
            <w:pPr>
              <w:keepNext w:val="false"/>
              <w:keepLines/>
              <w:spacing w:after="40" w:line="252"/>
              <w:jc w:val="left"/>
            </w:pPr>
            <w:r>
              <w:rPr>
                <w:b/>
                <w:bCs/>
                <w:color w:val="1F3864"/>
                <w:sz w:val="19"/>
                <w:szCs w:val="19"/>
              </w:rPr>
              <w:t xml:space="preserve">Action corrective</w:t>
            </w:r>
          </w:p>
        </w:tc>
        <w:tc>
          <w:tcPr>
            <w:tcW w:type="dxa" w:w="7738"/>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Adopter un seul cadre (apparié, voir M4) appliqué à tous les scénarios.</w:t>
            </w:r>
          </w:p>
          <w:p>
            <w:pPr>
              <w:keepNext w:val="false"/>
              <w:keepLines/>
              <w:spacing w:after="40" w:line="252"/>
              <w:jc w:val="left"/>
            </w:pPr>
            <w:r>
              <w:rPr>
                <w:sz w:val="19"/>
                <w:szCs w:val="19"/>
              </w:rPr>
              <w:t xml:space="preserve">Rapporter les tailles d'effet annoncées, ou retirer leur annonce.</w:t>
            </w:r>
          </w:p>
          <w:p>
            <w:pPr>
              <w:keepNext w:val="false"/>
              <w:keepLines/>
              <w:spacing w:after="40" w:line="252"/>
              <w:jc w:val="left"/>
            </w:pPr>
            <w:r>
              <w:rPr>
                <w:sz w:val="19"/>
                <w:szCs w:val="19"/>
              </w:rPr>
              <w:t xml:space="preserve">Supprimer la phrase erronée sur Games–Howell.</w:t>
            </w:r>
          </w:p>
        </w:tc>
      </w:tr>
      <w:tr>
        <w:trPr>
          <w:cantSplit/>
        </w:trPr>
        <w:tc>
          <w:tcPr>
            <w:tcW w:type="dxa" w:w="1900"/>
            <w:tcBorders>
              <w:top w:val="single" w:color="BFC9D9" w:sz="4"/>
              <w:left w:val="single" w:color="BFC9D9" w:sz="4"/>
              <w:bottom w:val="single" w:color="BFC9D9" w:sz="4"/>
              <w:right w:val="single" w:color="BFC9D9" w:sz="4"/>
            </w:tcBorders>
            <w:shd w:fill="EEF2F8" w:color="auto" w:val="clear"/>
            <w:tcMar>
              <w:top w:type="dxa" w:w="70"/>
              <w:left w:type="dxa" w:w="110"/>
              <w:bottom w:type="dxa" w:w="70"/>
              <w:right w:type="dxa" w:w="110"/>
            </w:tcMar>
            <w:vAlign w:val="top"/>
          </w:tcPr>
          <w:p>
            <w:pPr>
              <w:keepNext w:val="false"/>
              <w:keepLines/>
              <w:spacing w:after="40" w:line="252"/>
              <w:jc w:val="left"/>
            </w:pPr>
            <w:r>
              <w:rPr>
                <w:b/>
                <w:bCs/>
                <w:color w:val="1F3864"/>
                <w:sz w:val="19"/>
                <w:szCs w:val="19"/>
              </w:rPr>
              <w:t xml:space="preserve">Où dans le .tex</w:t>
            </w:r>
          </w:p>
        </w:tc>
        <w:tc>
          <w:tcPr>
            <w:tcW w:type="dxa" w:w="7738"/>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§6.4 Protocole statistique (item « Tests post-hoc ») ; §7.4.</w:t>
            </w:r>
          </w:p>
        </w:tc>
      </w:tr>
      <w:tr>
        <w:trPr>
          <w:cantSplit/>
        </w:trPr>
        <w:tc>
          <w:tcPr>
            <w:tcW w:type="dxa" w:w="1900"/>
            <w:tcBorders>
              <w:top w:val="single" w:color="BFC9D9" w:sz="4"/>
              <w:left w:val="single" w:color="BFC9D9" w:sz="4"/>
              <w:bottom w:val="single" w:color="BFC9D9" w:sz="4"/>
              <w:right w:val="single" w:color="BFC9D9" w:sz="4"/>
            </w:tcBorders>
            <w:shd w:fill="EEF2F8" w:color="auto" w:val="clear"/>
            <w:tcMar>
              <w:top w:type="dxa" w:w="70"/>
              <w:left w:type="dxa" w:w="110"/>
              <w:bottom w:type="dxa" w:w="70"/>
              <w:right w:type="dxa" w:w="110"/>
            </w:tcMar>
            <w:vAlign w:val="top"/>
          </w:tcPr>
          <w:p>
            <w:pPr>
              <w:keepNext w:val="false"/>
              <w:keepLines/>
              <w:spacing w:after="40" w:line="252"/>
              <w:jc w:val="left"/>
            </w:pPr>
            <w:r>
              <w:rPr>
                <w:b/>
                <w:bCs/>
                <w:color w:val="1F3864"/>
                <w:sz w:val="19"/>
                <w:szCs w:val="19"/>
              </w:rPr>
              <w:t xml:space="preserve">Statut</w:t>
            </w:r>
          </w:p>
        </w:tc>
        <w:tc>
          <w:tcPr>
            <w:tcW w:type="dxa" w:w="7738"/>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 À faire     ☐ En cours     ☐ Fait     Notes : ……………………………………………</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rPr>
        <w:tc>
          <w:tcPr>
            <w:tcW w:type="dxa" w:w="9638"/>
            <w:gridSpan w:val="2"/>
            <w:tcBorders>
              <w:top w:val="single" w:color="BFC9D9" w:sz="4"/>
              <w:left w:val="single" w:color="BFC9D9" w:sz="4"/>
              <w:bottom w:val="single" w:color="BFC9D9" w:sz="4"/>
              <w:right w:val="single" w:color="BFC9D9" w:sz="4"/>
            </w:tcBorders>
            <w:shd w:fill="2E5597" w:color="auto" w:val="clear"/>
            <w:tcMar>
              <w:top w:type="dxa" w:w="70"/>
              <w:left w:type="dxa" w:w="110"/>
              <w:bottom w:type="dxa" w:w="70"/>
              <w:right w:type="dxa" w:w="110"/>
            </w:tcMar>
            <w:vAlign w:val="top"/>
          </w:tcPr>
          <w:p>
            <w:pPr>
              <w:keepNext/>
            </w:pPr>
            <w:r>
              <w:rPr>
                <w:b/>
                <w:bCs/>
                <w:color w:val="FFFFFF"/>
                <w:sz w:val="21"/>
                <w:szCs w:val="21"/>
              </w:rPr>
              <w:t xml:space="preserve">M7  </w:t>
            </w:r>
            <w:r>
              <w:rPr>
                <w:b/>
                <w:bCs/>
                <w:color w:val="FFFFFF"/>
                <w:sz w:val="21"/>
                <w:szCs w:val="21"/>
              </w:rPr>
              <w:t xml:space="preserve">Une seule graine d'entraînement par agent</w:t>
            </w:r>
          </w:p>
        </w:tc>
      </w:tr>
      <w:tr>
        <w:tc>
          <w:tcPr>
            <w:tcW w:type="dxa" w:w="1900"/>
            <w:tcBorders>
              <w:top w:val="single" w:color="BFC9D9" w:sz="4"/>
              <w:left w:val="single" w:color="BFC9D9" w:sz="4"/>
              <w:bottom w:val="single" w:color="BFC9D9" w:sz="4"/>
              <w:right w:val="single" w:color="BFC9D9" w:sz="4"/>
            </w:tcBorders>
            <w:shd w:fill="EEF2F8" w:color="auto" w:val="clear"/>
            <w:tcMar>
              <w:top w:type="dxa" w:w="70"/>
              <w:left w:type="dxa" w:w="110"/>
              <w:bottom w:type="dxa" w:w="70"/>
              <w:right w:type="dxa" w:w="110"/>
            </w:tcMar>
            <w:vAlign w:val="top"/>
          </w:tcPr>
          <w:p>
            <w:pPr>
              <w:keepNext w:val="false"/>
              <w:keepLines/>
              <w:spacing w:after="40" w:line="252"/>
              <w:jc w:val="left"/>
            </w:pPr>
            <w:r>
              <w:rPr>
                <w:b/>
                <w:bCs/>
                <w:color w:val="1F3864"/>
                <w:sz w:val="19"/>
                <w:szCs w:val="19"/>
              </w:rPr>
              <w:t xml:space="preserve">Priorité</w:t>
            </w:r>
          </w:p>
        </w:tc>
        <w:tc>
          <w:tcPr>
            <w:tcW w:type="dxa" w:w="7738"/>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pPr>
            <w:r>
              <w:rPr>
                <w:b/>
                <w:bCs/>
                <w:color w:val="C00000"/>
                <w:sz w:val="19"/>
                <w:szCs w:val="19"/>
              </w:rPr>
              <w:t xml:space="preserve">Critique</w:t>
            </w:r>
            <w:r>
              <w:rPr>
                <w:color w:val="595959"/>
                <w:sz w:val="19"/>
                <w:szCs w:val="19"/>
              </w:rPr>
              <w:t xml:space="preserve">     Source : </w:t>
            </w:r>
            <w:r>
              <w:rPr>
                <w:sz w:val="19"/>
                <w:szCs w:val="19"/>
              </w:rPr>
              <w:t xml:space="preserve">Claude, GPT, Dir. corr. point 6, Dir. plan</w:t>
            </w:r>
          </w:p>
        </w:tc>
      </w:tr>
      <w:tr>
        <w:trPr>
          <w:cantSplit/>
        </w:trPr>
        <w:tc>
          <w:tcPr>
            <w:tcW w:type="dxa" w:w="1900"/>
            <w:tcBorders>
              <w:top w:val="single" w:color="BFC9D9" w:sz="4"/>
              <w:left w:val="single" w:color="BFC9D9" w:sz="4"/>
              <w:bottom w:val="single" w:color="BFC9D9" w:sz="4"/>
              <w:right w:val="single" w:color="BFC9D9" w:sz="4"/>
            </w:tcBorders>
            <w:shd w:fill="EEF2F8" w:color="auto" w:val="clear"/>
            <w:tcMar>
              <w:top w:type="dxa" w:w="70"/>
              <w:left w:type="dxa" w:w="110"/>
              <w:bottom w:type="dxa" w:w="70"/>
              <w:right w:type="dxa" w:w="110"/>
            </w:tcMar>
            <w:vAlign w:val="top"/>
          </w:tcPr>
          <w:p>
            <w:pPr>
              <w:keepNext/>
              <w:keepLines/>
              <w:spacing w:after="40" w:line="252"/>
              <w:jc w:val="left"/>
            </w:pPr>
            <w:r>
              <w:rPr>
                <w:b/>
                <w:bCs/>
                <w:color w:val="1F3864"/>
                <w:sz w:val="19"/>
                <w:szCs w:val="19"/>
              </w:rPr>
              <w:t xml:space="preserve">Constat</w:t>
            </w:r>
          </w:p>
        </w:tc>
        <w:tc>
          <w:tcPr>
            <w:tcW w:type="dxa" w:w="7738"/>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keepLines/>
              <w:spacing w:after="40" w:line="252"/>
              <w:jc w:val="left"/>
            </w:pPr>
            <w:r>
              <w:rPr>
                <w:sz w:val="19"/>
                <w:szCs w:val="19"/>
              </w:rPr>
              <w:t xml:space="preserve">Les 30 réplications mesurent la variabilité de l'environnement pour un modèle entraîné donné, pas la variabilité de l'entraînement. Les courbes de convergence et l'ablation reposent aussi sur un seul entraînement. La question de recherche QR5 parle pourtant de stabilité « entre graines aléatoires indépendantes ».</w:t>
            </w:r>
          </w:p>
        </w:tc>
      </w:tr>
      <w:tr>
        <w:trPr>
          <w:cantSplit/>
        </w:trPr>
        <w:tc>
          <w:tcPr>
            <w:tcW w:type="dxa" w:w="1900"/>
            <w:tcBorders>
              <w:top w:val="single" w:color="BFC9D9" w:sz="4"/>
              <w:left w:val="single" w:color="BFC9D9" w:sz="4"/>
              <w:bottom w:val="single" w:color="BFC9D9" w:sz="4"/>
              <w:right w:val="single" w:color="BFC9D9" w:sz="4"/>
            </w:tcBorders>
            <w:shd w:fill="EEF2F8" w:color="auto" w:val="clear"/>
            <w:tcMar>
              <w:top w:type="dxa" w:w="70"/>
              <w:left w:type="dxa" w:w="110"/>
              <w:bottom w:type="dxa" w:w="70"/>
              <w:right w:type="dxa" w:w="110"/>
            </w:tcMar>
            <w:vAlign w:val="top"/>
          </w:tcPr>
          <w:p>
            <w:pPr>
              <w:keepNext w:val="false"/>
              <w:keepLines/>
              <w:spacing w:after="40" w:line="252"/>
              <w:jc w:val="left"/>
            </w:pPr>
            <w:r>
              <w:rPr>
                <w:b/>
                <w:bCs/>
                <w:color w:val="1F3864"/>
                <w:sz w:val="19"/>
                <w:szCs w:val="19"/>
              </w:rPr>
              <w:t xml:space="preserve">Pourquoi c'est grave</w:t>
            </w:r>
          </w:p>
        </w:tc>
        <w:tc>
          <w:tcPr>
            <w:tcW w:type="dxa" w:w="7738"/>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Les conclusions « PPO &gt; DQN » en nominal (écart de 1 %) ou « DQN plus robuste que PPO » ne sont pas défendables au niveau de l'algorithme (Henderson et al., 2018 ; Agarwal et al., 2021).</w:t>
            </w:r>
          </w:p>
        </w:tc>
      </w:tr>
      <w:tr>
        <w:trPr>
          <w:cantSplit/>
        </w:trPr>
        <w:tc>
          <w:tcPr>
            <w:tcW w:type="dxa" w:w="1900"/>
            <w:tcBorders>
              <w:top w:val="single" w:color="BFC9D9" w:sz="4"/>
              <w:left w:val="single" w:color="BFC9D9" w:sz="4"/>
              <w:bottom w:val="single" w:color="BFC9D9" w:sz="4"/>
              <w:right w:val="single" w:color="BFC9D9" w:sz="4"/>
            </w:tcBorders>
            <w:shd w:fill="EEF2F8" w:color="auto" w:val="clear"/>
            <w:tcMar>
              <w:top w:type="dxa" w:w="70"/>
              <w:left w:type="dxa" w:w="110"/>
              <w:bottom w:type="dxa" w:w="70"/>
              <w:right w:type="dxa" w:w="110"/>
            </w:tcMar>
            <w:vAlign w:val="top"/>
          </w:tcPr>
          <w:p>
            <w:pPr>
              <w:keepNext w:val="false"/>
              <w:keepLines/>
              <w:spacing w:after="40" w:line="252"/>
              <w:jc w:val="left"/>
            </w:pPr>
            <w:r>
              <w:rPr>
                <w:b/>
                <w:bCs/>
                <w:color w:val="1F3864"/>
                <w:sz w:val="19"/>
                <w:szCs w:val="19"/>
              </w:rPr>
              <w:t xml:space="preserve">Action corrective</w:t>
            </w:r>
          </w:p>
        </w:tc>
        <w:tc>
          <w:tcPr>
            <w:tcW w:type="dxa" w:w="7738"/>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Option recommandée : 5 graines d'entraînement × 30 réplications d'évaluation pour PPO et DQN (environ 2 h par entraînement selon le manuscrit). Rapporter la moyenne interquartile (IQM) et des intervalles bootstrap stratifiés (bibliothèque rliable). Tracer les courbes de convergence en moyenne ± intervalle sur les graines.</w:t>
            </w:r>
          </w:p>
          <w:p>
            <w:pPr>
              <w:keepNext w:val="false"/>
              <w:keepLines/>
              <w:spacing w:after="40" w:line="252"/>
              <w:jc w:val="left"/>
            </w:pPr>
            <w:r>
              <w:rPr>
                <w:sz w:val="19"/>
                <w:szCs w:val="19"/>
              </w:rPr>
              <w:t xml:space="preserve">Option minimale si le temps manque : reformuler QR5 (« stabilité de chaque politique entraînée sur des réplications indépendantes de l'environnement »), retirer toute comparaison au niveau de l'algorithme et le signaler comme limite.</w:t>
            </w:r>
          </w:p>
        </w:tc>
      </w:tr>
      <w:tr>
        <w:trPr>
          <w:cantSplit/>
        </w:trPr>
        <w:tc>
          <w:tcPr>
            <w:tcW w:type="dxa" w:w="1900"/>
            <w:tcBorders>
              <w:top w:val="single" w:color="BFC9D9" w:sz="4"/>
              <w:left w:val="single" w:color="BFC9D9" w:sz="4"/>
              <w:bottom w:val="single" w:color="BFC9D9" w:sz="4"/>
              <w:right w:val="single" w:color="BFC9D9" w:sz="4"/>
            </w:tcBorders>
            <w:shd w:fill="EEF2F8" w:color="auto" w:val="clear"/>
            <w:tcMar>
              <w:top w:type="dxa" w:w="70"/>
              <w:left w:type="dxa" w:w="110"/>
              <w:bottom w:type="dxa" w:w="70"/>
              <w:right w:type="dxa" w:w="110"/>
            </w:tcMar>
            <w:vAlign w:val="top"/>
          </w:tcPr>
          <w:p>
            <w:pPr>
              <w:keepNext w:val="false"/>
              <w:keepLines/>
              <w:spacing w:after="40" w:line="252"/>
              <w:jc w:val="left"/>
            </w:pPr>
            <w:r>
              <w:rPr>
                <w:b/>
                <w:bCs/>
                <w:color w:val="1F3864"/>
                <w:sz w:val="19"/>
                <w:szCs w:val="19"/>
              </w:rPr>
              <w:t xml:space="preserve">Où dans le .tex</w:t>
            </w:r>
          </w:p>
        </w:tc>
        <w:tc>
          <w:tcPr>
            <w:tcW w:type="dxa" w:w="7738"/>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§1.4 (QR5) ; §5.2 et §5.3 ; §6.5 ; §7.5 Stabilité ; §7.6 Convergence ; §7.7 Ablation ; §8 Limites.</w:t>
            </w:r>
          </w:p>
        </w:tc>
      </w:tr>
      <w:tr>
        <w:trPr>
          <w:cantSplit/>
        </w:trPr>
        <w:tc>
          <w:tcPr>
            <w:tcW w:type="dxa" w:w="1900"/>
            <w:tcBorders>
              <w:top w:val="single" w:color="BFC9D9" w:sz="4"/>
              <w:left w:val="single" w:color="BFC9D9" w:sz="4"/>
              <w:bottom w:val="single" w:color="BFC9D9" w:sz="4"/>
              <w:right w:val="single" w:color="BFC9D9" w:sz="4"/>
            </w:tcBorders>
            <w:shd w:fill="EEF2F8" w:color="auto" w:val="clear"/>
            <w:tcMar>
              <w:top w:type="dxa" w:w="70"/>
              <w:left w:type="dxa" w:w="110"/>
              <w:bottom w:type="dxa" w:w="70"/>
              <w:right w:type="dxa" w:w="110"/>
            </w:tcMar>
            <w:vAlign w:val="top"/>
          </w:tcPr>
          <w:p>
            <w:pPr>
              <w:keepNext w:val="false"/>
              <w:keepLines/>
              <w:spacing w:after="40" w:line="252"/>
              <w:jc w:val="left"/>
            </w:pPr>
            <w:r>
              <w:rPr>
                <w:b/>
                <w:bCs/>
                <w:color w:val="1F3864"/>
                <w:sz w:val="19"/>
                <w:szCs w:val="19"/>
              </w:rPr>
              <w:t xml:space="preserve">Statut</w:t>
            </w:r>
          </w:p>
        </w:tc>
        <w:tc>
          <w:tcPr>
            <w:tcW w:type="dxa" w:w="7738"/>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 À faire     ☐ En cours     ☐ Fait     Notes : ……………………………………………</w:t>
            </w:r>
          </w:p>
        </w:tc>
      </w:tr>
    </w:tbl>
    <w:p>
      <w:pPr>
        <w:spacing w:after="120"/>
      </w:pPr>
    </w:p>
    <w:p>
      <w:pPr>
        <w:pStyle w:val="Heading2"/>
      </w:pPr>
      <w:r>
        <w:t xml:space="preserve">Bloc B. Rigueur méthodologique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rPr>
        <w:tc>
          <w:tcPr>
            <w:tcW w:type="dxa" w:w="9638"/>
            <w:gridSpan w:val="2"/>
            <w:tcBorders>
              <w:top w:val="single" w:color="BFC9D9" w:sz="4"/>
              <w:left w:val="single" w:color="BFC9D9" w:sz="4"/>
              <w:bottom w:val="single" w:color="BFC9D9" w:sz="4"/>
              <w:right w:val="single" w:color="BFC9D9" w:sz="4"/>
            </w:tcBorders>
            <w:shd w:fill="2E5597" w:color="auto" w:val="clear"/>
            <w:tcMar>
              <w:top w:type="dxa" w:w="70"/>
              <w:left w:type="dxa" w:w="110"/>
              <w:bottom w:type="dxa" w:w="70"/>
              <w:right w:type="dxa" w:w="110"/>
            </w:tcMar>
            <w:vAlign w:val="top"/>
          </w:tcPr>
          <w:p>
            <w:pPr>
              <w:keepNext/>
            </w:pPr>
            <w:r>
              <w:rPr>
                <w:b/>
                <w:bCs/>
                <w:color w:val="FFFFFF"/>
                <w:sz w:val="21"/>
                <w:szCs w:val="21"/>
              </w:rPr>
              <w:t xml:space="preserve">M8  </w:t>
            </w:r>
            <w:r>
              <w:rPr>
                <w:b/>
                <w:bCs/>
                <w:color w:val="FFFFFF"/>
                <w:sz w:val="21"/>
                <w:szCs w:val="21"/>
              </w:rPr>
              <w:t xml:space="preserve">Q-Learning tabulaire avec 8 intervalles sur 147 dimensions</w:t>
            </w:r>
          </w:p>
        </w:tc>
      </w:tr>
      <w:tr>
        <w:tc>
          <w:tcPr>
            <w:tcW w:type="dxa" w:w="1900"/>
            <w:tcBorders>
              <w:top w:val="single" w:color="BFC9D9" w:sz="4"/>
              <w:left w:val="single" w:color="BFC9D9" w:sz="4"/>
              <w:bottom w:val="single" w:color="BFC9D9" w:sz="4"/>
              <w:right w:val="single" w:color="BFC9D9" w:sz="4"/>
            </w:tcBorders>
            <w:shd w:fill="EEF2F8" w:color="auto" w:val="clear"/>
            <w:tcMar>
              <w:top w:type="dxa" w:w="70"/>
              <w:left w:type="dxa" w:w="110"/>
              <w:bottom w:type="dxa" w:w="70"/>
              <w:right w:type="dxa" w:w="110"/>
            </w:tcMar>
            <w:vAlign w:val="top"/>
          </w:tcPr>
          <w:p>
            <w:pPr>
              <w:keepNext w:val="false"/>
              <w:keepLines/>
              <w:spacing w:after="40" w:line="252"/>
              <w:jc w:val="left"/>
            </w:pPr>
            <w:r>
              <w:rPr>
                <w:b/>
                <w:bCs/>
                <w:color w:val="1F3864"/>
                <w:sz w:val="19"/>
                <w:szCs w:val="19"/>
              </w:rPr>
              <w:t xml:space="preserve">Priorité</w:t>
            </w:r>
          </w:p>
        </w:tc>
        <w:tc>
          <w:tcPr>
            <w:tcW w:type="dxa" w:w="7738"/>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pPr>
            <w:r>
              <w:rPr>
                <w:b/>
                <w:bCs/>
                <w:color w:val="E26B0A"/>
                <w:sz w:val="19"/>
                <w:szCs w:val="19"/>
              </w:rPr>
              <w:t xml:space="preserve">Élevée</w:t>
            </w:r>
            <w:r>
              <w:rPr>
                <w:color w:val="595959"/>
                <w:sz w:val="19"/>
                <w:szCs w:val="19"/>
              </w:rPr>
              <w:t xml:space="preserve">     Source : </w:t>
            </w:r>
            <w:r>
              <w:rPr>
                <w:sz w:val="19"/>
                <w:szCs w:val="19"/>
              </w:rPr>
              <w:t xml:space="preserve">Claude ; GPT M8 (équité du benchmark tabulaire)</w:t>
            </w:r>
          </w:p>
        </w:tc>
      </w:tr>
      <w:tr>
        <w:trPr>
          <w:cantSplit/>
        </w:trPr>
        <w:tc>
          <w:tcPr>
            <w:tcW w:type="dxa" w:w="1900"/>
            <w:tcBorders>
              <w:top w:val="single" w:color="BFC9D9" w:sz="4"/>
              <w:left w:val="single" w:color="BFC9D9" w:sz="4"/>
              <w:bottom w:val="single" w:color="BFC9D9" w:sz="4"/>
              <w:right w:val="single" w:color="BFC9D9" w:sz="4"/>
            </w:tcBorders>
            <w:shd w:fill="EEF2F8" w:color="auto" w:val="clear"/>
            <w:tcMar>
              <w:top w:type="dxa" w:w="70"/>
              <w:left w:type="dxa" w:w="110"/>
              <w:bottom w:type="dxa" w:w="70"/>
              <w:right w:type="dxa" w:w="110"/>
            </w:tcMar>
            <w:vAlign w:val="top"/>
          </w:tcPr>
          <w:p>
            <w:pPr>
              <w:keepNext/>
              <w:keepLines/>
              <w:spacing w:after="40" w:line="252"/>
              <w:jc w:val="left"/>
            </w:pPr>
            <w:r>
              <w:rPr>
                <w:b/>
                <w:bCs/>
                <w:color w:val="1F3864"/>
                <w:sz w:val="19"/>
                <w:szCs w:val="19"/>
              </w:rPr>
              <w:t xml:space="preserve">Constat</w:t>
            </w:r>
          </w:p>
        </w:tc>
        <w:tc>
          <w:tcPr>
            <w:tcW w:type="dxa" w:w="7738"/>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keepLines/>
              <w:spacing w:after="40" w:line="252"/>
              <w:jc w:val="left"/>
            </w:pPr>
            <w:r>
              <w:rPr>
                <w:sz w:val="19"/>
                <w:szCs w:val="19"/>
              </w:rPr>
              <w:t xml:space="preserve">L'espace discrétisé compte 8¹⁴⁷ états : pratiquement chaque état rencontré en évaluation est inédit. Pourtant Q-Learning atteint 3 586 t/h et dépasse FIFO.</w:t>
            </w:r>
          </w:p>
        </w:tc>
      </w:tr>
      <w:tr>
        <w:trPr>
          <w:cantSplit/>
        </w:trPr>
        <w:tc>
          <w:tcPr>
            <w:tcW w:type="dxa" w:w="1900"/>
            <w:tcBorders>
              <w:top w:val="single" w:color="BFC9D9" w:sz="4"/>
              <w:left w:val="single" w:color="BFC9D9" w:sz="4"/>
              <w:bottom w:val="single" w:color="BFC9D9" w:sz="4"/>
              <w:right w:val="single" w:color="BFC9D9" w:sz="4"/>
            </w:tcBorders>
            <w:shd w:fill="EEF2F8" w:color="auto" w:val="clear"/>
            <w:tcMar>
              <w:top w:type="dxa" w:w="70"/>
              <w:left w:type="dxa" w:w="110"/>
              <w:bottom w:type="dxa" w:w="70"/>
              <w:right w:type="dxa" w:w="110"/>
            </w:tcMar>
            <w:vAlign w:val="top"/>
          </w:tcPr>
          <w:p>
            <w:pPr>
              <w:keepNext w:val="false"/>
              <w:keepLines/>
              <w:spacing w:after="40" w:line="252"/>
              <w:jc w:val="left"/>
            </w:pPr>
            <w:r>
              <w:rPr>
                <w:b/>
                <w:bCs/>
                <w:color w:val="1F3864"/>
                <w:sz w:val="19"/>
                <w:szCs w:val="19"/>
              </w:rPr>
              <w:t xml:space="preserve">Pourquoi c'est grave</w:t>
            </w:r>
          </w:p>
        </w:tc>
        <w:tc>
          <w:tcPr>
            <w:tcW w:type="dxa" w:w="7738"/>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Q-Learning se comporte peut-être en pratique comme une règle fixe implicite (action par défaut sur état inconnu). Cela changerait l'interprétation de tous les résultats tabulaires, y compris le « meilleur ratio de robustesse » de SARSA.</w:t>
            </w:r>
          </w:p>
        </w:tc>
      </w:tr>
      <w:tr>
        <w:trPr>
          <w:cantSplit/>
        </w:trPr>
        <w:tc>
          <w:tcPr>
            <w:tcW w:type="dxa" w:w="1900"/>
            <w:tcBorders>
              <w:top w:val="single" w:color="BFC9D9" w:sz="4"/>
              <w:left w:val="single" w:color="BFC9D9" w:sz="4"/>
              <w:bottom w:val="single" w:color="BFC9D9" w:sz="4"/>
              <w:right w:val="single" w:color="BFC9D9" w:sz="4"/>
            </w:tcBorders>
            <w:shd w:fill="EEF2F8" w:color="auto" w:val="clear"/>
            <w:tcMar>
              <w:top w:type="dxa" w:w="70"/>
              <w:left w:type="dxa" w:w="110"/>
              <w:bottom w:type="dxa" w:w="70"/>
              <w:right w:type="dxa" w:w="110"/>
            </w:tcMar>
            <w:vAlign w:val="top"/>
          </w:tcPr>
          <w:p>
            <w:pPr>
              <w:keepNext w:val="false"/>
              <w:keepLines/>
              <w:spacing w:after="40" w:line="252"/>
              <w:jc w:val="left"/>
            </w:pPr>
            <w:r>
              <w:rPr>
                <w:b/>
                <w:bCs/>
                <w:color w:val="1F3864"/>
                <w:sz w:val="19"/>
                <w:szCs w:val="19"/>
              </w:rPr>
              <w:t xml:space="preserve">Action corrective</w:t>
            </w:r>
          </w:p>
        </w:tc>
        <w:tc>
          <w:tcPr>
            <w:tcW w:type="dxa" w:w="7738"/>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Préciser la structure de données (dictionnaire, hachage), l'action choisie sur un état non visité et le taux d'états déjà vus pendant l'évaluation.</w:t>
            </w:r>
          </w:p>
          <w:p>
            <w:pPr>
              <w:keepNext w:val="false"/>
              <w:keepLines/>
              <w:spacing w:after="40" w:line="252"/>
              <w:jc w:val="left"/>
            </w:pPr>
            <w:r>
              <w:rPr>
                <w:sz w:val="19"/>
                <w:szCs w:val="19"/>
              </w:rPr>
              <w:t xml:space="preserve">Ajouter « avec la représentation et le budget de calcul retenus » à toute comparaison entre apprentissage tabulaire et profond (abstract, résultats, discussion, conclusion).</w:t>
            </w:r>
          </w:p>
        </w:tc>
      </w:tr>
      <w:tr>
        <w:trPr>
          <w:cantSplit/>
        </w:trPr>
        <w:tc>
          <w:tcPr>
            <w:tcW w:type="dxa" w:w="1900"/>
            <w:tcBorders>
              <w:top w:val="single" w:color="BFC9D9" w:sz="4"/>
              <w:left w:val="single" w:color="BFC9D9" w:sz="4"/>
              <w:bottom w:val="single" w:color="BFC9D9" w:sz="4"/>
              <w:right w:val="single" w:color="BFC9D9" w:sz="4"/>
            </w:tcBorders>
            <w:shd w:fill="EEF2F8" w:color="auto" w:val="clear"/>
            <w:tcMar>
              <w:top w:type="dxa" w:w="70"/>
              <w:left w:type="dxa" w:w="110"/>
              <w:bottom w:type="dxa" w:w="70"/>
              <w:right w:type="dxa" w:w="110"/>
            </w:tcMar>
            <w:vAlign w:val="top"/>
          </w:tcPr>
          <w:p>
            <w:pPr>
              <w:keepNext w:val="false"/>
              <w:keepLines/>
              <w:spacing w:after="40" w:line="252"/>
              <w:jc w:val="left"/>
            </w:pPr>
            <w:r>
              <w:rPr>
                <w:b/>
                <w:bCs/>
                <w:color w:val="1F3864"/>
                <w:sz w:val="19"/>
                <w:szCs w:val="19"/>
              </w:rPr>
              <w:t xml:space="preserve">Où dans le .tex</w:t>
            </w:r>
          </w:p>
        </w:tc>
        <w:tc>
          <w:tcPr>
            <w:tcW w:type="dxa" w:w="7738"/>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§5.3 Algorithmes comparatifs ; tableau des hyperparamètres ; §7 et §8.</w:t>
            </w:r>
          </w:p>
        </w:tc>
      </w:tr>
      <w:tr>
        <w:trPr>
          <w:cantSplit/>
        </w:trPr>
        <w:tc>
          <w:tcPr>
            <w:tcW w:type="dxa" w:w="1900"/>
            <w:tcBorders>
              <w:top w:val="single" w:color="BFC9D9" w:sz="4"/>
              <w:left w:val="single" w:color="BFC9D9" w:sz="4"/>
              <w:bottom w:val="single" w:color="BFC9D9" w:sz="4"/>
              <w:right w:val="single" w:color="BFC9D9" w:sz="4"/>
            </w:tcBorders>
            <w:shd w:fill="EEF2F8" w:color="auto" w:val="clear"/>
            <w:tcMar>
              <w:top w:type="dxa" w:w="70"/>
              <w:left w:type="dxa" w:w="110"/>
              <w:bottom w:type="dxa" w:w="70"/>
              <w:right w:type="dxa" w:w="110"/>
            </w:tcMar>
            <w:vAlign w:val="top"/>
          </w:tcPr>
          <w:p>
            <w:pPr>
              <w:keepNext w:val="false"/>
              <w:keepLines/>
              <w:spacing w:after="40" w:line="252"/>
              <w:jc w:val="left"/>
            </w:pPr>
            <w:r>
              <w:rPr>
                <w:b/>
                <w:bCs/>
                <w:color w:val="1F3864"/>
                <w:sz w:val="19"/>
                <w:szCs w:val="19"/>
              </w:rPr>
              <w:t xml:space="preserve">Statut</w:t>
            </w:r>
          </w:p>
        </w:tc>
        <w:tc>
          <w:tcPr>
            <w:tcW w:type="dxa" w:w="7738"/>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 À faire     ☐ En cours     ☐ Fait     Notes : ……………………………………………</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rPr>
        <w:tc>
          <w:tcPr>
            <w:tcW w:type="dxa" w:w="9638"/>
            <w:gridSpan w:val="2"/>
            <w:tcBorders>
              <w:top w:val="single" w:color="BFC9D9" w:sz="4"/>
              <w:left w:val="single" w:color="BFC9D9" w:sz="4"/>
              <w:bottom w:val="single" w:color="BFC9D9" w:sz="4"/>
              <w:right w:val="single" w:color="BFC9D9" w:sz="4"/>
            </w:tcBorders>
            <w:shd w:fill="2E5597" w:color="auto" w:val="clear"/>
            <w:tcMar>
              <w:top w:type="dxa" w:w="70"/>
              <w:left w:type="dxa" w:w="110"/>
              <w:bottom w:type="dxa" w:w="70"/>
              <w:right w:type="dxa" w:w="110"/>
            </w:tcMar>
            <w:vAlign w:val="top"/>
          </w:tcPr>
          <w:p>
            <w:pPr>
              <w:keepNext/>
            </w:pPr>
            <w:r>
              <w:rPr>
                <w:b/>
                <w:bCs/>
                <w:color w:val="FFFFFF"/>
                <w:sz w:val="21"/>
                <w:szCs w:val="21"/>
              </w:rPr>
              <w:t xml:space="preserve">M9  </w:t>
            </w:r>
            <w:r>
              <w:rPr>
                <w:b/>
                <w:bCs/>
                <w:color w:val="FFFFFF"/>
                <w:sz w:val="21"/>
                <w:szCs w:val="21"/>
              </w:rPr>
              <w:t xml:space="preserve">Le problème est un processus semi-markovien, pas un processus markovien</w:t>
            </w:r>
          </w:p>
        </w:tc>
      </w:tr>
      <w:tr>
        <w:tc>
          <w:tcPr>
            <w:tcW w:type="dxa" w:w="1900"/>
            <w:tcBorders>
              <w:top w:val="single" w:color="BFC9D9" w:sz="4"/>
              <w:left w:val="single" w:color="BFC9D9" w:sz="4"/>
              <w:bottom w:val="single" w:color="BFC9D9" w:sz="4"/>
              <w:right w:val="single" w:color="BFC9D9" w:sz="4"/>
            </w:tcBorders>
            <w:shd w:fill="EEF2F8" w:color="auto" w:val="clear"/>
            <w:tcMar>
              <w:top w:type="dxa" w:w="70"/>
              <w:left w:type="dxa" w:w="110"/>
              <w:bottom w:type="dxa" w:w="70"/>
              <w:right w:type="dxa" w:w="110"/>
            </w:tcMar>
            <w:vAlign w:val="top"/>
          </w:tcPr>
          <w:p>
            <w:pPr>
              <w:keepNext w:val="false"/>
              <w:keepLines/>
              <w:spacing w:after="40" w:line="252"/>
              <w:jc w:val="left"/>
            </w:pPr>
            <w:r>
              <w:rPr>
                <w:b/>
                <w:bCs/>
                <w:color w:val="1F3864"/>
                <w:sz w:val="19"/>
                <w:szCs w:val="19"/>
              </w:rPr>
              <w:t xml:space="preserve">Priorité</w:t>
            </w:r>
          </w:p>
        </w:tc>
        <w:tc>
          <w:tcPr>
            <w:tcW w:type="dxa" w:w="7738"/>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pPr>
            <w:r>
              <w:rPr>
                <w:b/>
                <w:bCs/>
                <w:color w:val="BF8F00"/>
                <w:sz w:val="19"/>
                <w:szCs w:val="19"/>
              </w:rPr>
              <w:t xml:space="preserve">Moyenne</w:t>
            </w:r>
            <w:r>
              <w:rPr>
                <w:color w:val="595959"/>
                <w:sz w:val="19"/>
                <w:szCs w:val="19"/>
              </w:rPr>
              <w:t xml:space="preserve">     Source : </w:t>
            </w:r>
            <w:r>
              <w:rPr>
                <w:sz w:val="19"/>
                <w:szCs w:val="19"/>
              </w:rPr>
              <w:t xml:space="preserve">Claude</w:t>
            </w:r>
          </w:p>
        </w:tc>
      </w:tr>
      <w:tr>
        <w:trPr>
          <w:cantSplit/>
        </w:trPr>
        <w:tc>
          <w:tcPr>
            <w:tcW w:type="dxa" w:w="1900"/>
            <w:tcBorders>
              <w:top w:val="single" w:color="BFC9D9" w:sz="4"/>
              <w:left w:val="single" w:color="BFC9D9" w:sz="4"/>
              <w:bottom w:val="single" w:color="BFC9D9" w:sz="4"/>
              <w:right w:val="single" w:color="BFC9D9" w:sz="4"/>
            </w:tcBorders>
            <w:shd w:fill="EEF2F8" w:color="auto" w:val="clear"/>
            <w:tcMar>
              <w:top w:type="dxa" w:w="70"/>
              <w:left w:type="dxa" w:w="110"/>
              <w:bottom w:type="dxa" w:w="70"/>
              <w:right w:type="dxa" w:w="110"/>
            </w:tcMar>
            <w:vAlign w:val="top"/>
          </w:tcPr>
          <w:p>
            <w:pPr>
              <w:keepNext/>
              <w:keepLines/>
              <w:spacing w:after="40" w:line="252"/>
              <w:jc w:val="left"/>
            </w:pPr>
            <w:r>
              <w:rPr>
                <w:b/>
                <w:bCs/>
                <w:color w:val="1F3864"/>
                <w:sz w:val="19"/>
                <w:szCs w:val="19"/>
              </w:rPr>
              <w:t xml:space="preserve">Constat</w:t>
            </w:r>
          </w:p>
        </w:tc>
        <w:tc>
          <w:tcPr>
            <w:tcW w:type="dxa" w:w="7738"/>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keepLines/>
              <w:spacing w:after="40" w:line="252"/>
              <w:jc w:val="left"/>
            </w:pPr>
            <w:r>
              <w:rPr>
                <w:sz w:val="19"/>
                <w:szCs w:val="19"/>
              </w:rPr>
              <w:t xml:space="preserve">Les décisions sont déclenchées par événement (camion disponible) et ont des durées variables, mais γ = 0,99 est appliqué par décision. L'horizon effectif en minutes varie donc selon la politique. Par ailleurs, un seul agent contrôle tous les camions et la récompense agrège la production de toute la flotte : l'attribution du crédit n'est pas discutée.</w:t>
            </w:r>
          </w:p>
        </w:tc>
      </w:tr>
      <w:tr>
        <w:trPr>
          <w:cantSplit/>
        </w:trPr>
        <w:tc>
          <w:tcPr>
            <w:tcW w:type="dxa" w:w="1900"/>
            <w:tcBorders>
              <w:top w:val="single" w:color="BFC9D9" w:sz="4"/>
              <w:left w:val="single" w:color="BFC9D9" w:sz="4"/>
              <w:bottom w:val="single" w:color="BFC9D9" w:sz="4"/>
              <w:right w:val="single" w:color="BFC9D9" w:sz="4"/>
            </w:tcBorders>
            <w:shd w:fill="EEF2F8" w:color="auto" w:val="clear"/>
            <w:tcMar>
              <w:top w:type="dxa" w:w="70"/>
              <w:left w:type="dxa" w:w="110"/>
              <w:bottom w:type="dxa" w:w="70"/>
              <w:right w:type="dxa" w:w="110"/>
            </w:tcMar>
            <w:vAlign w:val="top"/>
          </w:tcPr>
          <w:p>
            <w:pPr>
              <w:keepNext w:val="false"/>
              <w:keepLines/>
              <w:spacing w:after="40" w:line="252"/>
              <w:jc w:val="left"/>
            </w:pPr>
            <w:r>
              <w:rPr>
                <w:b/>
                <w:bCs/>
                <w:color w:val="1F3864"/>
                <w:sz w:val="19"/>
                <w:szCs w:val="19"/>
              </w:rPr>
              <w:t xml:space="preserve">Pourquoi c'est grave</w:t>
            </w:r>
          </w:p>
        </w:tc>
        <w:tc>
          <w:tcPr>
            <w:tcW w:type="dxa" w:w="7738"/>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Un relecteur spécialiste en apprentissage par renforcement le relèvera.</w:t>
            </w:r>
          </w:p>
        </w:tc>
      </w:tr>
      <w:tr>
        <w:trPr>
          <w:cantSplit/>
        </w:trPr>
        <w:tc>
          <w:tcPr>
            <w:tcW w:type="dxa" w:w="1900"/>
            <w:tcBorders>
              <w:top w:val="single" w:color="BFC9D9" w:sz="4"/>
              <w:left w:val="single" w:color="BFC9D9" w:sz="4"/>
              <w:bottom w:val="single" w:color="BFC9D9" w:sz="4"/>
              <w:right w:val="single" w:color="BFC9D9" w:sz="4"/>
            </w:tcBorders>
            <w:shd w:fill="EEF2F8" w:color="auto" w:val="clear"/>
            <w:tcMar>
              <w:top w:type="dxa" w:w="70"/>
              <w:left w:type="dxa" w:w="110"/>
              <w:bottom w:type="dxa" w:w="70"/>
              <w:right w:type="dxa" w:w="110"/>
            </w:tcMar>
            <w:vAlign w:val="top"/>
          </w:tcPr>
          <w:p>
            <w:pPr>
              <w:keepNext w:val="false"/>
              <w:keepLines/>
              <w:spacing w:after="40" w:line="252"/>
              <w:jc w:val="left"/>
            </w:pPr>
            <w:r>
              <w:rPr>
                <w:b/>
                <w:bCs/>
                <w:color w:val="1F3864"/>
                <w:sz w:val="19"/>
                <w:szCs w:val="19"/>
              </w:rPr>
              <w:t xml:space="preserve">Action corrective</w:t>
            </w:r>
          </w:p>
        </w:tc>
        <w:tc>
          <w:tcPr>
            <w:tcW w:type="dxa" w:w="7738"/>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Justifier le choix ou adopter une actualisation en temps continu (γ^Δt), en citant Bradtke et Duff (1995) et Sutton, Precup et Singh (1999).</w:t>
            </w:r>
          </w:p>
          <w:p>
            <w:pPr>
              <w:keepNext w:val="false"/>
              <w:keepLines/>
              <w:spacing w:after="40" w:line="252"/>
              <w:jc w:val="left"/>
            </w:pPr>
            <w:r>
              <w:rPr>
                <w:sz w:val="19"/>
                <w:szCs w:val="19"/>
              </w:rPr>
              <w:t xml:space="preserve">Ajouter deux phrases sur l'attribution du crédit entre camions.</w:t>
            </w:r>
          </w:p>
          <w:p>
            <w:pPr>
              <w:keepNext w:val="false"/>
              <w:keepLines/>
              <w:spacing w:after="40" w:line="252"/>
              <w:jc w:val="left"/>
            </w:pPr>
            <w:r>
              <w:rPr>
                <w:sz w:val="19"/>
                <w:szCs w:val="19"/>
              </w:rPr>
              <w:t xml:space="preserve">Ces références peuvent servir aux « 2 à 3 références » demandées par la directrice pour la sous-section MDP (avec Puterman, 1994, et Sutton et Barto, 2018).</w:t>
            </w:r>
          </w:p>
        </w:tc>
      </w:tr>
      <w:tr>
        <w:trPr>
          <w:cantSplit/>
        </w:trPr>
        <w:tc>
          <w:tcPr>
            <w:tcW w:type="dxa" w:w="1900"/>
            <w:tcBorders>
              <w:top w:val="single" w:color="BFC9D9" w:sz="4"/>
              <w:left w:val="single" w:color="BFC9D9" w:sz="4"/>
              <w:bottom w:val="single" w:color="BFC9D9" w:sz="4"/>
              <w:right w:val="single" w:color="BFC9D9" w:sz="4"/>
            </w:tcBorders>
            <w:shd w:fill="EEF2F8" w:color="auto" w:val="clear"/>
            <w:tcMar>
              <w:top w:type="dxa" w:w="70"/>
              <w:left w:type="dxa" w:w="110"/>
              <w:bottom w:type="dxa" w:w="70"/>
              <w:right w:type="dxa" w:w="110"/>
            </w:tcMar>
            <w:vAlign w:val="top"/>
          </w:tcPr>
          <w:p>
            <w:pPr>
              <w:keepNext w:val="false"/>
              <w:keepLines/>
              <w:spacing w:after="40" w:line="252"/>
              <w:jc w:val="left"/>
            </w:pPr>
            <w:r>
              <w:rPr>
                <w:b/>
                <w:bCs/>
                <w:color w:val="1F3864"/>
                <w:sz w:val="19"/>
                <w:szCs w:val="19"/>
              </w:rPr>
              <w:t xml:space="preserve">Où dans le .tex</w:t>
            </w:r>
          </w:p>
        </w:tc>
        <w:tc>
          <w:tcPr>
            <w:tcW w:type="dxa" w:w="7738"/>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§4.3 Processus de décision markovien (à déplacer, voir M24).</w:t>
            </w:r>
          </w:p>
        </w:tc>
      </w:tr>
      <w:tr>
        <w:trPr>
          <w:cantSplit/>
        </w:trPr>
        <w:tc>
          <w:tcPr>
            <w:tcW w:type="dxa" w:w="1900"/>
            <w:tcBorders>
              <w:top w:val="single" w:color="BFC9D9" w:sz="4"/>
              <w:left w:val="single" w:color="BFC9D9" w:sz="4"/>
              <w:bottom w:val="single" w:color="BFC9D9" w:sz="4"/>
              <w:right w:val="single" w:color="BFC9D9" w:sz="4"/>
            </w:tcBorders>
            <w:shd w:fill="EEF2F8" w:color="auto" w:val="clear"/>
            <w:tcMar>
              <w:top w:type="dxa" w:w="70"/>
              <w:left w:type="dxa" w:w="110"/>
              <w:bottom w:type="dxa" w:w="70"/>
              <w:right w:type="dxa" w:w="110"/>
            </w:tcMar>
            <w:vAlign w:val="top"/>
          </w:tcPr>
          <w:p>
            <w:pPr>
              <w:keepNext w:val="false"/>
              <w:keepLines/>
              <w:spacing w:after="40" w:line="252"/>
              <w:jc w:val="left"/>
            </w:pPr>
            <w:r>
              <w:rPr>
                <w:b/>
                <w:bCs/>
                <w:color w:val="1F3864"/>
                <w:sz w:val="19"/>
                <w:szCs w:val="19"/>
              </w:rPr>
              <w:t xml:space="preserve">Statut</w:t>
            </w:r>
          </w:p>
        </w:tc>
        <w:tc>
          <w:tcPr>
            <w:tcW w:type="dxa" w:w="7738"/>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 À faire     ☐ En cours     ☐ Fait     Notes : ……………………………………………</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rPr>
        <w:tc>
          <w:tcPr>
            <w:tcW w:type="dxa" w:w="9638"/>
            <w:gridSpan w:val="2"/>
            <w:tcBorders>
              <w:top w:val="single" w:color="BFC9D9" w:sz="4"/>
              <w:left w:val="single" w:color="BFC9D9" w:sz="4"/>
              <w:bottom w:val="single" w:color="BFC9D9" w:sz="4"/>
              <w:right w:val="single" w:color="BFC9D9" w:sz="4"/>
            </w:tcBorders>
            <w:shd w:fill="2E5597" w:color="auto" w:val="clear"/>
            <w:tcMar>
              <w:top w:type="dxa" w:w="70"/>
              <w:left w:type="dxa" w:w="110"/>
              <w:bottom w:type="dxa" w:w="70"/>
              <w:right w:type="dxa" w:w="110"/>
            </w:tcMar>
            <w:vAlign w:val="top"/>
          </w:tcPr>
          <w:p>
            <w:pPr>
              <w:keepNext/>
            </w:pPr>
            <w:r>
              <w:rPr>
                <w:b/>
                <w:bCs/>
                <w:color w:val="FFFFFF"/>
                <w:sz w:val="21"/>
                <w:szCs w:val="21"/>
              </w:rPr>
              <w:t xml:space="preserve">M10  </w:t>
            </w:r>
            <w:r>
              <w:rPr>
                <w:b/>
                <w:bCs/>
                <w:color w:val="FFFFFF"/>
                <w:sz w:val="21"/>
                <w:szCs w:val="21"/>
              </w:rPr>
              <w:t xml:space="preserve">La fonction de récompense n'est pas définie formellement</w:t>
            </w:r>
          </w:p>
        </w:tc>
      </w:tr>
      <w:tr>
        <w:tc>
          <w:tcPr>
            <w:tcW w:type="dxa" w:w="1900"/>
            <w:tcBorders>
              <w:top w:val="single" w:color="BFC9D9" w:sz="4"/>
              <w:left w:val="single" w:color="BFC9D9" w:sz="4"/>
              <w:bottom w:val="single" w:color="BFC9D9" w:sz="4"/>
              <w:right w:val="single" w:color="BFC9D9" w:sz="4"/>
            </w:tcBorders>
            <w:shd w:fill="EEF2F8" w:color="auto" w:val="clear"/>
            <w:tcMar>
              <w:top w:type="dxa" w:w="70"/>
              <w:left w:type="dxa" w:w="110"/>
              <w:bottom w:type="dxa" w:w="70"/>
              <w:right w:type="dxa" w:w="110"/>
            </w:tcMar>
            <w:vAlign w:val="top"/>
          </w:tcPr>
          <w:p>
            <w:pPr>
              <w:keepNext w:val="false"/>
              <w:keepLines/>
              <w:spacing w:after="40" w:line="252"/>
              <w:jc w:val="left"/>
            </w:pPr>
            <w:r>
              <w:rPr>
                <w:b/>
                <w:bCs/>
                <w:color w:val="1F3864"/>
                <w:sz w:val="19"/>
                <w:szCs w:val="19"/>
              </w:rPr>
              <w:t xml:space="preserve">Priorité</w:t>
            </w:r>
          </w:p>
        </w:tc>
        <w:tc>
          <w:tcPr>
            <w:tcW w:type="dxa" w:w="7738"/>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pPr>
            <w:r>
              <w:rPr>
                <w:b/>
                <w:bCs/>
                <w:color w:val="E26B0A"/>
                <w:sz w:val="19"/>
                <w:szCs w:val="19"/>
              </w:rPr>
              <w:t xml:space="preserve">Élevée</w:t>
            </w:r>
            <w:r>
              <w:rPr>
                <w:color w:val="595959"/>
                <w:sz w:val="19"/>
                <w:szCs w:val="19"/>
              </w:rPr>
              <w:t xml:space="preserve">     Source : </w:t>
            </w:r>
            <w:r>
              <w:rPr>
                <w:sz w:val="19"/>
                <w:szCs w:val="19"/>
              </w:rPr>
              <w:t xml:space="preserve">Claude</w:t>
            </w:r>
          </w:p>
        </w:tc>
      </w:tr>
      <w:tr>
        <w:trPr>
          <w:cantSplit/>
        </w:trPr>
        <w:tc>
          <w:tcPr>
            <w:tcW w:type="dxa" w:w="1900"/>
            <w:tcBorders>
              <w:top w:val="single" w:color="BFC9D9" w:sz="4"/>
              <w:left w:val="single" w:color="BFC9D9" w:sz="4"/>
              <w:bottom w:val="single" w:color="BFC9D9" w:sz="4"/>
              <w:right w:val="single" w:color="BFC9D9" w:sz="4"/>
            </w:tcBorders>
            <w:shd w:fill="EEF2F8" w:color="auto" w:val="clear"/>
            <w:tcMar>
              <w:top w:type="dxa" w:w="70"/>
              <w:left w:type="dxa" w:w="110"/>
              <w:bottom w:type="dxa" w:w="70"/>
              <w:right w:type="dxa" w:w="110"/>
            </w:tcMar>
            <w:vAlign w:val="top"/>
          </w:tcPr>
          <w:p>
            <w:pPr>
              <w:keepNext/>
              <w:keepLines/>
              <w:spacing w:after="40" w:line="252"/>
              <w:jc w:val="left"/>
            </w:pPr>
            <w:r>
              <w:rPr>
                <w:b/>
                <w:bCs/>
                <w:color w:val="1F3864"/>
                <w:sz w:val="19"/>
                <w:szCs w:val="19"/>
              </w:rPr>
              <w:t xml:space="preserve">Constat</w:t>
            </w:r>
          </w:p>
        </w:tc>
        <w:tc>
          <w:tcPr>
            <w:tcW w:type="dxa" w:w="7738"/>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keepLines/>
              <w:spacing w:after="40" w:line="252"/>
              <w:jc w:val="left"/>
            </w:pPr>
            <w:r>
              <w:rPr>
                <w:sz w:val="19"/>
                <w:szCs w:val="19"/>
              </w:rPr>
              <w:t xml:space="preserve">R_production, P_imbalance, C_operation et P_waiting sont décrits en mots, sans formule, unité ni normalisation. La récompense cumulée vaut environ 216 par épisode alors que le tonnage livré dépasse 33 000 t : un facteur d'échelle existe mais n'est pas rapporté.</w:t>
            </w:r>
          </w:p>
        </w:tc>
      </w:tr>
      <w:tr>
        <w:trPr>
          <w:cantSplit/>
        </w:trPr>
        <w:tc>
          <w:tcPr>
            <w:tcW w:type="dxa" w:w="1900"/>
            <w:tcBorders>
              <w:top w:val="single" w:color="BFC9D9" w:sz="4"/>
              <w:left w:val="single" w:color="BFC9D9" w:sz="4"/>
              <w:bottom w:val="single" w:color="BFC9D9" w:sz="4"/>
              <w:right w:val="single" w:color="BFC9D9" w:sz="4"/>
            </w:tcBorders>
            <w:shd w:fill="EEF2F8" w:color="auto" w:val="clear"/>
            <w:tcMar>
              <w:top w:type="dxa" w:w="70"/>
              <w:left w:type="dxa" w:w="110"/>
              <w:bottom w:type="dxa" w:w="70"/>
              <w:right w:type="dxa" w:w="110"/>
            </w:tcMar>
            <w:vAlign w:val="top"/>
          </w:tcPr>
          <w:p>
            <w:pPr>
              <w:keepNext w:val="false"/>
              <w:keepLines/>
              <w:spacing w:after="40" w:line="252"/>
              <w:jc w:val="left"/>
            </w:pPr>
            <w:r>
              <w:rPr>
                <w:b/>
                <w:bCs/>
                <w:color w:val="1F3864"/>
                <w:sz w:val="19"/>
                <w:szCs w:val="19"/>
              </w:rPr>
              <w:t xml:space="preserve">Pourquoi c'est grave</w:t>
            </w:r>
          </w:p>
        </w:tc>
        <w:tc>
          <w:tcPr>
            <w:tcW w:type="dxa" w:w="7738"/>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L'étude n'est pas reproductible et l'ablation sur w₄ n'est pas interprétable.</w:t>
            </w:r>
          </w:p>
        </w:tc>
      </w:tr>
      <w:tr>
        <w:trPr>
          <w:cantSplit/>
        </w:trPr>
        <w:tc>
          <w:tcPr>
            <w:tcW w:type="dxa" w:w="1900"/>
            <w:tcBorders>
              <w:top w:val="single" w:color="BFC9D9" w:sz="4"/>
              <w:left w:val="single" w:color="BFC9D9" w:sz="4"/>
              <w:bottom w:val="single" w:color="BFC9D9" w:sz="4"/>
              <w:right w:val="single" w:color="BFC9D9" w:sz="4"/>
            </w:tcBorders>
            <w:shd w:fill="EEF2F8" w:color="auto" w:val="clear"/>
            <w:tcMar>
              <w:top w:type="dxa" w:w="70"/>
              <w:left w:type="dxa" w:w="110"/>
              <w:bottom w:type="dxa" w:w="70"/>
              <w:right w:type="dxa" w:w="110"/>
            </w:tcMar>
            <w:vAlign w:val="top"/>
          </w:tcPr>
          <w:p>
            <w:pPr>
              <w:keepNext w:val="false"/>
              <w:keepLines/>
              <w:spacing w:after="40" w:line="252"/>
              <w:jc w:val="left"/>
            </w:pPr>
            <w:r>
              <w:rPr>
                <w:b/>
                <w:bCs/>
                <w:color w:val="1F3864"/>
                <w:sz w:val="19"/>
                <w:szCs w:val="19"/>
              </w:rPr>
              <w:t xml:space="preserve">Action corrective</w:t>
            </w:r>
          </w:p>
        </w:tc>
        <w:tc>
          <w:tcPr>
            <w:tcW w:type="dxa" w:w="7738"/>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Donner pour chaque terme une formule, son unité, sa normalisation et le moment où il est calculé (par décision ou par pas de temps).</w:t>
            </w:r>
          </w:p>
        </w:tc>
      </w:tr>
      <w:tr>
        <w:trPr>
          <w:cantSplit/>
        </w:trPr>
        <w:tc>
          <w:tcPr>
            <w:tcW w:type="dxa" w:w="1900"/>
            <w:tcBorders>
              <w:top w:val="single" w:color="BFC9D9" w:sz="4"/>
              <w:left w:val="single" w:color="BFC9D9" w:sz="4"/>
              <w:bottom w:val="single" w:color="BFC9D9" w:sz="4"/>
              <w:right w:val="single" w:color="BFC9D9" w:sz="4"/>
            </w:tcBorders>
            <w:shd w:fill="EEF2F8" w:color="auto" w:val="clear"/>
            <w:tcMar>
              <w:top w:type="dxa" w:w="70"/>
              <w:left w:type="dxa" w:w="110"/>
              <w:bottom w:type="dxa" w:w="70"/>
              <w:right w:type="dxa" w:w="110"/>
            </w:tcMar>
            <w:vAlign w:val="top"/>
          </w:tcPr>
          <w:p>
            <w:pPr>
              <w:keepNext w:val="false"/>
              <w:keepLines/>
              <w:spacing w:after="40" w:line="252"/>
              <w:jc w:val="left"/>
            </w:pPr>
            <w:r>
              <w:rPr>
                <w:b/>
                <w:bCs/>
                <w:color w:val="1F3864"/>
                <w:sz w:val="19"/>
                <w:szCs w:val="19"/>
              </w:rPr>
              <w:t xml:space="preserve">Où dans le .tex</w:t>
            </w:r>
          </w:p>
        </w:tc>
        <w:tc>
          <w:tcPr>
            <w:tcW w:type="dxa" w:w="7738"/>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§4.4 Fonction de récompense multi-objectif (équation eq:reward).</w:t>
            </w:r>
          </w:p>
        </w:tc>
      </w:tr>
      <w:tr>
        <w:trPr>
          <w:cantSplit/>
        </w:trPr>
        <w:tc>
          <w:tcPr>
            <w:tcW w:type="dxa" w:w="1900"/>
            <w:tcBorders>
              <w:top w:val="single" w:color="BFC9D9" w:sz="4"/>
              <w:left w:val="single" w:color="BFC9D9" w:sz="4"/>
              <w:bottom w:val="single" w:color="BFC9D9" w:sz="4"/>
              <w:right w:val="single" w:color="BFC9D9" w:sz="4"/>
            </w:tcBorders>
            <w:shd w:fill="EEF2F8" w:color="auto" w:val="clear"/>
            <w:tcMar>
              <w:top w:type="dxa" w:w="70"/>
              <w:left w:type="dxa" w:w="110"/>
              <w:bottom w:type="dxa" w:w="70"/>
              <w:right w:type="dxa" w:w="110"/>
            </w:tcMar>
            <w:vAlign w:val="top"/>
          </w:tcPr>
          <w:p>
            <w:pPr>
              <w:keepNext w:val="false"/>
              <w:keepLines/>
              <w:spacing w:after="40" w:line="252"/>
              <w:jc w:val="left"/>
            </w:pPr>
            <w:r>
              <w:rPr>
                <w:b/>
                <w:bCs/>
                <w:color w:val="1F3864"/>
                <w:sz w:val="19"/>
                <w:szCs w:val="19"/>
              </w:rPr>
              <w:t xml:space="preserve">Statut</w:t>
            </w:r>
          </w:p>
        </w:tc>
        <w:tc>
          <w:tcPr>
            <w:tcW w:type="dxa" w:w="7738"/>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 À faire     ☐ En cours     ☐ Fait     Notes : ……………………………………………</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rPr>
        <w:tc>
          <w:tcPr>
            <w:tcW w:type="dxa" w:w="9638"/>
            <w:gridSpan w:val="2"/>
            <w:tcBorders>
              <w:top w:val="single" w:color="BFC9D9" w:sz="4"/>
              <w:left w:val="single" w:color="BFC9D9" w:sz="4"/>
              <w:bottom w:val="single" w:color="BFC9D9" w:sz="4"/>
              <w:right w:val="single" w:color="BFC9D9" w:sz="4"/>
            </w:tcBorders>
            <w:shd w:fill="2E5597" w:color="auto" w:val="clear"/>
            <w:tcMar>
              <w:top w:type="dxa" w:w="70"/>
              <w:left w:type="dxa" w:w="110"/>
              <w:bottom w:type="dxa" w:w="70"/>
              <w:right w:type="dxa" w:w="110"/>
            </w:tcMar>
            <w:vAlign w:val="top"/>
          </w:tcPr>
          <w:p>
            <w:pPr>
              <w:keepNext/>
            </w:pPr>
            <w:r>
              <w:rPr>
                <w:b/>
                <w:bCs/>
                <w:color w:val="FFFFFF"/>
                <w:sz w:val="21"/>
                <w:szCs w:val="21"/>
              </w:rPr>
              <w:t xml:space="preserve">M11  </w:t>
            </w:r>
            <w:r>
              <w:rPr>
                <w:b/>
                <w:bCs/>
                <w:color w:val="FFFFFF"/>
                <w:sz w:val="21"/>
                <w:szCs w:val="21"/>
              </w:rPr>
              <w:t xml:space="preserve">Simulateur sous-spécifié</w:t>
            </w:r>
          </w:p>
        </w:tc>
      </w:tr>
      <w:tr>
        <w:tc>
          <w:tcPr>
            <w:tcW w:type="dxa" w:w="1900"/>
            <w:tcBorders>
              <w:top w:val="single" w:color="BFC9D9" w:sz="4"/>
              <w:left w:val="single" w:color="BFC9D9" w:sz="4"/>
              <w:bottom w:val="single" w:color="BFC9D9" w:sz="4"/>
              <w:right w:val="single" w:color="BFC9D9" w:sz="4"/>
            </w:tcBorders>
            <w:shd w:fill="EEF2F8" w:color="auto" w:val="clear"/>
            <w:tcMar>
              <w:top w:type="dxa" w:w="70"/>
              <w:left w:type="dxa" w:w="110"/>
              <w:bottom w:type="dxa" w:w="70"/>
              <w:right w:type="dxa" w:w="110"/>
            </w:tcMar>
            <w:vAlign w:val="top"/>
          </w:tcPr>
          <w:p>
            <w:pPr>
              <w:keepNext w:val="false"/>
              <w:keepLines/>
              <w:spacing w:after="40" w:line="252"/>
              <w:jc w:val="left"/>
            </w:pPr>
            <w:r>
              <w:rPr>
                <w:b/>
                <w:bCs/>
                <w:color w:val="1F3864"/>
                <w:sz w:val="19"/>
                <w:szCs w:val="19"/>
              </w:rPr>
              <w:t xml:space="preserve">Priorité</w:t>
            </w:r>
          </w:p>
        </w:tc>
        <w:tc>
          <w:tcPr>
            <w:tcW w:type="dxa" w:w="7738"/>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pPr>
            <w:r>
              <w:rPr>
                <w:b/>
                <w:bCs/>
                <w:color w:val="E26B0A"/>
                <w:sz w:val="19"/>
                <w:szCs w:val="19"/>
              </w:rPr>
              <w:t xml:space="preserve">Élevée</w:t>
            </w:r>
            <w:r>
              <w:rPr>
                <w:color w:val="595959"/>
                <w:sz w:val="19"/>
                <w:szCs w:val="19"/>
              </w:rPr>
              <w:t xml:space="preserve">     Source : </w:t>
            </w:r>
            <w:r>
              <w:rPr>
                <w:sz w:val="19"/>
                <w:szCs w:val="19"/>
              </w:rPr>
              <w:t xml:space="preserve">Claude ; GPT M14 ; Dir. corr. point 9</w:t>
            </w:r>
          </w:p>
        </w:tc>
      </w:tr>
      <w:tr>
        <w:trPr>
          <w:cantSplit/>
        </w:trPr>
        <w:tc>
          <w:tcPr>
            <w:tcW w:type="dxa" w:w="1900"/>
            <w:tcBorders>
              <w:top w:val="single" w:color="BFC9D9" w:sz="4"/>
              <w:left w:val="single" w:color="BFC9D9" w:sz="4"/>
              <w:bottom w:val="single" w:color="BFC9D9" w:sz="4"/>
              <w:right w:val="single" w:color="BFC9D9" w:sz="4"/>
            </w:tcBorders>
            <w:shd w:fill="EEF2F8" w:color="auto" w:val="clear"/>
            <w:tcMar>
              <w:top w:type="dxa" w:w="70"/>
              <w:left w:type="dxa" w:w="110"/>
              <w:bottom w:type="dxa" w:w="70"/>
              <w:right w:type="dxa" w:w="110"/>
            </w:tcMar>
            <w:vAlign w:val="top"/>
          </w:tcPr>
          <w:p>
            <w:pPr>
              <w:keepNext/>
              <w:keepLines/>
              <w:spacing w:after="40" w:line="252"/>
              <w:jc w:val="left"/>
            </w:pPr>
            <w:r>
              <w:rPr>
                <w:b/>
                <w:bCs/>
                <w:color w:val="1F3864"/>
                <w:sz w:val="19"/>
                <w:szCs w:val="19"/>
              </w:rPr>
              <w:t xml:space="preserve">Constat</w:t>
            </w:r>
          </w:p>
        </w:tc>
        <w:tc>
          <w:tcPr>
            <w:tcW w:type="dxa" w:w="7738"/>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keepLines/>
              <w:spacing w:after="40" w:line="252"/>
              <w:jc w:val="left"/>
            </w:pPr>
            <w:r>
              <w:rPr>
                <w:sz w:val="19"/>
                <w:szCs w:val="19"/>
              </w:rPr>
              <w:t xml:space="preserve">Pour un article dont la contribution C1 est un banc d'essai reproductible, il manque : topologie et distances du graphe, paramètres μ et σ des lois log-normales, durées de chargement et de déversement, modèle de dégradation des pistes, distribution des durées de réparation, nature exacte de la panne (« 2 % par cycle » de quel équipement ?) et modèle de carburant. Le moteur est décrit tantôt comme « à pas de temps », tantôt comme « à événements discrets ».</w:t>
            </w:r>
          </w:p>
        </w:tc>
      </w:tr>
      <w:tr>
        <w:trPr>
          <w:cantSplit/>
        </w:trPr>
        <w:tc>
          <w:tcPr>
            <w:tcW w:type="dxa" w:w="1900"/>
            <w:tcBorders>
              <w:top w:val="single" w:color="BFC9D9" w:sz="4"/>
              <w:left w:val="single" w:color="BFC9D9" w:sz="4"/>
              <w:bottom w:val="single" w:color="BFC9D9" w:sz="4"/>
              <w:right w:val="single" w:color="BFC9D9" w:sz="4"/>
            </w:tcBorders>
            <w:shd w:fill="EEF2F8" w:color="auto" w:val="clear"/>
            <w:tcMar>
              <w:top w:type="dxa" w:w="70"/>
              <w:left w:type="dxa" w:w="110"/>
              <w:bottom w:type="dxa" w:w="70"/>
              <w:right w:type="dxa" w:w="110"/>
            </w:tcMar>
            <w:vAlign w:val="top"/>
          </w:tcPr>
          <w:p>
            <w:pPr>
              <w:keepNext w:val="false"/>
              <w:keepLines/>
              <w:spacing w:after="40" w:line="252"/>
              <w:jc w:val="left"/>
            </w:pPr>
            <w:r>
              <w:rPr>
                <w:b/>
                <w:bCs/>
                <w:color w:val="1F3864"/>
                <w:sz w:val="19"/>
                <w:szCs w:val="19"/>
              </w:rPr>
              <w:t xml:space="preserve">Pourquoi c'est grave</w:t>
            </w:r>
          </w:p>
        </w:tc>
        <w:tc>
          <w:tcPr>
            <w:tcW w:type="dxa" w:w="7738"/>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Reproductibilité insuffisante ; contribution C1 non défendable.</w:t>
            </w:r>
          </w:p>
        </w:tc>
      </w:tr>
      <w:tr>
        <w:trPr>
          <w:cantSplit/>
        </w:trPr>
        <w:tc>
          <w:tcPr>
            <w:tcW w:type="dxa" w:w="1900"/>
            <w:tcBorders>
              <w:top w:val="single" w:color="BFC9D9" w:sz="4"/>
              <w:left w:val="single" w:color="BFC9D9" w:sz="4"/>
              <w:bottom w:val="single" w:color="BFC9D9" w:sz="4"/>
              <w:right w:val="single" w:color="BFC9D9" w:sz="4"/>
            </w:tcBorders>
            <w:shd w:fill="EEF2F8" w:color="auto" w:val="clear"/>
            <w:tcMar>
              <w:top w:type="dxa" w:w="70"/>
              <w:left w:type="dxa" w:w="110"/>
              <w:bottom w:type="dxa" w:w="70"/>
              <w:right w:type="dxa" w:w="110"/>
            </w:tcMar>
            <w:vAlign w:val="top"/>
          </w:tcPr>
          <w:p>
            <w:pPr>
              <w:keepNext w:val="false"/>
              <w:keepLines/>
              <w:spacing w:after="40" w:line="252"/>
              <w:jc w:val="left"/>
            </w:pPr>
            <w:r>
              <w:rPr>
                <w:b/>
                <w:bCs/>
                <w:color w:val="1F3864"/>
                <w:sz w:val="19"/>
                <w:szCs w:val="19"/>
              </w:rPr>
              <w:t xml:space="preserve">Action corrective</w:t>
            </w:r>
          </w:p>
        </w:tc>
        <w:tc>
          <w:tcPr>
            <w:tcW w:type="dxa" w:w="7738"/>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Ajouter un tableau de paramètres du simulateur (ou une annexe), et harmoniser la description du moteur.</w:t>
            </w:r>
          </w:p>
        </w:tc>
      </w:tr>
      <w:tr>
        <w:trPr>
          <w:cantSplit/>
        </w:trPr>
        <w:tc>
          <w:tcPr>
            <w:tcW w:type="dxa" w:w="1900"/>
            <w:tcBorders>
              <w:top w:val="single" w:color="BFC9D9" w:sz="4"/>
              <w:left w:val="single" w:color="BFC9D9" w:sz="4"/>
              <w:bottom w:val="single" w:color="BFC9D9" w:sz="4"/>
              <w:right w:val="single" w:color="BFC9D9" w:sz="4"/>
            </w:tcBorders>
            <w:shd w:fill="EEF2F8" w:color="auto" w:val="clear"/>
            <w:tcMar>
              <w:top w:type="dxa" w:w="70"/>
              <w:left w:type="dxa" w:w="110"/>
              <w:bottom w:type="dxa" w:w="70"/>
              <w:right w:type="dxa" w:w="110"/>
            </w:tcMar>
            <w:vAlign w:val="top"/>
          </w:tcPr>
          <w:p>
            <w:pPr>
              <w:keepNext w:val="false"/>
              <w:keepLines/>
              <w:spacing w:after="40" w:line="252"/>
              <w:jc w:val="left"/>
            </w:pPr>
            <w:r>
              <w:rPr>
                <w:b/>
                <w:bCs/>
                <w:color w:val="1F3864"/>
                <w:sz w:val="19"/>
                <w:szCs w:val="19"/>
              </w:rPr>
              <w:t xml:space="preserve">Où dans le .tex</w:t>
            </w:r>
          </w:p>
        </w:tc>
        <w:tc>
          <w:tcPr>
            <w:tcW w:type="dxa" w:w="7738"/>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§4.1, §4.2, §5.1 Environnement de simulation ; tableau des scénarios ; §8 Limites.</w:t>
            </w:r>
          </w:p>
        </w:tc>
      </w:tr>
      <w:tr>
        <w:trPr>
          <w:cantSplit/>
        </w:trPr>
        <w:tc>
          <w:tcPr>
            <w:tcW w:type="dxa" w:w="1900"/>
            <w:tcBorders>
              <w:top w:val="single" w:color="BFC9D9" w:sz="4"/>
              <w:left w:val="single" w:color="BFC9D9" w:sz="4"/>
              <w:bottom w:val="single" w:color="BFC9D9" w:sz="4"/>
              <w:right w:val="single" w:color="BFC9D9" w:sz="4"/>
            </w:tcBorders>
            <w:shd w:fill="EEF2F8" w:color="auto" w:val="clear"/>
            <w:tcMar>
              <w:top w:type="dxa" w:w="70"/>
              <w:left w:type="dxa" w:w="110"/>
              <w:bottom w:type="dxa" w:w="70"/>
              <w:right w:type="dxa" w:w="110"/>
            </w:tcMar>
            <w:vAlign w:val="top"/>
          </w:tcPr>
          <w:p>
            <w:pPr>
              <w:keepNext w:val="false"/>
              <w:keepLines/>
              <w:spacing w:after="40" w:line="252"/>
              <w:jc w:val="left"/>
            </w:pPr>
            <w:r>
              <w:rPr>
                <w:b/>
                <w:bCs/>
                <w:color w:val="1F3864"/>
                <w:sz w:val="19"/>
                <w:szCs w:val="19"/>
              </w:rPr>
              <w:t xml:space="preserve">Statut</w:t>
            </w:r>
          </w:p>
        </w:tc>
        <w:tc>
          <w:tcPr>
            <w:tcW w:type="dxa" w:w="7738"/>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 À faire     ☐ En cours     ☐ Fait     Notes : ……………………………………………</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rPr>
        <w:tc>
          <w:tcPr>
            <w:tcW w:type="dxa" w:w="9638"/>
            <w:gridSpan w:val="2"/>
            <w:tcBorders>
              <w:top w:val="single" w:color="BFC9D9" w:sz="4"/>
              <w:left w:val="single" w:color="BFC9D9" w:sz="4"/>
              <w:bottom w:val="single" w:color="BFC9D9" w:sz="4"/>
              <w:right w:val="single" w:color="BFC9D9" w:sz="4"/>
            </w:tcBorders>
            <w:shd w:fill="2E5597" w:color="auto" w:val="clear"/>
            <w:tcMar>
              <w:top w:type="dxa" w:w="70"/>
              <w:left w:type="dxa" w:w="110"/>
              <w:bottom w:type="dxa" w:w="70"/>
              <w:right w:type="dxa" w:w="110"/>
            </w:tcMar>
            <w:vAlign w:val="top"/>
          </w:tcPr>
          <w:p>
            <w:pPr>
              <w:keepNext/>
            </w:pPr>
            <w:r>
              <w:rPr>
                <w:b/>
                <w:bCs/>
                <w:color w:val="FFFFFF"/>
                <w:sz w:val="21"/>
                <w:szCs w:val="21"/>
              </w:rPr>
              <w:t xml:space="preserve">M12  </w:t>
            </w:r>
            <w:r>
              <w:rPr>
                <w:b/>
                <w:bCs/>
                <w:color w:val="FFFFFF"/>
                <w:sz w:val="21"/>
                <w:szCs w:val="21"/>
              </w:rPr>
              <w:t xml:space="preserve">Réglage des hyperparamètres inéquitable et non documenté</w:t>
            </w:r>
          </w:p>
        </w:tc>
      </w:tr>
      <w:tr>
        <w:tc>
          <w:tcPr>
            <w:tcW w:type="dxa" w:w="1900"/>
            <w:tcBorders>
              <w:top w:val="single" w:color="BFC9D9" w:sz="4"/>
              <w:left w:val="single" w:color="BFC9D9" w:sz="4"/>
              <w:bottom w:val="single" w:color="BFC9D9" w:sz="4"/>
              <w:right w:val="single" w:color="BFC9D9" w:sz="4"/>
            </w:tcBorders>
            <w:shd w:fill="EEF2F8" w:color="auto" w:val="clear"/>
            <w:tcMar>
              <w:top w:type="dxa" w:w="70"/>
              <w:left w:type="dxa" w:w="110"/>
              <w:bottom w:type="dxa" w:w="70"/>
              <w:right w:type="dxa" w:w="110"/>
            </w:tcMar>
            <w:vAlign w:val="top"/>
          </w:tcPr>
          <w:p>
            <w:pPr>
              <w:keepNext w:val="false"/>
              <w:keepLines/>
              <w:spacing w:after="40" w:line="252"/>
              <w:jc w:val="left"/>
            </w:pPr>
            <w:r>
              <w:rPr>
                <w:b/>
                <w:bCs/>
                <w:color w:val="1F3864"/>
                <w:sz w:val="19"/>
                <w:szCs w:val="19"/>
              </w:rPr>
              <w:t xml:space="preserve">Priorité</w:t>
            </w:r>
          </w:p>
        </w:tc>
        <w:tc>
          <w:tcPr>
            <w:tcW w:type="dxa" w:w="7738"/>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pPr>
            <w:r>
              <w:rPr>
                <w:b/>
                <w:bCs/>
                <w:color w:val="E26B0A"/>
                <w:sz w:val="19"/>
                <w:szCs w:val="19"/>
              </w:rPr>
              <w:t xml:space="preserve">Élevée</w:t>
            </w:r>
            <w:r>
              <w:rPr>
                <w:color w:val="595959"/>
                <w:sz w:val="19"/>
                <w:szCs w:val="19"/>
              </w:rPr>
              <w:t xml:space="preserve">     Source : </w:t>
            </w:r>
            <w:r>
              <w:rPr>
                <w:sz w:val="19"/>
                <w:szCs w:val="19"/>
              </w:rPr>
              <w:t xml:space="preserve">Claude, GPT M6, Dir. corr. point 7</w:t>
            </w:r>
          </w:p>
        </w:tc>
      </w:tr>
      <w:tr>
        <w:trPr>
          <w:cantSplit/>
        </w:trPr>
        <w:tc>
          <w:tcPr>
            <w:tcW w:type="dxa" w:w="1900"/>
            <w:tcBorders>
              <w:top w:val="single" w:color="BFC9D9" w:sz="4"/>
              <w:left w:val="single" w:color="BFC9D9" w:sz="4"/>
              <w:bottom w:val="single" w:color="BFC9D9" w:sz="4"/>
              <w:right w:val="single" w:color="BFC9D9" w:sz="4"/>
            </w:tcBorders>
            <w:shd w:fill="EEF2F8" w:color="auto" w:val="clear"/>
            <w:tcMar>
              <w:top w:type="dxa" w:w="70"/>
              <w:left w:type="dxa" w:w="110"/>
              <w:bottom w:type="dxa" w:w="70"/>
              <w:right w:type="dxa" w:w="110"/>
            </w:tcMar>
            <w:vAlign w:val="top"/>
          </w:tcPr>
          <w:p>
            <w:pPr>
              <w:keepNext/>
              <w:keepLines/>
              <w:spacing w:after="40" w:line="252"/>
              <w:jc w:val="left"/>
            </w:pPr>
            <w:r>
              <w:rPr>
                <w:b/>
                <w:bCs/>
                <w:color w:val="1F3864"/>
                <w:sz w:val="19"/>
                <w:szCs w:val="19"/>
              </w:rPr>
              <w:t xml:space="preserve">Constat</w:t>
            </w:r>
          </w:p>
        </w:tc>
        <w:tc>
          <w:tcPr>
            <w:tcW w:type="dxa" w:w="7738"/>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keepLines/>
              <w:spacing w:after="40" w:line="252"/>
              <w:jc w:val="left"/>
            </w:pPr>
            <w:r>
              <w:rPr>
                <w:sz w:val="19"/>
                <w:szCs w:val="19"/>
              </w:rPr>
              <w:t xml:space="preserve">PPO a bénéficié d'un balayage (qualitatif), DQN tourne avec des réglages par défaut et les agents tabulaires ne convergent pas. Le texte affirme que les paramètres ont été « soigneusement réglés » sans montrer l'espace de recherche ni le critère.</w:t>
            </w:r>
          </w:p>
        </w:tc>
      </w:tr>
      <w:tr>
        <w:trPr>
          <w:cantSplit/>
        </w:trPr>
        <w:tc>
          <w:tcPr>
            <w:tcW w:type="dxa" w:w="1900"/>
            <w:tcBorders>
              <w:top w:val="single" w:color="BFC9D9" w:sz="4"/>
              <w:left w:val="single" w:color="BFC9D9" w:sz="4"/>
              <w:bottom w:val="single" w:color="BFC9D9" w:sz="4"/>
              <w:right w:val="single" w:color="BFC9D9" w:sz="4"/>
            </w:tcBorders>
            <w:shd w:fill="EEF2F8" w:color="auto" w:val="clear"/>
            <w:tcMar>
              <w:top w:type="dxa" w:w="70"/>
              <w:left w:type="dxa" w:w="110"/>
              <w:bottom w:type="dxa" w:w="70"/>
              <w:right w:type="dxa" w:w="110"/>
            </w:tcMar>
            <w:vAlign w:val="top"/>
          </w:tcPr>
          <w:p>
            <w:pPr>
              <w:keepNext w:val="false"/>
              <w:keepLines/>
              <w:spacing w:after="40" w:line="252"/>
              <w:jc w:val="left"/>
            </w:pPr>
            <w:r>
              <w:rPr>
                <w:b/>
                <w:bCs/>
                <w:color w:val="1F3864"/>
                <w:sz w:val="19"/>
                <w:szCs w:val="19"/>
              </w:rPr>
              <w:t xml:space="preserve">Pourquoi c'est grave</w:t>
            </w:r>
          </w:p>
        </w:tc>
        <w:tc>
          <w:tcPr>
            <w:tcW w:type="dxa" w:w="7738"/>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Question certaine : « PPO a-t-il été réglé plus soigneusement que les autres ? »</w:t>
            </w:r>
          </w:p>
        </w:tc>
      </w:tr>
      <w:tr>
        <w:trPr>
          <w:cantSplit/>
        </w:trPr>
        <w:tc>
          <w:tcPr>
            <w:tcW w:type="dxa" w:w="1900"/>
            <w:tcBorders>
              <w:top w:val="single" w:color="BFC9D9" w:sz="4"/>
              <w:left w:val="single" w:color="BFC9D9" w:sz="4"/>
              <w:bottom w:val="single" w:color="BFC9D9" w:sz="4"/>
              <w:right w:val="single" w:color="BFC9D9" w:sz="4"/>
            </w:tcBorders>
            <w:shd w:fill="EEF2F8" w:color="auto" w:val="clear"/>
            <w:tcMar>
              <w:top w:type="dxa" w:w="70"/>
              <w:left w:type="dxa" w:w="110"/>
              <w:bottom w:type="dxa" w:w="70"/>
              <w:right w:type="dxa" w:w="110"/>
            </w:tcMar>
            <w:vAlign w:val="top"/>
          </w:tcPr>
          <w:p>
            <w:pPr>
              <w:keepNext w:val="false"/>
              <w:keepLines/>
              <w:spacing w:after="40" w:line="252"/>
              <w:jc w:val="left"/>
            </w:pPr>
            <w:r>
              <w:rPr>
                <w:b/>
                <w:bCs/>
                <w:color w:val="1F3864"/>
                <w:sz w:val="19"/>
                <w:szCs w:val="19"/>
              </w:rPr>
              <w:t xml:space="preserve">Action corrective</w:t>
            </w:r>
          </w:p>
        </w:tc>
        <w:tc>
          <w:tcPr>
            <w:tcW w:type="dxa" w:w="7738"/>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Ajouter un tableau : valeurs testées, scénario utilisé, critère de sélection, meilleure configuration et performance (moyenne ± écart-type).</w:t>
            </w:r>
          </w:p>
          <w:p>
            <w:pPr>
              <w:keepNext w:val="false"/>
              <w:keepLines/>
              <w:spacing w:after="40" w:line="252"/>
              <w:jc w:val="left"/>
            </w:pPr>
            <w:r>
              <w:rPr>
                <w:sz w:val="19"/>
                <w:szCs w:val="19"/>
              </w:rPr>
              <w:t xml:space="preserve">Préciser que le réglage a été fait sur des graines distinctes de l'évaluation finale.</w:t>
            </w:r>
          </w:p>
          <w:p>
            <w:pPr>
              <w:keepNext w:val="false"/>
              <w:keepLines/>
              <w:spacing w:after="40" w:line="252"/>
              <w:jc w:val="left"/>
            </w:pPr>
            <w:r>
              <w:rPr>
                <w:sz w:val="19"/>
                <w:szCs w:val="19"/>
              </w:rPr>
              <w:t xml:space="preserve">Appliquer un budget de réglage identique à DQN, ou reconnaître explicitement l'inégalité comme limite.</w:t>
            </w:r>
          </w:p>
        </w:tc>
      </w:tr>
      <w:tr>
        <w:trPr>
          <w:cantSplit/>
        </w:trPr>
        <w:tc>
          <w:tcPr>
            <w:tcW w:type="dxa" w:w="1900"/>
            <w:tcBorders>
              <w:top w:val="single" w:color="BFC9D9" w:sz="4"/>
              <w:left w:val="single" w:color="BFC9D9" w:sz="4"/>
              <w:bottom w:val="single" w:color="BFC9D9" w:sz="4"/>
              <w:right w:val="single" w:color="BFC9D9" w:sz="4"/>
            </w:tcBorders>
            <w:shd w:fill="EEF2F8" w:color="auto" w:val="clear"/>
            <w:tcMar>
              <w:top w:type="dxa" w:w="70"/>
              <w:left w:type="dxa" w:w="110"/>
              <w:bottom w:type="dxa" w:w="70"/>
              <w:right w:type="dxa" w:w="110"/>
            </w:tcMar>
            <w:vAlign w:val="top"/>
          </w:tcPr>
          <w:p>
            <w:pPr>
              <w:keepNext w:val="false"/>
              <w:keepLines/>
              <w:spacing w:after="40" w:line="252"/>
              <w:jc w:val="left"/>
            </w:pPr>
            <w:r>
              <w:rPr>
                <w:b/>
                <w:bCs/>
                <w:color w:val="1F3864"/>
                <w:sz w:val="19"/>
                <w:szCs w:val="19"/>
              </w:rPr>
              <w:t xml:space="preserve">Où dans le .tex</w:t>
            </w:r>
          </w:p>
        </w:tc>
        <w:tc>
          <w:tcPr>
            <w:tcW w:type="dxa" w:w="7738"/>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§5.2 Politique PPO ; §7.7 (balayage de sensibilité) ; §8 Limites.</w:t>
            </w:r>
          </w:p>
        </w:tc>
      </w:tr>
      <w:tr>
        <w:trPr>
          <w:cantSplit/>
        </w:trPr>
        <w:tc>
          <w:tcPr>
            <w:tcW w:type="dxa" w:w="1900"/>
            <w:tcBorders>
              <w:top w:val="single" w:color="BFC9D9" w:sz="4"/>
              <w:left w:val="single" w:color="BFC9D9" w:sz="4"/>
              <w:bottom w:val="single" w:color="BFC9D9" w:sz="4"/>
              <w:right w:val="single" w:color="BFC9D9" w:sz="4"/>
            </w:tcBorders>
            <w:shd w:fill="EEF2F8" w:color="auto" w:val="clear"/>
            <w:tcMar>
              <w:top w:type="dxa" w:w="70"/>
              <w:left w:type="dxa" w:w="110"/>
              <w:bottom w:type="dxa" w:w="70"/>
              <w:right w:type="dxa" w:w="110"/>
            </w:tcMar>
            <w:vAlign w:val="top"/>
          </w:tcPr>
          <w:p>
            <w:pPr>
              <w:keepNext w:val="false"/>
              <w:keepLines/>
              <w:spacing w:after="40" w:line="252"/>
              <w:jc w:val="left"/>
            </w:pPr>
            <w:r>
              <w:rPr>
                <w:b/>
                <w:bCs/>
                <w:color w:val="1F3864"/>
                <w:sz w:val="19"/>
                <w:szCs w:val="19"/>
              </w:rPr>
              <w:t xml:space="preserve">Statut</w:t>
            </w:r>
          </w:p>
        </w:tc>
        <w:tc>
          <w:tcPr>
            <w:tcW w:type="dxa" w:w="7738"/>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 À faire     ☐ En cours     ☐ Fait     Notes : ……………………………………………</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rPr>
        <w:tc>
          <w:tcPr>
            <w:tcW w:type="dxa" w:w="9638"/>
            <w:gridSpan w:val="2"/>
            <w:tcBorders>
              <w:top w:val="single" w:color="BFC9D9" w:sz="4"/>
              <w:left w:val="single" w:color="BFC9D9" w:sz="4"/>
              <w:bottom w:val="single" w:color="BFC9D9" w:sz="4"/>
              <w:right w:val="single" w:color="BFC9D9" w:sz="4"/>
            </w:tcBorders>
            <w:shd w:fill="2E5597" w:color="auto" w:val="clear"/>
            <w:tcMar>
              <w:top w:type="dxa" w:w="70"/>
              <w:left w:type="dxa" w:w="110"/>
              <w:bottom w:type="dxa" w:w="70"/>
              <w:right w:type="dxa" w:w="110"/>
            </w:tcMar>
            <w:vAlign w:val="top"/>
          </w:tcPr>
          <w:p>
            <w:pPr>
              <w:keepNext/>
            </w:pPr>
            <w:r>
              <w:rPr>
                <w:b/>
                <w:bCs/>
                <w:color w:val="FFFFFF"/>
                <w:sz w:val="21"/>
                <w:szCs w:val="21"/>
              </w:rPr>
              <w:t xml:space="preserve">M13  </w:t>
            </w:r>
            <w:r>
              <w:rPr>
                <w:b/>
                <w:bCs/>
                <w:color w:val="FFFFFF"/>
                <w:sz w:val="21"/>
                <w:szCs w:val="21"/>
              </w:rPr>
              <w:t xml:space="preserve">Ablation sur w₄ : interprétation trop causale</w:t>
            </w:r>
          </w:p>
        </w:tc>
      </w:tr>
      <w:tr>
        <w:tc>
          <w:tcPr>
            <w:tcW w:type="dxa" w:w="1900"/>
            <w:tcBorders>
              <w:top w:val="single" w:color="BFC9D9" w:sz="4"/>
              <w:left w:val="single" w:color="BFC9D9" w:sz="4"/>
              <w:bottom w:val="single" w:color="BFC9D9" w:sz="4"/>
              <w:right w:val="single" w:color="BFC9D9" w:sz="4"/>
            </w:tcBorders>
            <w:shd w:fill="EEF2F8" w:color="auto" w:val="clear"/>
            <w:tcMar>
              <w:top w:type="dxa" w:w="70"/>
              <w:left w:type="dxa" w:w="110"/>
              <w:bottom w:type="dxa" w:w="70"/>
              <w:right w:type="dxa" w:w="110"/>
            </w:tcMar>
            <w:vAlign w:val="top"/>
          </w:tcPr>
          <w:p>
            <w:pPr>
              <w:keepNext w:val="false"/>
              <w:keepLines/>
              <w:spacing w:after="40" w:line="252"/>
              <w:jc w:val="left"/>
            </w:pPr>
            <w:r>
              <w:rPr>
                <w:b/>
                <w:bCs/>
                <w:color w:val="1F3864"/>
                <w:sz w:val="19"/>
                <w:szCs w:val="19"/>
              </w:rPr>
              <w:t xml:space="preserve">Priorité</w:t>
            </w:r>
          </w:p>
        </w:tc>
        <w:tc>
          <w:tcPr>
            <w:tcW w:type="dxa" w:w="7738"/>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pPr>
            <w:r>
              <w:rPr>
                <w:b/>
                <w:bCs/>
                <w:color w:val="E26B0A"/>
                <w:sz w:val="19"/>
                <w:szCs w:val="19"/>
              </w:rPr>
              <w:t xml:space="preserve">Élevée</w:t>
            </w:r>
            <w:r>
              <w:rPr>
                <w:color w:val="595959"/>
                <w:sz w:val="19"/>
                <w:szCs w:val="19"/>
              </w:rPr>
              <w:t xml:space="preserve">     Source : </w:t>
            </w:r>
            <w:r>
              <w:rPr>
                <w:sz w:val="19"/>
                <w:szCs w:val="19"/>
              </w:rPr>
              <w:t xml:space="preserve">GPT M7, Dir. corr. point 6, Claude</w:t>
            </w:r>
          </w:p>
        </w:tc>
      </w:tr>
      <w:tr>
        <w:trPr>
          <w:cantSplit/>
        </w:trPr>
        <w:tc>
          <w:tcPr>
            <w:tcW w:type="dxa" w:w="1900"/>
            <w:tcBorders>
              <w:top w:val="single" w:color="BFC9D9" w:sz="4"/>
              <w:left w:val="single" w:color="BFC9D9" w:sz="4"/>
              <w:bottom w:val="single" w:color="BFC9D9" w:sz="4"/>
              <w:right w:val="single" w:color="BFC9D9" w:sz="4"/>
            </w:tcBorders>
            <w:shd w:fill="EEF2F8" w:color="auto" w:val="clear"/>
            <w:tcMar>
              <w:top w:type="dxa" w:w="70"/>
              <w:left w:type="dxa" w:w="110"/>
              <w:bottom w:type="dxa" w:w="70"/>
              <w:right w:type="dxa" w:w="110"/>
            </w:tcMar>
            <w:vAlign w:val="top"/>
          </w:tcPr>
          <w:p>
            <w:pPr>
              <w:keepNext/>
              <w:keepLines/>
              <w:spacing w:after="40" w:line="252"/>
              <w:jc w:val="left"/>
            </w:pPr>
            <w:r>
              <w:rPr>
                <w:b/>
                <w:bCs/>
                <w:color w:val="1F3864"/>
                <w:sz w:val="19"/>
                <w:szCs w:val="19"/>
              </w:rPr>
              <w:t xml:space="preserve">Constat</w:t>
            </w:r>
          </w:p>
        </w:tc>
        <w:tc>
          <w:tcPr>
            <w:tcW w:type="dxa" w:w="7738"/>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keepLines/>
              <w:spacing w:after="40" w:line="252"/>
              <w:jc w:val="left"/>
            </w:pPr>
            <w:r>
              <w:rPr>
                <w:sz w:val="19"/>
                <w:szCs w:val="19"/>
              </w:rPr>
              <w:t xml:space="preserve">Chaque valeur de w₄ correspond à un seul entraînement. La non-monotonie à w₄ = 0,1 est expliquée par des « signaux de gradient conflictuels » qui feraient converger la politique vers un équilibre sous-optimal.</w:t>
            </w:r>
          </w:p>
        </w:tc>
      </w:tr>
      <w:tr>
        <w:trPr>
          <w:cantSplit/>
        </w:trPr>
        <w:tc>
          <w:tcPr>
            <w:tcW w:type="dxa" w:w="1900"/>
            <w:tcBorders>
              <w:top w:val="single" w:color="BFC9D9" w:sz="4"/>
              <w:left w:val="single" w:color="BFC9D9" w:sz="4"/>
              <w:bottom w:val="single" w:color="BFC9D9" w:sz="4"/>
              <w:right w:val="single" w:color="BFC9D9" w:sz="4"/>
            </w:tcBorders>
            <w:shd w:fill="EEF2F8" w:color="auto" w:val="clear"/>
            <w:tcMar>
              <w:top w:type="dxa" w:w="70"/>
              <w:left w:type="dxa" w:w="110"/>
              <w:bottom w:type="dxa" w:w="70"/>
              <w:right w:type="dxa" w:w="110"/>
            </w:tcMar>
            <w:vAlign w:val="top"/>
          </w:tcPr>
          <w:p>
            <w:pPr>
              <w:keepNext w:val="false"/>
              <w:keepLines/>
              <w:spacing w:after="40" w:line="252"/>
              <w:jc w:val="left"/>
            </w:pPr>
            <w:r>
              <w:rPr>
                <w:b/>
                <w:bCs/>
                <w:color w:val="1F3864"/>
                <w:sz w:val="19"/>
                <w:szCs w:val="19"/>
              </w:rPr>
              <w:t xml:space="preserve">Pourquoi c'est grave</w:t>
            </w:r>
          </w:p>
        </w:tc>
        <w:tc>
          <w:tcPr>
            <w:tcW w:type="dxa" w:w="7738"/>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La différence peut n'être que du bruit d'entraînement.</w:t>
            </w:r>
          </w:p>
        </w:tc>
      </w:tr>
      <w:tr>
        <w:trPr>
          <w:cantSplit/>
        </w:trPr>
        <w:tc>
          <w:tcPr>
            <w:tcW w:type="dxa" w:w="1900"/>
            <w:tcBorders>
              <w:top w:val="single" w:color="BFC9D9" w:sz="4"/>
              <w:left w:val="single" w:color="BFC9D9" w:sz="4"/>
              <w:bottom w:val="single" w:color="BFC9D9" w:sz="4"/>
              <w:right w:val="single" w:color="BFC9D9" w:sz="4"/>
            </w:tcBorders>
            <w:shd w:fill="EEF2F8" w:color="auto" w:val="clear"/>
            <w:tcMar>
              <w:top w:type="dxa" w:w="70"/>
              <w:left w:type="dxa" w:w="110"/>
              <w:bottom w:type="dxa" w:w="70"/>
              <w:right w:type="dxa" w:w="110"/>
            </w:tcMar>
            <w:vAlign w:val="top"/>
          </w:tcPr>
          <w:p>
            <w:pPr>
              <w:keepNext w:val="false"/>
              <w:keepLines/>
              <w:spacing w:after="40" w:line="252"/>
              <w:jc w:val="left"/>
            </w:pPr>
            <w:r>
              <w:rPr>
                <w:b/>
                <w:bCs/>
                <w:color w:val="1F3864"/>
                <w:sz w:val="19"/>
                <w:szCs w:val="19"/>
              </w:rPr>
              <w:t xml:space="preserve">Action corrective</w:t>
            </w:r>
          </w:p>
        </w:tc>
        <w:tc>
          <w:tcPr>
            <w:tcW w:type="dxa" w:w="7738"/>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Idéalement : 3 à 5 graines par valeur de w₄.</w:t>
            </w:r>
          </w:p>
          <w:p>
            <w:pPr>
              <w:keepNext w:val="false"/>
              <w:keepLines/>
              <w:spacing w:after="40" w:line="252"/>
              <w:jc w:val="left"/>
            </w:pPr>
            <w:r>
              <w:rPr>
                <w:sz w:val="19"/>
                <w:szCs w:val="19"/>
              </w:rPr>
              <w:t xml:space="preserve">Sinon reformuler : « la dégradation observée est compatible avec un compromis de récompense défavorable, mais plusieurs entraînements indépendants seraient nécessaires pour la distinguer de la stochasticité de l'entraînement ».</w:t>
            </w:r>
          </w:p>
        </w:tc>
      </w:tr>
      <w:tr>
        <w:trPr>
          <w:cantSplit/>
        </w:trPr>
        <w:tc>
          <w:tcPr>
            <w:tcW w:type="dxa" w:w="1900"/>
            <w:tcBorders>
              <w:top w:val="single" w:color="BFC9D9" w:sz="4"/>
              <w:left w:val="single" w:color="BFC9D9" w:sz="4"/>
              <w:bottom w:val="single" w:color="BFC9D9" w:sz="4"/>
              <w:right w:val="single" w:color="BFC9D9" w:sz="4"/>
            </w:tcBorders>
            <w:shd w:fill="EEF2F8" w:color="auto" w:val="clear"/>
            <w:tcMar>
              <w:top w:type="dxa" w:w="70"/>
              <w:left w:type="dxa" w:w="110"/>
              <w:bottom w:type="dxa" w:w="70"/>
              <w:right w:type="dxa" w:w="110"/>
            </w:tcMar>
            <w:vAlign w:val="top"/>
          </w:tcPr>
          <w:p>
            <w:pPr>
              <w:keepNext w:val="false"/>
              <w:keepLines/>
              <w:spacing w:after="40" w:line="252"/>
              <w:jc w:val="left"/>
            </w:pPr>
            <w:r>
              <w:rPr>
                <w:b/>
                <w:bCs/>
                <w:color w:val="1F3864"/>
                <w:sz w:val="19"/>
                <w:szCs w:val="19"/>
              </w:rPr>
              <w:t xml:space="preserve">Où dans le .tex</w:t>
            </w:r>
          </w:p>
        </w:tc>
        <w:tc>
          <w:tcPr>
            <w:tcW w:type="dxa" w:w="7738"/>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§7.7 Étude d'ablation et tableau tab:ablation.</w:t>
            </w:r>
          </w:p>
        </w:tc>
      </w:tr>
      <w:tr>
        <w:trPr>
          <w:cantSplit/>
        </w:trPr>
        <w:tc>
          <w:tcPr>
            <w:tcW w:type="dxa" w:w="1900"/>
            <w:tcBorders>
              <w:top w:val="single" w:color="BFC9D9" w:sz="4"/>
              <w:left w:val="single" w:color="BFC9D9" w:sz="4"/>
              <w:bottom w:val="single" w:color="BFC9D9" w:sz="4"/>
              <w:right w:val="single" w:color="BFC9D9" w:sz="4"/>
            </w:tcBorders>
            <w:shd w:fill="EEF2F8" w:color="auto" w:val="clear"/>
            <w:tcMar>
              <w:top w:type="dxa" w:w="70"/>
              <w:left w:type="dxa" w:w="110"/>
              <w:bottom w:type="dxa" w:w="70"/>
              <w:right w:type="dxa" w:w="110"/>
            </w:tcMar>
            <w:vAlign w:val="top"/>
          </w:tcPr>
          <w:p>
            <w:pPr>
              <w:keepNext w:val="false"/>
              <w:keepLines/>
              <w:spacing w:after="40" w:line="252"/>
              <w:jc w:val="left"/>
            </w:pPr>
            <w:r>
              <w:rPr>
                <w:b/>
                <w:bCs/>
                <w:color w:val="1F3864"/>
                <w:sz w:val="19"/>
                <w:szCs w:val="19"/>
              </w:rPr>
              <w:t xml:space="preserve">Statut</w:t>
            </w:r>
          </w:p>
        </w:tc>
        <w:tc>
          <w:tcPr>
            <w:tcW w:type="dxa" w:w="7738"/>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 À faire     ☐ En cours     ☐ Fait     Notes : ……………………………………………</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rPr>
        <w:tc>
          <w:tcPr>
            <w:tcW w:type="dxa" w:w="9638"/>
            <w:gridSpan w:val="2"/>
            <w:tcBorders>
              <w:top w:val="single" w:color="BFC9D9" w:sz="4"/>
              <w:left w:val="single" w:color="BFC9D9" w:sz="4"/>
              <w:bottom w:val="single" w:color="BFC9D9" w:sz="4"/>
              <w:right w:val="single" w:color="BFC9D9" w:sz="4"/>
            </w:tcBorders>
            <w:shd w:fill="2E5597" w:color="auto" w:val="clear"/>
            <w:tcMar>
              <w:top w:type="dxa" w:w="70"/>
              <w:left w:type="dxa" w:w="110"/>
              <w:bottom w:type="dxa" w:w="70"/>
              <w:right w:type="dxa" w:w="110"/>
            </w:tcMar>
            <w:vAlign w:val="top"/>
          </w:tcPr>
          <w:p>
            <w:pPr>
              <w:keepNext/>
            </w:pPr>
            <w:r>
              <w:rPr>
                <w:b/>
                <w:bCs/>
                <w:color w:val="FFFFFF"/>
                <w:sz w:val="21"/>
                <w:szCs w:val="21"/>
              </w:rPr>
              <w:t xml:space="preserve">M14  </w:t>
            </w:r>
            <w:r>
              <w:rPr>
                <w:b/>
                <w:bCs/>
                <w:color w:val="FFFFFF"/>
                <w:sz w:val="21"/>
                <w:szCs w:val="21"/>
              </w:rPr>
              <w:t xml:space="preserve">Le mécanisme du tampon de rejeu de DQN est répété sans preuve</w:t>
            </w:r>
          </w:p>
        </w:tc>
      </w:tr>
      <w:tr>
        <w:tc>
          <w:tcPr>
            <w:tcW w:type="dxa" w:w="1900"/>
            <w:tcBorders>
              <w:top w:val="single" w:color="BFC9D9" w:sz="4"/>
              <w:left w:val="single" w:color="BFC9D9" w:sz="4"/>
              <w:bottom w:val="single" w:color="BFC9D9" w:sz="4"/>
              <w:right w:val="single" w:color="BFC9D9" w:sz="4"/>
            </w:tcBorders>
            <w:shd w:fill="EEF2F8" w:color="auto" w:val="clear"/>
            <w:tcMar>
              <w:top w:type="dxa" w:w="70"/>
              <w:left w:type="dxa" w:w="110"/>
              <w:bottom w:type="dxa" w:w="70"/>
              <w:right w:type="dxa" w:w="110"/>
            </w:tcMar>
            <w:vAlign w:val="top"/>
          </w:tcPr>
          <w:p>
            <w:pPr>
              <w:keepNext w:val="false"/>
              <w:keepLines/>
              <w:spacing w:after="40" w:line="252"/>
              <w:jc w:val="left"/>
            </w:pPr>
            <w:r>
              <w:rPr>
                <w:b/>
                <w:bCs/>
                <w:color w:val="1F3864"/>
                <w:sz w:val="19"/>
                <w:szCs w:val="19"/>
              </w:rPr>
              <w:t xml:space="preserve">Priorité</w:t>
            </w:r>
          </w:p>
        </w:tc>
        <w:tc>
          <w:tcPr>
            <w:tcW w:type="dxa" w:w="7738"/>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pPr>
            <w:r>
              <w:rPr>
                <w:b/>
                <w:bCs/>
                <w:color w:val="BF8F00"/>
                <w:sz w:val="19"/>
                <w:szCs w:val="19"/>
              </w:rPr>
              <w:t xml:space="preserve">Moyenne</w:t>
            </w:r>
            <w:r>
              <w:rPr>
                <w:color w:val="595959"/>
                <w:sz w:val="19"/>
                <w:szCs w:val="19"/>
              </w:rPr>
              <w:t xml:space="preserve">     Source : </w:t>
            </w:r>
            <w:r>
              <w:rPr>
                <w:sz w:val="19"/>
                <w:szCs w:val="19"/>
              </w:rPr>
              <w:t xml:space="preserve">Claude, GPT M5, Dir. corr. point 5</w:t>
            </w:r>
          </w:p>
        </w:tc>
      </w:tr>
      <w:tr>
        <w:trPr>
          <w:cantSplit/>
        </w:trPr>
        <w:tc>
          <w:tcPr>
            <w:tcW w:type="dxa" w:w="1900"/>
            <w:tcBorders>
              <w:top w:val="single" w:color="BFC9D9" w:sz="4"/>
              <w:left w:val="single" w:color="BFC9D9" w:sz="4"/>
              <w:bottom w:val="single" w:color="BFC9D9" w:sz="4"/>
              <w:right w:val="single" w:color="BFC9D9" w:sz="4"/>
            </w:tcBorders>
            <w:shd w:fill="EEF2F8" w:color="auto" w:val="clear"/>
            <w:tcMar>
              <w:top w:type="dxa" w:w="70"/>
              <w:left w:type="dxa" w:w="110"/>
              <w:bottom w:type="dxa" w:w="70"/>
              <w:right w:type="dxa" w:w="110"/>
            </w:tcMar>
            <w:vAlign w:val="top"/>
          </w:tcPr>
          <w:p>
            <w:pPr>
              <w:keepNext/>
              <w:keepLines/>
              <w:spacing w:after="40" w:line="252"/>
              <w:jc w:val="left"/>
            </w:pPr>
            <w:r>
              <w:rPr>
                <w:b/>
                <w:bCs/>
                <w:color w:val="1F3864"/>
                <w:sz w:val="19"/>
                <w:szCs w:val="19"/>
              </w:rPr>
              <w:t xml:space="preserve">Constat</w:t>
            </w:r>
          </w:p>
        </w:tc>
        <w:tc>
          <w:tcPr>
            <w:tcW w:type="dxa" w:w="7738"/>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keepLines/>
              <w:spacing w:after="40" w:line="252"/>
              <w:jc w:val="left"/>
            </w:pPr>
            <w:r>
              <w:rPr>
                <w:sz w:val="19"/>
                <w:szCs w:val="19"/>
              </w:rPr>
              <w:t xml:space="preserve">L'hypothèse selon laquelle le rejeu d'expériences explique la robustesse de DQN apparaît environ cinq fois (§5.3, §8.1, §8.2, limites, conclusion), sans ablation (tampon, réseau cible, exploration, architecture).</w:t>
            </w:r>
          </w:p>
        </w:tc>
      </w:tr>
      <w:tr>
        <w:trPr>
          <w:cantSplit/>
        </w:trPr>
        <w:tc>
          <w:tcPr>
            <w:tcW w:type="dxa" w:w="1900"/>
            <w:tcBorders>
              <w:top w:val="single" w:color="BFC9D9" w:sz="4"/>
              <w:left w:val="single" w:color="BFC9D9" w:sz="4"/>
              <w:bottom w:val="single" w:color="BFC9D9" w:sz="4"/>
              <w:right w:val="single" w:color="BFC9D9" w:sz="4"/>
            </w:tcBorders>
            <w:shd w:fill="EEF2F8" w:color="auto" w:val="clear"/>
            <w:tcMar>
              <w:top w:type="dxa" w:w="70"/>
              <w:left w:type="dxa" w:w="110"/>
              <w:bottom w:type="dxa" w:w="70"/>
              <w:right w:type="dxa" w:w="110"/>
            </w:tcMar>
            <w:vAlign w:val="top"/>
          </w:tcPr>
          <w:p>
            <w:pPr>
              <w:keepNext w:val="false"/>
              <w:keepLines/>
              <w:spacing w:after="40" w:line="252"/>
              <w:jc w:val="left"/>
            </w:pPr>
            <w:r>
              <w:rPr>
                <w:b/>
                <w:bCs/>
                <w:color w:val="1F3864"/>
                <w:sz w:val="19"/>
                <w:szCs w:val="19"/>
              </w:rPr>
              <w:t xml:space="preserve">Pourquoi c'est grave</w:t>
            </w:r>
          </w:p>
        </w:tc>
        <w:tc>
          <w:tcPr>
            <w:tcW w:type="dxa" w:w="7738"/>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La répétition donne l'impression d'une affirmation causale.</w:t>
            </w:r>
          </w:p>
        </w:tc>
      </w:tr>
      <w:tr>
        <w:trPr>
          <w:cantSplit/>
        </w:trPr>
        <w:tc>
          <w:tcPr>
            <w:tcW w:type="dxa" w:w="1900"/>
            <w:tcBorders>
              <w:top w:val="single" w:color="BFC9D9" w:sz="4"/>
              <w:left w:val="single" w:color="BFC9D9" w:sz="4"/>
              <w:bottom w:val="single" w:color="BFC9D9" w:sz="4"/>
              <w:right w:val="single" w:color="BFC9D9" w:sz="4"/>
            </w:tcBorders>
            <w:shd w:fill="EEF2F8" w:color="auto" w:val="clear"/>
            <w:tcMar>
              <w:top w:type="dxa" w:w="70"/>
              <w:left w:type="dxa" w:w="110"/>
              <w:bottom w:type="dxa" w:w="70"/>
              <w:right w:type="dxa" w:w="110"/>
            </w:tcMar>
            <w:vAlign w:val="top"/>
          </w:tcPr>
          <w:p>
            <w:pPr>
              <w:keepNext w:val="false"/>
              <w:keepLines/>
              <w:spacing w:after="40" w:line="252"/>
              <w:jc w:val="left"/>
            </w:pPr>
            <w:r>
              <w:rPr>
                <w:b/>
                <w:bCs/>
                <w:color w:val="1F3864"/>
                <w:sz w:val="19"/>
                <w:szCs w:val="19"/>
              </w:rPr>
              <w:t xml:space="preserve">Action corrective</w:t>
            </w:r>
          </w:p>
        </w:tc>
        <w:tc>
          <w:tcPr>
            <w:tcW w:type="dxa" w:w="7738"/>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Soit faire l'ablation, soit mentionner l'hypothèse une seule fois avec « une explication possible est… ». Retirer aussi le lien entre rejeu et « candidat le plus déployable » en §8.2.</w:t>
            </w:r>
          </w:p>
        </w:tc>
      </w:tr>
      <w:tr>
        <w:trPr>
          <w:cantSplit/>
        </w:trPr>
        <w:tc>
          <w:tcPr>
            <w:tcW w:type="dxa" w:w="1900"/>
            <w:tcBorders>
              <w:top w:val="single" w:color="BFC9D9" w:sz="4"/>
              <w:left w:val="single" w:color="BFC9D9" w:sz="4"/>
              <w:bottom w:val="single" w:color="BFC9D9" w:sz="4"/>
              <w:right w:val="single" w:color="BFC9D9" w:sz="4"/>
            </w:tcBorders>
            <w:shd w:fill="EEF2F8" w:color="auto" w:val="clear"/>
            <w:tcMar>
              <w:top w:type="dxa" w:w="70"/>
              <w:left w:type="dxa" w:w="110"/>
              <w:bottom w:type="dxa" w:w="70"/>
              <w:right w:type="dxa" w:w="110"/>
            </w:tcMar>
            <w:vAlign w:val="top"/>
          </w:tcPr>
          <w:p>
            <w:pPr>
              <w:keepNext w:val="false"/>
              <w:keepLines/>
              <w:spacing w:after="40" w:line="252"/>
              <w:jc w:val="left"/>
            </w:pPr>
            <w:r>
              <w:rPr>
                <w:b/>
                <w:bCs/>
                <w:color w:val="1F3864"/>
                <w:sz w:val="19"/>
                <w:szCs w:val="19"/>
              </w:rPr>
              <w:t xml:space="preserve">Où dans le .tex</w:t>
            </w:r>
          </w:p>
        </w:tc>
        <w:tc>
          <w:tcPr>
            <w:tcW w:type="dxa" w:w="7738"/>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§5.3 ; §8.1 ; §8.2 ; §8.4 ; conclusion.</w:t>
            </w:r>
          </w:p>
        </w:tc>
      </w:tr>
      <w:tr>
        <w:trPr>
          <w:cantSplit/>
        </w:trPr>
        <w:tc>
          <w:tcPr>
            <w:tcW w:type="dxa" w:w="1900"/>
            <w:tcBorders>
              <w:top w:val="single" w:color="BFC9D9" w:sz="4"/>
              <w:left w:val="single" w:color="BFC9D9" w:sz="4"/>
              <w:bottom w:val="single" w:color="BFC9D9" w:sz="4"/>
              <w:right w:val="single" w:color="BFC9D9" w:sz="4"/>
            </w:tcBorders>
            <w:shd w:fill="EEF2F8" w:color="auto" w:val="clear"/>
            <w:tcMar>
              <w:top w:type="dxa" w:w="70"/>
              <w:left w:type="dxa" w:w="110"/>
              <w:bottom w:type="dxa" w:w="70"/>
              <w:right w:type="dxa" w:w="110"/>
            </w:tcMar>
            <w:vAlign w:val="top"/>
          </w:tcPr>
          <w:p>
            <w:pPr>
              <w:keepNext w:val="false"/>
              <w:keepLines/>
              <w:spacing w:after="40" w:line="252"/>
              <w:jc w:val="left"/>
            </w:pPr>
            <w:r>
              <w:rPr>
                <w:b/>
                <w:bCs/>
                <w:color w:val="1F3864"/>
                <w:sz w:val="19"/>
                <w:szCs w:val="19"/>
              </w:rPr>
              <w:t xml:space="preserve">Statut</w:t>
            </w:r>
          </w:p>
        </w:tc>
        <w:tc>
          <w:tcPr>
            <w:tcW w:type="dxa" w:w="7738"/>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 À faire     ☐ En cours     ☐ Fait     Notes : ……………………………………………</w:t>
            </w:r>
          </w:p>
        </w:tc>
      </w:tr>
    </w:tbl>
    <w:p>
      <w:pPr>
        <w:spacing w:after="120"/>
      </w:pPr>
    </w:p>
    <w:p>
      <w:pPr>
        <w:pStyle w:val="Heading2"/>
      </w:pPr>
      <w:r>
        <w:t xml:space="preserve">Bloc C. Cohérence entre résultats, figures et discussion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rPr>
        <w:tc>
          <w:tcPr>
            <w:tcW w:type="dxa" w:w="9638"/>
            <w:gridSpan w:val="2"/>
            <w:tcBorders>
              <w:top w:val="single" w:color="BFC9D9" w:sz="4"/>
              <w:left w:val="single" w:color="BFC9D9" w:sz="4"/>
              <w:bottom w:val="single" w:color="BFC9D9" w:sz="4"/>
              <w:right w:val="single" w:color="BFC9D9" w:sz="4"/>
            </w:tcBorders>
            <w:shd w:fill="2E5597" w:color="auto" w:val="clear"/>
            <w:tcMar>
              <w:top w:type="dxa" w:w="70"/>
              <w:left w:type="dxa" w:w="110"/>
              <w:bottom w:type="dxa" w:w="70"/>
              <w:right w:type="dxa" w:w="110"/>
            </w:tcMar>
            <w:vAlign w:val="top"/>
          </w:tcPr>
          <w:p>
            <w:pPr>
              <w:keepNext/>
            </w:pPr>
            <w:r>
              <w:rPr>
                <w:b/>
                <w:bCs/>
                <w:color w:val="FFFFFF"/>
                <w:sz w:val="21"/>
                <w:szCs w:val="21"/>
              </w:rPr>
              <w:t xml:space="preserve">M15  </w:t>
            </w:r>
            <w:r>
              <w:rPr>
                <w:b/>
                <w:bCs/>
                <w:color w:val="FFFFFF"/>
                <w:sz w:val="21"/>
                <w:szCs w:val="21"/>
              </w:rPr>
              <w:t xml:space="preserve">Le scénario « forte charge » n'est probablement pas sursaturé</w:t>
            </w:r>
          </w:p>
        </w:tc>
      </w:tr>
      <w:tr>
        <w:tc>
          <w:tcPr>
            <w:tcW w:type="dxa" w:w="1900"/>
            <w:tcBorders>
              <w:top w:val="single" w:color="BFC9D9" w:sz="4"/>
              <w:left w:val="single" w:color="BFC9D9" w:sz="4"/>
              <w:bottom w:val="single" w:color="BFC9D9" w:sz="4"/>
              <w:right w:val="single" w:color="BFC9D9" w:sz="4"/>
            </w:tcBorders>
            <w:shd w:fill="EEF2F8" w:color="auto" w:val="clear"/>
            <w:tcMar>
              <w:top w:type="dxa" w:w="70"/>
              <w:left w:type="dxa" w:w="110"/>
              <w:bottom w:type="dxa" w:w="70"/>
              <w:right w:type="dxa" w:w="110"/>
            </w:tcMar>
            <w:vAlign w:val="top"/>
          </w:tcPr>
          <w:p>
            <w:pPr>
              <w:keepNext w:val="false"/>
              <w:keepLines/>
              <w:spacing w:after="40" w:line="252"/>
              <w:jc w:val="left"/>
            </w:pPr>
            <w:r>
              <w:rPr>
                <w:b/>
                <w:bCs/>
                <w:color w:val="1F3864"/>
                <w:sz w:val="19"/>
                <w:szCs w:val="19"/>
              </w:rPr>
              <w:t xml:space="preserve">Priorité</w:t>
            </w:r>
          </w:p>
        </w:tc>
        <w:tc>
          <w:tcPr>
            <w:tcW w:type="dxa" w:w="7738"/>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pPr>
            <w:r>
              <w:rPr>
                <w:b/>
                <w:bCs/>
                <w:color w:val="E26B0A"/>
                <w:sz w:val="19"/>
                <w:szCs w:val="19"/>
              </w:rPr>
              <w:t xml:space="preserve">Élevée</w:t>
            </w:r>
            <w:r>
              <w:rPr>
                <w:color w:val="595959"/>
                <w:sz w:val="19"/>
                <w:szCs w:val="19"/>
              </w:rPr>
              <w:t xml:space="preserve">     Source : </w:t>
            </w:r>
            <w:r>
              <w:rPr>
                <w:sz w:val="19"/>
                <w:szCs w:val="19"/>
              </w:rPr>
              <w:t xml:space="preserve">Claude ; GPT M10</w:t>
            </w:r>
          </w:p>
        </w:tc>
      </w:tr>
      <w:tr>
        <w:trPr>
          <w:cantSplit/>
        </w:trPr>
        <w:tc>
          <w:tcPr>
            <w:tcW w:type="dxa" w:w="1900"/>
            <w:tcBorders>
              <w:top w:val="single" w:color="BFC9D9" w:sz="4"/>
              <w:left w:val="single" w:color="BFC9D9" w:sz="4"/>
              <w:bottom w:val="single" w:color="BFC9D9" w:sz="4"/>
              <w:right w:val="single" w:color="BFC9D9" w:sz="4"/>
            </w:tcBorders>
            <w:shd w:fill="EEF2F8" w:color="auto" w:val="clear"/>
            <w:tcMar>
              <w:top w:type="dxa" w:w="70"/>
              <w:left w:type="dxa" w:w="110"/>
              <w:bottom w:type="dxa" w:w="70"/>
              <w:right w:type="dxa" w:w="110"/>
            </w:tcMar>
            <w:vAlign w:val="top"/>
          </w:tcPr>
          <w:p>
            <w:pPr>
              <w:keepNext/>
              <w:keepLines/>
              <w:spacing w:after="40" w:line="252"/>
              <w:jc w:val="left"/>
            </w:pPr>
            <w:r>
              <w:rPr>
                <w:b/>
                <w:bCs/>
                <w:color w:val="1F3864"/>
                <w:sz w:val="19"/>
                <w:szCs w:val="19"/>
              </w:rPr>
              <w:t xml:space="preserve">Constat</w:t>
            </w:r>
          </w:p>
        </w:tc>
        <w:tc>
          <w:tcPr>
            <w:tcW w:type="dxa" w:w="7738"/>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keepLines/>
              <w:spacing w:after="40" w:line="252"/>
              <w:jc w:val="left"/>
            </w:pPr>
            <w:r>
              <w:rPr>
                <w:sz w:val="19"/>
                <w:szCs w:val="19"/>
              </w:rPr>
              <w:t xml:space="preserve">FIFO et l'Affectation fixe gagnent +44 % de débit pour +50 % de camions : c'est la signature d'un système sous-camionné en nominal, pas d'une sursaturation. De plus, un ratio de robustesse supérieur à 1 en forte charge reflète seulement le surplus de camions.</w:t>
            </w:r>
          </w:p>
        </w:tc>
      </w:tr>
      <w:tr>
        <w:trPr>
          <w:cantSplit/>
        </w:trPr>
        <w:tc>
          <w:tcPr>
            <w:tcW w:type="dxa" w:w="1900"/>
            <w:tcBorders>
              <w:top w:val="single" w:color="BFC9D9" w:sz="4"/>
              <w:left w:val="single" w:color="BFC9D9" w:sz="4"/>
              <w:bottom w:val="single" w:color="BFC9D9" w:sz="4"/>
              <w:right w:val="single" w:color="BFC9D9" w:sz="4"/>
            </w:tcBorders>
            <w:shd w:fill="EEF2F8" w:color="auto" w:val="clear"/>
            <w:tcMar>
              <w:top w:type="dxa" w:w="70"/>
              <w:left w:type="dxa" w:w="110"/>
              <w:bottom w:type="dxa" w:w="70"/>
              <w:right w:type="dxa" w:w="110"/>
            </w:tcMar>
            <w:vAlign w:val="top"/>
          </w:tcPr>
          <w:p>
            <w:pPr>
              <w:keepNext w:val="false"/>
              <w:keepLines/>
              <w:spacing w:after="40" w:line="252"/>
              <w:jc w:val="left"/>
            </w:pPr>
            <w:r>
              <w:rPr>
                <w:b/>
                <w:bCs/>
                <w:color w:val="1F3864"/>
                <w:sz w:val="19"/>
                <w:szCs w:val="19"/>
              </w:rPr>
              <w:t xml:space="preserve">Pourquoi c'est grave</w:t>
            </w:r>
          </w:p>
        </w:tc>
        <w:tc>
          <w:tcPr>
            <w:tcW w:type="dxa" w:w="7738"/>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Le vocabulaire de « sursaturation » et les ratios de robustesse en forte charge sont mal posés. La figure de Pareto superpose des régimes de tailles de flotte différentes.</w:t>
            </w:r>
          </w:p>
        </w:tc>
      </w:tr>
      <w:tr>
        <w:trPr>
          <w:cantSplit/>
        </w:trPr>
        <w:tc>
          <w:tcPr>
            <w:tcW w:type="dxa" w:w="1900"/>
            <w:tcBorders>
              <w:top w:val="single" w:color="BFC9D9" w:sz="4"/>
              <w:left w:val="single" w:color="BFC9D9" w:sz="4"/>
              <w:bottom w:val="single" w:color="BFC9D9" w:sz="4"/>
              <w:right w:val="single" w:color="BFC9D9" w:sz="4"/>
            </w:tcBorders>
            <w:shd w:fill="EEF2F8" w:color="auto" w:val="clear"/>
            <w:tcMar>
              <w:top w:type="dxa" w:w="70"/>
              <w:left w:type="dxa" w:w="110"/>
              <w:bottom w:type="dxa" w:w="70"/>
              <w:right w:type="dxa" w:w="110"/>
            </w:tcMar>
            <w:vAlign w:val="top"/>
          </w:tcPr>
          <w:p>
            <w:pPr>
              <w:keepNext w:val="false"/>
              <w:keepLines/>
              <w:spacing w:after="40" w:line="252"/>
              <w:jc w:val="left"/>
            </w:pPr>
            <w:r>
              <w:rPr>
                <w:b/>
                <w:bCs/>
                <w:color w:val="1F3864"/>
                <w:sz w:val="19"/>
                <w:szCs w:val="19"/>
              </w:rPr>
              <w:t xml:space="preserve">Action corrective</w:t>
            </w:r>
          </w:p>
        </w:tc>
        <w:tc>
          <w:tcPr>
            <w:tcW w:type="dxa" w:w="7738"/>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Rapporter le facteur d'appariement (match factor, Burt et Caccetta, 2014) et une borne supérieure de capacité des pelles pour chaque scénario.</w:t>
            </w:r>
          </w:p>
          <w:p>
            <w:pPr>
              <w:keepNext w:val="false"/>
              <w:keepLines/>
              <w:spacing w:after="40" w:line="252"/>
              <w:jc w:val="left"/>
            </w:pPr>
            <w:r>
              <w:rPr>
                <w:sz w:val="19"/>
                <w:szCs w:val="19"/>
              </w:rPr>
              <w:t xml:space="preserve">Normaliser la productivité par camion (t/h/camion). Exemple : Affectation fixe 339 → 326 (−4 %), PPO 348 → 286 (−18 %), ce qui renforce votre thèse.</w:t>
            </w:r>
          </w:p>
          <w:p>
            <w:pPr>
              <w:keepNext w:val="false"/>
              <w:keepLines/>
              <w:spacing w:after="40" w:line="252"/>
              <w:jc w:val="left"/>
            </w:pPr>
            <w:r>
              <w:rPr>
                <w:sz w:val="19"/>
                <w:szCs w:val="19"/>
              </w:rPr>
              <w:t xml:space="preserve">Recalculer les ratios de robustesse en forte charge sur cette base.</w:t>
            </w:r>
          </w:p>
        </w:tc>
      </w:tr>
      <w:tr>
        <w:trPr>
          <w:cantSplit/>
        </w:trPr>
        <w:tc>
          <w:tcPr>
            <w:tcW w:type="dxa" w:w="1900"/>
            <w:tcBorders>
              <w:top w:val="single" w:color="BFC9D9" w:sz="4"/>
              <w:left w:val="single" w:color="BFC9D9" w:sz="4"/>
              <w:bottom w:val="single" w:color="BFC9D9" w:sz="4"/>
              <w:right w:val="single" w:color="BFC9D9" w:sz="4"/>
            </w:tcBorders>
            <w:shd w:fill="EEF2F8" w:color="auto" w:val="clear"/>
            <w:tcMar>
              <w:top w:type="dxa" w:w="70"/>
              <w:left w:type="dxa" w:w="110"/>
              <w:bottom w:type="dxa" w:w="70"/>
              <w:right w:type="dxa" w:w="110"/>
            </w:tcMar>
            <w:vAlign w:val="top"/>
          </w:tcPr>
          <w:p>
            <w:pPr>
              <w:keepNext w:val="false"/>
              <w:keepLines/>
              <w:spacing w:after="40" w:line="252"/>
              <w:jc w:val="left"/>
            </w:pPr>
            <w:r>
              <w:rPr>
                <w:b/>
                <w:bCs/>
                <w:color w:val="1F3864"/>
                <w:sz w:val="19"/>
                <w:szCs w:val="19"/>
              </w:rPr>
              <w:t xml:space="preserve">Où dans le .tex</w:t>
            </w:r>
          </w:p>
        </w:tc>
        <w:tc>
          <w:tcPr>
            <w:tcW w:type="dxa" w:w="7738"/>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§6.1 Scénarios ; §7.1 ; §7.3 Robustesse ; figure de Pareto.</w:t>
            </w:r>
          </w:p>
        </w:tc>
      </w:tr>
      <w:tr>
        <w:trPr>
          <w:cantSplit/>
        </w:trPr>
        <w:tc>
          <w:tcPr>
            <w:tcW w:type="dxa" w:w="1900"/>
            <w:tcBorders>
              <w:top w:val="single" w:color="BFC9D9" w:sz="4"/>
              <w:left w:val="single" w:color="BFC9D9" w:sz="4"/>
              <w:bottom w:val="single" w:color="BFC9D9" w:sz="4"/>
              <w:right w:val="single" w:color="BFC9D9" w:sz="4"/>
            </w:tcBorders>
            <w:shd w:fill="EEF2F8" w:color="auto" w:val="clear"/>
            <w:tcMar>
              <w:top w:type="dxa" w:w="70"/>
              <w:left w:type="dxa" w:w="110"/>
              <w:bottom w:type="dxa" w:w="70"/>
              <w:right w:type="dxa" w:w="110"/>
            </w:tcMar>
            <w:vAlign w:val="top"/>
          </w:tcPr>
          <w:p>
            <w:pPr>
              <w:keepNext w:val="false"/>
              <w:keepLines/>
              <w:spacing w:after="40" w:line="252"/>
              <w:jc w:val="left"/>
            </w:pPr>
            <w:r>
              <w:rPr>
                <w:b/>
                <w:bCs/>
                <w:color w:val="1F3864"/>
                <w:sz w:val="19"/>
                <w:szCs w:val="19"/>
              </w:rPr>
              <w:t xml:space="preserve">Statut</w:t>
            </w:r>
          </w:p>
        </w:tc>
        <w:tc>
          <w:tcPr>
            <w:tcW w:type="dxa" w:w="7738"/>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 À faire     ☐ En cours     ☐ Fait     Notes : ……………………………………………</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rPr>
        <w:tc>
          <w:tcPr>
            <w:tcW w:type="dxa" w:w="9638"/>
            <w:gridSpan w:val="2"/>
            <w:tcBorders>
              <w:top w:val="single" w:color="BFC9D9" w:sz="4"/>
              <w:left w:val="single" w:color="BFC9D9" w:sz="4"/>
              <w:bottom w:val="single" w:color="BFC9D9" w:sz="4"/>
              <w:right w:val="single" w:color="BFC9D9" w:sz="4"/>
            </w:tcBorders>
            <w:shd w:fill="2E5597" w:color="auto" w:val="clear"/>
            <w:tcMar>
              <w:top w:type="dxa" w:w="70"/>
              <w:left w:type="dxa" w:w="110"/>
              <w:bottom w:type="dxa" w:w="70"/>
              <w:right w:type="dxa" w:w="110"/>
            </w:tcMar>
            <w:vAlign w:val="top"/>
          </w:tcPr>
          <w:p>
            <w:pPr>
              <w:keepNext/>
            </w:pPr>
            <w:r>
              <w:rPr>
                <w:b/>
                <w:bCs/>
                <w:color w:val="FFFFFF"/>
                <w:sz w:val="21"/>
                <w:szCs w:val="21"/>
              </w:rPr>
              <w:t xml:space="preserve">M16  </w:t>
            </w:r>
            <w:r>
              <w:rPr>
                <w:b/>
                <w:bCs/>
                <w:color w:val="FFFFFF"/>
                <w:sz w:val="21"/>
                <w:szCs w:val="21"/>
              </w:rPr>
              <w:t xml:space="preserve">Analyse par l'entropie : formule absente et mécanisme incohérent</w:t>
            </w:r>
          </w:p>
        </w:tc>
      </w:tr>
      <w:tr>
        <w:tc>
          <w:tcPr>
            <w:tcW w:type="dxa" w:w="1900"/>
            <w:tcBorders>
              <w:top w:val="single" w:color="BFC9D9" w:sz="4"/>
              <w:left w:val="single" w:color="BFC9D9" w:sz="4"/>
              <w:bottom w:val="single" w:color="BFC9D9" w:sz="4"/>
              <w:right w:val="single" w:color="BFC9D9" w:sz="4"/>
            </w:tcBorders>
            <w:shd w:fill="EEF2F8" w:color="auto" w:val="clear"/>
            <w:tcMar>
              <w:top w:type="dxa" w:w="70"/>
              <w:left w:type="dxa" w:w="110"/>
              <w:bottom w:type="dxa" w:w="70"/>
              <w:right w:type="dxa" w:w="110"/>
            </w:tcMar>
            <w:vAlign w:val="top"/>
          </w:tcPr>
          <w:p>
            <w:pPr>
              <w:keepNext w:val="false"/>
              <w:keepLines/>
              <w:spacing w:after="40" w:line="252"/>
              <w:jc w:val="left"/>
            </w:pPr>
            <w:r>
              <w:rPr>
                <w:b/>
                <w:bCs/>
                <w:color w:val="1F3864"/>
                <w:sz w:val="19"/>
                <w:szCs w:val="19"/>
              </w:rPr>
              <w:t xml:space="preserve">Priorité</w:t>
            </w:r>
          </w:p>
        </w:tc>
        <w:tc>
          <w:tcPr>
            <w:tcW w:type="dxa" w:w="7738"/>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pPr>
            <w:r>
              <w:rPr>
                <w:b/>
                <w:bCs/>
                <w:color w:val="E26B0A"/>
                <w:sz w:val="19"/>
                <w:szCs w:val="19"/>
              </w:rPr>
              <w:t xml:space="preserve">Élevée</w:t>
            </w:r>
            <w:r>
              <w:rPr>
                <w:color w:val="595959"/>
                <w:sz w:val="19"/>
                <w:szCs w:val="19"/>
              </w:rPr>
              <w:t xml:space="preserve">     Source : </w:t>
            </w:r>
            <w:r>
              <w:rPr>
                <w:sz w:val="19"/>
                <w:szCs w:val="19"/>
              </w:rPr>
              <w:t xml:space="preserve">Claude ; GPT M13</w:t>
            </w:r>
          </w:p>
        </w:tc>
      </w:tr>
      <w:tr>
        <w:trPr>
          <w:cantSplit/>
        </w:trPr>
        <w:tc>
          <w:tcPr>
            <w:tcW w:type="dxa" w:w="1900"/>
            <w:tcBorders>
              <w:top w:val="single" w:color="BFC9D9" w:sz="4"/>
              <w:left w:val="single" w:color="BFC9D9" w:sz="4"/>
              <w:bottom w:val="single" w:color="BFC9D9" w:sz="4"/>
              <w:right w:val="single" w:color="BFC9D9" w:sz="4"/>
            </w:tcBorders>
            <w:shd w:fill="EEF2F8" w:color="auto" w:val="clear"/>
            <w:tcMar>
              <w:top w:type="dxa" w:w="70"/>
              <w:left w:type="dxa" w:w="110"/>
              <w:bottom w:type="dxa" w:w="70"/>
              <w:right w:type="dxa" w:w="110"/>
            </w:tcMar>
            <w:vAlign w:val="top"/>
          </w:tcPr>
          <w:p>
            <w:pPr>
              <w:keepNext/>
              <w:keepLines/>
              <w:spacing w:after="40" w:line="252"/>
              <w:jc w:val="left"/>
            </w:pPr>
            <w:r>
              <w:rPr>
                <w:b/>
                <w:bCs/>
                <w:color w:val="1F3864"/>
                <w:sz w:val="19"/>
                <w:szCs w:val="19"/>
              </w:rPr>
              <w:t xml:space="preserve">Constat</w:t>
            </w:r>
          </w:p>
        </w:tc>
        <w:tc>
          <w:tcPr>
            <w:tcW w:type="dxa" w:w="7738"/>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keepLines/>
              <w:spacing w:after="40" w:line="252"/>
              <w:jc w:val="left"/>
            </w:pPr>
            <w:r>
              <w:rPr>
                <w:sz w:val="19"/>
                <w:szCs w:val="19"/>
              </w:rPr>
              <w:t xml:space="preserve">L'entropie n'est pas définie (quelle formule, quelle granularité). La discussion affirme que, sous Pelle la plus proche en forte charge, les 18 camions convergent vers une seule pelle (H ≈ 0), alors que cette politique produit 3 948 t/h, plus qu'en nominal avec trois pelles. Si la règle ignore les files, on ne comprend pas pourquoi elle ne s'effondre pas aussi en nominal. L'analyse repose sur un seul épisode (graine 42).</w:t>
            </w:r>
          </w:p>
        </w:tc>
      </w:tr>
      <w:tr>
        <w:trPr>
          <w:cantSplit/>
        </w:trPr>
        <w:tc>
          <w:tcPr>
            <w:tcW w:type="dxa" w:w="1900"/>
            <w:tcBorders>
              <w:top w:val="single" w:color="BFC9D9" w:sz="4"/>
              <w:left w:val="single" w:color="BFC9D9" w:sz="4"/>
              <w:bottom w:val="single" w:color="BFC9D9" w:sz="4"/>
              <w:right w:val="single" w:color="BFC9D9" w:sz="4"/>
            </w:tcBorders>
            <w:shd w:fill="EEF2F8" w:color="auto" w:val="clear"/>
            <w:tcMar>
              <w:top w:type="dxa" w:w="70"/>
              <w:left w:type="dxa" w:w="110"/>
              <w:bottom w:type="dxa" w:w="70"/>
              <w:right w:type="dxa" w:w="110"/>
            </w:tcMar>
            <w:vAlign w:val="top"/>
          </w:tcPr>
          <w:p>
            <w:pPr>
              <w:keepNext w:val="false"/>
              <w:keepLines/>
              <w:spacing w:after="40" w:line="252"/>
              <w:jc w:val="left"/>
            </w:pPr>
            <w:r>
              <w:rPr>
                <w:b/>
                <w:bCs/>
                <w:color w:val="1F3864"/>
                <w:sz w:val="19"/>
                <w:szCs w:val="19"/>
              </w:rPr>
              <w:t xml:space="preserve">Pourquoi c'est grave</w:t>
            </w:r>
          </w:p>
        </w:tc>
        <w:tc>
          <w:tcPr>
            <w:tcW w:type="dxa" w:w="7738"/>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La contribution C3 n'est pas étayée.</w:t>
            </w:r>
          </w:p>
        </w:tc>
      </w:tr>
      <w:tr>
        <w:trPr>
          <w:cantSplit/>
        </w:trPr>
        <w:tc>
          <w:tcPr>
            <w:tcW w:type="dxa" w:w="1900"/>
            <w:tcBorders>
              <w:top w:val="single" w:color="BFC9D9" w:sz="4"/>
              <w:left w:val="single" w:color="BFC9D9" w:sz="4"/>
              <w:bottom w:val="single" w:color="BFC9D9" w:sz="4"/>
              <w:right w:val="single" w:color="BFC9D9" w:sz="4"/>
            </w:tcBorders>
            <w:shd w:fill="EEF2F8" w:color="auto" w:val="clear"/>
            <w:tcMar>
              <w:top w:type="dxa" w:w="70"/>
              <w:left w:type="dxa" w:w="110"/>
              <w:bottom w:type="dxa" w:w="70"/>
              <w:right w:type="dxa" w:w="110"/>
            </w:tcMar>
            <w:vAlign w:val="top"/>
          </w:tcPr>
          <w:p>
            <w:pPr>
              <w:keepNext w:val="false"/>
              <w:keepLines/>
              <w:spacing w:after="40" w:line="252"/>
              <w:jc w:val="left"/>
            </w:pPr>
            <w:r>
              <w:rPr>
                <w:b/>
                <w:bCs/>
                <w:color w:val="1F3864"/>
                <w:sz w:val="19"/>
                <w:szCs w:val="19"/>
              </w:rPr>
              <w:t xml:space="preserve">Action corrective</w:t>
            </w:r>
          </w:p>
        </w:tc>
        <w:tc>
          <w:tcPr>
            <w:tcW w:type="dxa" w:w="7738"/>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Donner la formule (entropie de Shannon de la distribution des affectations, fenêtre temporelle).</w:t>
            </w:r>
          </w:p>
          <w:p>
            <w:pPr>
              <w:keepNext w:val="false"/>
              <w:keepLines/>
              <w:spacing w:after="40" w:line="252"/>
              <w:jc w:val="left"/>
            </w:pPr>
            <w:r>
              <w:rPr>
                <w:sz w:val="19"/>
                <w:szCs w:val="19"/>
              </w:rPr>
              <w:t xml:space="preserve">Agréger l'analyse sur les 30 réplications et expliquer la cohérence avec le débit observé.</w:t>
            </w:r>
          </w:p>
          <w:p>
            <w:pPr>
              <w:keepNext w:val="false"/>
              <w:keepLines/>
              <w:spacing w:after="40" w:line="252"/>
              <w:jc w:val="left"/>
            </w:pPr>
            <w:r>
              <w:rPr>
                <w:sz w:val="19"/>
                <w:szCs w:val="19"/>
              </w:rPr>
              <w:t xml:space="preserve">Retirer « dû à la différence d'entropie plutôt qu'à un choix fortuit », ou l'étayer.</w:t>
            </w:r>
          </w:p>
          <w:p>
            <w:pPr>
              <w:keepNext w:val="false"/>
              <w:keepLines/>
              <w:spacing w:after="40" w:line="252"/>
              <w:jc w:val="left"/>
            </w:pPr>
            <w:r>
              <w:rPr>
                <w:sz w:val="19"/>
                <w:szCs w:val="19"/>
              </w:rPr>
              <w:t xml:space="preserve">À défaut, déclasser C3 en analyse complémentaire.</w:t>
            </w:r>
          </w:p>
        </w:tc>
      </w:tr>
      <w:tr>
        <w:trPr>
          <w:cantSplit/>
        </w:trPr>
        <w:tc>
          <w:tcPr>
            <w:tcW w:type="dxa" w:w="1900"/>
            <w:tcBorders>
              <w:top w:val="single" w:color="BFC9D9" w:sz="4"/>
              <w:left w:val="single" w:color="BFC9D9" w:sz="4"/>
              <w:bottom w:val="single" w:color="BFC9D9" w:sz="4"/>
              <w:right w:val="single" w:color="BFC9D9" w:sz="4"/>
            </w:tcBorders>
            <w:shd w:fill="EEF2F8" w:color="auto" w:val="clear"/>
            <w:tcMar>
              <w:top w:type="dxa" w:w="70"/>
              <w:left w:type="dxa" w:w="110"/>
              <w:bottom w:type="dxa" w:w="70"/>
              <w:right w:type="dxa" w:w="110"/>
            </w:tcMar>
            <w:vAlign w:val="top"/>
          </w:tcPr>
          <w:p>
            <w:pPr>
              <w:keepNext w:val="false"/>
              <w:keepLines/>
              <w:spacing w:after="40" w:line="252"/>
              <w:jc w:val="left"/>
            </w:pPr>
            <w:r>
              <w:rPr>
                <w:b/>
                <w:bCs/>
                <w:color w:val="1F3864"/>
                <w:sz w:val="19"/>
                <w:szCs w:val="19"/>
              </w:rPr>
              <w:t xml:space="preserve">Où dans le .tex</w:t>
            </w:r>
          </w:p>
        </w:tc>
        <w:tc>
          <w:tcPr>
            <w:tcW w:type="dxa" w:w="7738"/>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§1.5 Contributions (C3) ; §8.1 et figure behavioral_analysis.</w:t>
            </w:r>
          </w:p>
        </w:tc>
      </w:tr>
      <w:tr>
        <w:trPr>
          <w:cantSplit/>
        </w:trPr>
        <w:tc>
          <w:tcPr>
            <w:tcW w:type="dxa" w:w="1900"/>
            <w:tcBorders>
              <w:top w:val="single" w:color="BFC9D9" w:sz="4"/>
              <w:left w:val="single" w:color="BFC9D9" w:sz="4"/>
              <w:bottom w:val="single" w:color="BFC9D9" w:sz="4"/>
              <w:right w:val="single" w:color="BFC9D9" w:sz="4"/>
            </w:tcBorders>
            <w:shd w:fill="EEF2F8" w:color="auto" w:val="clear"/>
            <w:tcMar>
              <w:top w:type="dxa" w:w="70"/>
              <w:left w:type="dxa" w:w="110"/>
              <w:bottom w:type="dxa" w:w="70"/>
              <w:right w:type="dxa" w:w="110"/>
            </w:tcMar>
            <w:vAlign w:val="top"/>
          </w:tcPr>
          <w:p>
            <w:pPr>
              <w:keepNext w:val="false"/>
              <w:keepLines/>
              <w:spacing w:after="40" w:line="252"/>
              <w:jc w:val="left"/>
            </w:pPr>
            <w:r>
              <w:rPr>
                <w:b/>
                <w:bCs/>
                <w:color w:val="1F3864"/>
                <w:sz w:val="19"/>
                <w:szCs w:val="19"/>
              </w:rPr>
              <w:t xml:space="preserve">Statut</w:t>
            </w:r>
          </w:p>
        </w:tc>
        <w:tc>
          <w:tcPr>
            <w:tcW w:type="dxa" w:w="7738"/>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 À faire     ☐ En cours     ☐ Fait     Notes : ……………………………………………</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rPr>
        <w:tc>
          <w:tcPr>
            <w:tcW w:type="dxa" w:w="9638"/>
            <w:gridSpan w:val="2"/>
            <w:tcBorders>
              <w:top w:val="single" w:color="BFC9D9" w:sz="4"/>
              <w:left w:val="single" w:color="BFC9D9" w:sz="4"/>
              <w:bottom w:val="single" w:color="BFC9D9" w:sz="4"/>
              <w:right w:val="single" w:color="BFC9D9" w:sz="4"/>
            </w:tcBorders>
            <w:shd w:fill="2E5597" w:color="auto" w:val="clear"/>
            <w:tcMar>
              <w:top w:type="dxa" w:w="70"/>
              <w:left w:type="dxa" w:w="110"/>
              <w:bottom w:type="dxa" w:w="70"/>
              <w:right w:type="dxa" w:w="110"/>
            </w:tcMar>
            <w:vAlign w:val="top"/>
          </w:tcPr>
          <w:p>
            <w:pPr>
              <w:keepNext/>
            </w:pPr>
            <w:r>
              <w:rPr>
                <w:b/>
                <w:bCs/>
                <w:color w:val="FFFFFF"/>
                <w:sz w:val="21"/>
                <w:szCs w:val="21"/>
              </w:rPr>
              <w:t xml:space="preserve">M17  </w:t>
            </w:r>
            <w:r>
              <w:rPr>
                <w:b/>
                <w:bCs/>
                <w:color w:val="FFFFFF"/>
                <w:sz w:val="21"/>
                <w:szCs w:val="21"/>
              </w:rPr>
              <w:t xml:space="preserve">Le critère de robustesse n'est pas appliqué de manière uniforme</w:t>
            </w:r>
          </w:p>
        </w:tc>
      </w:tr>
      <w:tr>
        <w:tc>
          <w:tcPr>
            <w:tcW w:type="dxa" w:w="1900"/>
            <w:tcBorders>
              <w:top w:val="single" w:color="BFC9D9" w:sz="4"/>
              <w:left w:val="single" w:color="BFC9D9" w:sz="4"/>
              <w:bottom w:val="single" w:color="BFC9D9" w:sz="4"/>
              <w:right w:val="single" w:color="BFC9D9" w:sz="4"/>
            </w:tcBorders>
            <w:shd w:fill="EEF2F8" w:color="auto" w:val="clear"/>
            <w:tcMar>
              <w:top w:type="dxa" w:w="70"/>
              <w:left w:type="dxa" w:w="110"/>
              <w:bottom w:type="dxa" w:w="70"/>
              <w:right w:type="dxa" w:w="110"/>
            </w:tcMar>
            <w:vAlign w:val="top"/>
          </w:tcPr>
          <w:p>
            <w:pPr>
              <w:keepNext w:val="false"/>
              <w:keepLines/>
              <w:spacing w:after="40" w:line="252"/>
              <w:jc w:val="left"/>
            </w:pPr>
            <w:r>
              <w:rPr>
                <w:b/>
                <w:bCs/>
                <w:color w:val="1F3864"/>
                <w:sz w:val="19"/>
                <w:szCs w:val="19"/>
              </w:rPr>
              <w:t xml:space="preserve">Priorité</w:t>
            </w:r>
          </w:p>
        </w:tc>
        <w:tc>
          <w:tcPr>
            <w:tcW w:type="dxa" w:w="7738"/>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pPr>
            <w:r>
              <w:rPr>
                <w:b/>
                <w:bCs/>
                <w:color w:val="BF8F00"/>
                <w:sz w:val="19"/>
                <w:szCs w:val="19"/>
              </w:rPr>
              <w:t xml:space="preserve">Moyenne</w:t>
            </w:r>
            <w:r>
              <w:rPr>
                <w:color w:val="595959"/>
                <w:sz w:val="19"/>
                <w:szCs w:val="19"/>
              </w:rPr>
              <w:t xml:space="preserve">     Source : </w:t>
            </w:r>
            <w:r>
              <w:rPr>
                <w:sz w:val="19"/>
                <w:szCs w:val="19"/>
              </w:rPr>
              <w:t xml:space="preserve">Claude</w:t>
            </w:r>
          </w:p>
        </w:tc>
      </w:tr>
      <w:tr>
        <w:trPr>
          <w:cantSplit/>
        </w:trPr>
        <w:tc>
          <w:tcPr>
            <w:tcW w:type="dxa" w:w="1900"/>
            <w:tcBorders>
              <w:top w:val="single" w:color="BFC9D9" w:sz="4"/>
              <w:left w:val="single" w:color="BFC9D9" w:sz="4"/>
              <w:bottom w:val="single" w:color="BFC9D9" w:sz="4"/>
              <w:right w:val="single" w:color="BFC9D9" w:sz="4"/>
            </w:tcBorders>
            <w:shd w:fill="EEF2F8" w:color="auto" w:val="clear"/>
            <w:tcMar>
              <w:top w:type="dxa" w:w="70"/>
              <w:left w:type="dxa" w:w="110"/>
              <w:bottom w:type="dxa" w:w="70"/>
              <w:right w:type="dxa" w:w="110"/>
            </w:tcMar>
            <w:vAlign w:val="top"/>
          </w:tcPr>
          <w:p>
            <w:pPr>
              <w:keepNext/>
              <w:keepLines/>
              <w:spacing w:after="40" w:line="252"/>
              <w:jc w:val="left"/>
            </w:pPr>
            <w:r>
              <w:rPr>
                <w:b/>
                <w:bCs/>
                <w:color w:val="1F3864"/>
                <w:sz w:val="19"/>
                <w:szCs w:val="19"/>
              </w:rPr>
              <w:t xml:space="preserve">Constat</w:t>
            </w:r>
          </w:p>
        </w:tc>
        <w:tc>
          <w:tcPr>
            <w:tcW w:type="dxa" w:w="7738"/>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keepLines/>
              <w:spacing w:after="40" w:line="252"/>
              <w:jc w:val="left"/>
            </w:pPr>
            <w:r>
              <w:rPr>
                <w:sz w:val="19"/>
                <w:szCs w:val="19"/>
              </w:rPr>
              <w:t xml:space="preserve">Le meilleur ratio de SARSA est écarté à juste titre comme artefact de sa base nominale faible. Mais la dégradation de l'attente de DQN en forte charge (+9,3 %) est célébrée alors qu'elle bénéficie du même artefact (attente nominale déjà élevée : 43,7 min). En valeur absolue, l'Affectation fixe reste meilleure (43,2 contre 47,8 min).</w:t>
            </w:r>
          </w:p>
        </w:tc>
      </w:tr>
      <w:tr>
        <w:trPr>
          <w:cantSplit/>
        </w:trPr>
        <w:tc>
          <w:tcPr>
            <w:tcW w:type="dxa" w:w="1900"/>
            <w:tcBorders>
              <w:top w:val="single" w:color="BFC9D9" w:sz="4"/>
              <w:left w:val="single" w:color="BFC9D9" w:sz="4"/>
              <w:bottom w:val="single" w:color="BFC9D9" w:sz="4"/>
              <w:right w:val="single" w:color="BFC9D9" w:sz="4"/>
            </w:tcBorders>
            <w:shd w:fill="EEF2F8" w:color="auto" w:val="clear"/>
            <w:tcMar>
              <w:top w:type="dxa" w:w="70"/>
              <w:left w:type="dxa" w:w="110"/>
              <w:bottom w:type="dxa" w:w="70"/>
              <w:right w:type="dxa" w:w="110"/>
            </w:tcMar>
            <w:vAlign w:val="top"/>
          </w:tcPr>
          <w:p>
            <w:pPr>
              <w:keepNext w:val="false"/>
              <w:keepLines/>
              <w:spacing w:after="40" w:line="252"/>
              <w:jc w:val="left"/>
            </w:pPr>
            <w:r>
              <w:rPr>
                <w:b/>
                <w:bCs/>
                <w:color w:val="1F3864"/>
                <w:sz w:val="19"/>
                <w:szCs w:val="19"/>
              </w:rPr>
              <w:t xml:space="preserve">Pourquoi c'est grave</w:t>
            </w:r>
          </w:p>
        </w:tc>
        <w:tc>
          <w:tcPr>
            <w:tcW w:type="dxa" w:w="7738"/>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Accusation de double standard.</w:t>
            </w:r>
          </w:p>
        </w:tc>
      </w:tr>
      <w:tr>
        <w:trPr>
          <w:cantSplit/>
        </w:trPr>
        <w:tc>
          <w:tcPr>
            <w:tcW w:type="dxa" w:w="1900"/>
            <w:tcBorders>
              <w:top w:val="single" w:color="BFC9D9" w:sz="4"/>
              <w:left w:val="single" w:color="BFC9D9" w:sz="4"/>
              <w:bottom w:val="single" w:color="BFC9D9" w:sz="4"/>
              <w:right w:val="single" w:color="BFC9D9" w:sz="4"/>
            </w:tcBorders>
            <w:shd w:fill="EEF2F8" w:color="auto" w:val="clear"/>
            <w:tcMar>
              <w:top w:type="dxa" w:w="70"/>
              <w:left w:type="dxa" w:w="110"/>
              <w:bottom w:type="dxa" w:w="70"/>
              <w:right w:type="dxa" w:w="110"/>
            </w:tcMar>
            <w:vAlign w:val="top"/>
          </w:tcPr>
          <w:p>
            <w:pPr>
              <w:keepNext w:val="false"/>
              <w:keepLines/>
              <w:spacing w:after="40" w:line="252"/>
              <w:jc w:val="left"/>
            </w:pPr>
            <w:r>
              <w:rPr>
                <w:b/>
                <w:bCs/>
                <w:color w:val="1F3864"/>
                <w:sz w:val="19"/>
                <w:szCs w:val="19"/>
              </w:rPr>
              <w:t xml:space="preserve">Action corrective</w:t>
            </w:r>
          </w:p>
        </w:tc>
        <w:tc>
          <w:tcPr>
            <w:tcW w:type="dxa" w:w="7738"/>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Rapporter systématiquement les valeurs absolues et relatives et appliquer le même critère à toutes les politiques.</w:t>
            </w:r>
          </w:p>
        </w:tc>
      </w:tr>
      <w:tr>
        <w:trPr>
          <w:cantSplit/>
        </w:trPr>
        <w:tc>
          <w:tcPr>
            <w:tcW w:type="dxa" w:w="1900"/>
            <w:tcBorders>
              <w:top w:val="single" w:color="BFC9D9" w:sz="4"/>
              <w:left w:val="single" w:color="BFC9D9" w:sz="4"/>
              <w:bottom w:val="single" w:color="BFC9D9" w:sz="4"/>
              <w:right w:val="single" w:color="BFC9D9" w:sz="4"/>
            </w:tcBorders>
            <w:shd w:fill="EEF2F8" w:color="auto" w:val="clear"/>
            <w:tcMar>
              <w:top w:type="dxa" w:w="70"/>
              <w:left w:type="dxa" w:w="110"/>
              <w:bottom w:type="dxa" w:w="70"/>
              <w:right w:type="dxa" w:w="110"/>
            </w:tcMar>
            <w:vAlign w:val="top"/>
          </w:tcPr>
          <w:p>
            <w:pPr>
              <w:keepNext w:val="false"/>
              <w:keepLines/>
              <w:spacing w:after="40" w:line="252"/>
              <w:jc w:val="left"/>
            </w:pPr>
            <w:r>
              <w:rPr>
                <w:b/>
                <w:bCs/>
                <w:color w:val="1F3864"/>
                <w:sz w:val="19"/>
                <w:szCs w:val="19"/>
              </w:rPr>
              <w:t xml:space="preserve">Où dans le .tex</w:t>
            </w:r>
          </w:p>
        </w:tc>
        <w:tc>
          <w:tcPr>
            <w:tcW w:type="dxa" w:w="7738"/>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§7.3 ; §8.1 (QR4) ; tableau de validation des hypothèses.</w:t>
            </w:r>
          </w:p>
        </w:tc>
      </w:tr>
      <w:tr>
        <w:trPr>
          <w:cantSplit/>
        </w:trPr>
        <w:tc>
          <w:tcPr>
            <w:tcW w:type="dxa" w:w="1900"/>
            <w:tcBorders>
              <w:top w:val="single" w:color="BFC9D9" w:sz="4"/>
              <w:left w:val="single" w:color="BFC9D9" w:sz="4"/>
              <w:bottom w:val="single" w:color="BFC9D9" w:sz="4"/>
              <w:right w:val="single" w:color="BFC9D9" w:sz="4"/>
            </w:tcBorders>
            <w:shd w:fill="EEF2F8" w:color="auto" w:val="clear"/>
            <w:tcMar>
              <w:top w:type="dxa" w:w="70"/>
              <w:left w:type="dxa" w:w="110"/>
              <w:bottom w:type="dxa" w:w="70"/>
              <w:right w:type="dxa" w:w="110"/>
            </w:tcMar>
            <w:vAlign w:val="top"/>
          </w:tcPr>
          <w:p>
            <w:pPr>
              <w:keepNext w:val="false"/>
              <w:keepLines/>
              <w:spacing w:after="40" w:line="252"/>
              <w:jc w:val="left"/>
            </w:pPr>
            <w:r>
              <w:rPr>
                <w:b/>
                <w:bCs/>
                <w:color w:val="1F3864"/>
                <w:sz w:val="19"/>
                <w:szCs w:val="19"/>
              </w:rPr>
              <w:t xml:space="preserve">Statut</w:t>
            </w:r>
          </w:p>
        </w:tc>
        <w:tc>
          <w:tcPr>
            <w:tcW w:type="dxa" w:w="7738"/>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 À faire     ☐ En cours     ☐ Fait     Notes : ……………………………………………</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rPr>
        <w:tc>
          <w:tcPr>
            <w:tcW w:type="dxa" w:w="9638"/>
            <w:gridSpan w:val="2"/>
            <w:tcBorders>
              <w:top w:val="single" w:color="BFC9D9" w:sz="4"/>
              <w:left w:val="single" w:color="BFC9D9" w:sz="4"/>
              <w:bottom w:val="single" w:color="BFC9D9" w:sz="4"/>
              <w:right w:val="single" w:color="BFC9D9" w:sz="4"/>
            </w:tcBorders>
            <w:shd w:fill="2E5597" w:color="auto" w:val="clear"/>
            <w:tcMar>
              <w:top w:type="dxa" w:w="70"/>
              <w:left w:type="dxa" w:w="110"/>
              <w:bottom w:type="dxa" w:w="70"/>
              <w:right w:type="dxa" w:w="110"/>
            </w:tcMar>
            <w:vAlign w:val="top"/>
          </w:tcPr>
          <w:p>
            <w:pPr>
              <w:keepNext/>
            </w:pPr>
            <w:r>
              <w:rPr>
                <w:b/>
                <w:bCs/>
                <w:color w:val="FFFFFF"/>
                <w:sz w:val="21"/>
                <w:szCs w:val="21"/>
              </w:rPr>
              <w:t xml:space="preserve">M18  </w:t>
            </w:r>
            <w:r>
              <w:rPr>
                <w:b/>
                <w:bCs/>
                <w:color w:val="FFFFFF"/>
                <w:sz w:val="21"/>
                <w:szCs w:val="21"/>
              </w:rPr>
              <w:t xml:space="preserve">Conclusions qui vont au-delà des données</w:t>
            </w:r>
          </w:p>
        </w:tc>
      </w:tr>
      <w:tr>
        <w:tc>
          <w:tcPr>
            <w:tcW w:type="dxa" w:w="1900"/>
            <w:tcBorders>
              <w:top w:val="single" w:color="BFC9D9" w:sz="4"/>
              <w:left w:val="single" w:color="BFC9D9" w:sz="4"/>
              <w:bottom w:val="single" w:color="BFC9D9" w:sz="4"/>
              <w:right w:val="single" w:color="BFC9D9" w:sz="4"/>
            </w:tcBorders>
            <w:shd w:fill="EEF2F8" w:color="auto" w:val="clear"/>
            <w:tcMar>
              <w:top w:type="dxa" w:w="70"/>
              <w:left w:type="dxa" w:w="110"/>
              <w:bottom w:type="dxa" w:w="70"/>
              <w:right w:type="dxa" w:w="110"/>
            </w:tcMar>
            <w:vAlign w:val="top"/>
          </w:tcPr>
          <w:p>
            <w:pPr>
              <w:keepNext w:val="false"/>
              <w:keepLines/>
              <w:spacing w:after="40" w:line="252"/>
              <w:jc w:val="left"/>
            </w:pPr>
            <w:r>
              <w:rPr>
                <w:b/>
                <w:bCs/>
                <w:color w:val="1F3864"/>
                <w:sz w:val="19"/>
                <w:szCs w:val="19"/>
              </w:rPr>
              <w:t xml:space="preserve">Priorité</w:t>
            </w:r>
          </w:p>
        </w:tc>
        <w:tc>
          <w:tcPr>
            <w:tcW w:type="dxa" w:w="7738"/>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pPr>
            <w:r>
              <w:rPr>
                <w:b/>
                <w:bCs/>
                <w:color w:val="E26B0A"/>
                <w:sz w:val="19"/>
                <w:szCs w:val="19"/>
              </w:rPr>
              <w:t xml:space="preserve">Élevée</w:t>
            </w:r>
            <w:r>
              <w:rPr>
                <w:color w:val="595959"/>
                <w:sz w:val="19"/>
                <w:szCs w:val="19"/>
              </w:rPr>
              <w:t xml:space="preserve">     Source : </w:t>
            </w:r>
            <w:r>
              <w:rPr>
                <w:sz w:val="19"/>
                <w:szCs w:val="19"/>
              </w:rPr>
              <w:t xml:space="preserve">Claude ; GPT M14 et 2.9 ; Dir. corr. point 8</w:t>
            </w:r>
          </w:p>
        </w:tc>
      </w:tr>
      <w:tr>
        <w:trPr>
          <w:cantSplit/>
        </w:trPr>
        <w:tc>
          <w:tcPr>
            <w:tcW w:type="dxa" w:w="1900"/>
            <w:tcBorders>
              <w:top w:val="single" w:color="BFC9D9" w:sz="4"/>
              <w:left w:val="single" w:color="BFC9D9" w:sz="4"/>
              <w:bottom w:val="single" w:color="BFC9D9" w:sz="4"/>
              <w:right w:val="single" w:color="BFC9D9" w:sz="4"/>
            </w:tcBorders>
            <w:shd w:fill="EEF2F8" w:color="auto" w:val="clear"/>
            <w:tcMar>
              <w:top w:type="dxa" w:w="70"/>
              <w:left w:type="dxa" w:w="110"/>
              <w:bottom w:type="dxa" w:w="70"/>
              <w:right w:type="dxa" w:w="110"/>
            </w:tcMar>
            <w:vAlign w:val="top"/>
          </w:tcPr>
          <w:p>
            <w:pPr>
              <w:keepNext/>
              <w:keepLines/>
              <w:spacing w:after="40" w:line="252"/>
              <w:jc w:val="left"/>
            </w:pPr>
            <w:r>
              <w:rPr>
                <w:b/>
                <w:bCs/>
                <w:color w:val="1F3864"/>
                <w:sz w:val="19"/>
                <w:szCs w:val="19"/>
              </w:rPr>
              <w:t xml:space="preserve">Constat</w:t>
            </w:r>
          </w:p>
        </w:tc>
        <w:tc>
          <w:tcPr>
            <w:tcW w:type="dxa" w:w="7738"/>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keepLines/>
              <w:spacing w:after="40" w:line="252"/>
              <w:jc w:val="left"/>
            </w:pPr>
            <w:r>
              <w:rPr>
                <w:sz w:val="19"/>
                <w:szCs w:val="19"/>
              </w:rPr>
              <w:t xml:space="preserve">• §8.1 : « DQN offre une résilience supérieure dans les deux régimes perturbés ». Faux en fortes pannes pour l'attente (PPO 69,9 &lt; DQN 71,8 min) et non significatif pour le débit (Dunn p = 0,686).</w:t>
            </w:r>
          </w:p>
          <w:p>
            <w:pPr>
              <w:keepNext/>
              <w:keepLines/>
              <w:spacing w:after="40" w:line="252"/>
              <w:jc w:val="left"/>
            </w:pPr>
            <w:r>
              <w:rPr>
                <w:sz w:val="19"/>
                <w:szCs w:val="19"/>
              </w:rPr>
              <w:t xml:space="preserve">• §8.1 : « les agents DRL évitent cela en apprenant à équilibrer la pression des files ». Contredit par le +196 % de PPO.</w:t>
            </w:r>
          </w:p>
          <w:p>
            <w:pPr>
              <w:keepNext/>
              <w:keepLines/>
              <w:spacing w:after="40" w:line="252"/>
              <w:jc w:val="left"/>
            </w:pPr>
            <w:r>
              <w:rPr>
                <w:sz w:val="19"/>
                <w:szCs w:val="19"/>
              </w:rPr>
              <w:t xml:space="preserve">• Conclusion : l'appel à « s'éloigner des règles statiques » contredit le résultat selon lequel l'Affectation fixe domine en forte charge.</w:t>
            </w:r>
          </w:p>
          <w:p>
            <w:pPr>
              <w:keepNext/>
              <w:keepLines/>
              <w:spacing w:after="40" w:line="252"/>
              <w:jc w:val="left"/>
            </w:pPr>
            <w:r>
              <w:rPr>
                <w:sz w:val="19"/>
                <w:szCs w:val="19"/>
              </w:rPr>
              <w:t xml:space="preserve">• §7.1 : « le classement selon la récompense coïncide avec le classement de productivité dans chaque scénario ». En forte charge, deux paires sont inversées.</w:t>
            </w:r>
          </w:p>
          <w:p>
            <w:pPr>
              <w:keepNext/>
              <w:keepLines/>
              <w:spacing w:after="40" w:line="252"/>
              <w:jc w:val="left"/>
            </w:pPr>
            <w:r>
              <w:rPr>
                <w:sz w:val="19"/>
                <w:szCs w:val="19"/>
              </w:rPr>
              <w:t xml:space="preserve">• §8.3 : « environ 53 L économisés par 1 000 t ». Avec un écart de 0,0023 L/t, l'économie est de 2,3 L par 1 000 t (erreur d'un facteur 20 environ).</w:t>
            </w:r>
          </w:p>
          <w:p>
            <w:pPr>
              <w:keepNext/>
              <w:keepLines/>
              <w:spacing w:after="40" w:line="252"/>
              <w:jc w:val="left"/>
            </w:pPr>
            <w:r>
              <w:rPr>
                <w:sz w:val="19"/>
                <w:szCs w:val="19"/>
              </w:rPr>
              <w:t xml:space="preserve">• Le verbe « confirme » est trop fréquent pour une étude en simulation.</w:t>
            </w:r>
          </w:p>
        </w:tc>
      </w:tr>
      <w:tr>
        <w:trPr>
          <w:cantSplit/>
        </w:trPr>
        <w:tc>
          <w:tcPr>
            <w:tcW w:type="dxa" w:w="1900"/>
            <w:tcBorders>
              <w:top w:val="single" w:color="BFC9D9" w:sz="4"/>
              <w:left w:val="single" w:color="BFC9D9" w:sz="4"/>
              <w:bottom w:val="single" w:color="BFC9D9" w:sz="4"/>
              <w:right w:val="single" w:color="BFC9D9" w:sz="4"/>
            </w:tcBorders>
            <w:shd w:fill="EEF2F8" w:color="auto" w:val="clear"/>
            <w:tcMar>
              <w:top w:type="dxa" w:w="70"/>
              <w:left w:type="dxa" w:w="110"/>
              <w:bottom w:type="dxa" w:w="70"/>
              <w:right w:type="dxa" w:w="110"/>
            </w:tcMar>
            <w:vAlign w:val="top"/>
          </w:tcPr>
          <w:p>
            <w:pPr>
              <w:keepNext w:val="false"/>
              <w:keepLines/>
              <w:spacing w:after="40" w:line="252"/>
              <w:jc w:val="left"/>
            </w:pPr>
            <w:r>
              <w:rPr>
                <w:b/>
                <w:bCs/>
                <w:color w:val="1F3864"/>
                <w:sz w:val="19"/>
                <w:szCs w:val="19"/>
              </w:rPr>
              <w:t xml:space="preserve">Pourquoi c'est grave</w:t>
            </w:r>
          </w:p>
        </w:tc>
        <w:tc>
          <w:tcPr>
            <w:tcW w:type="dxa" w:w="7738"/>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Ce type d'écart entre les tableaux et le texte entame la confiance du relecteur dans l'ensemble.</w:t>
            </w:r>
          </w:p>
        </w:tc>
      </w:tr>
      <w:tr>
        <w:trPr>
          <w:cantSplit/>
        </w:trPr>
        <w:tc>
          <w:tcPr>
            <w:tcW w:type="dxa" w:w="1900"/>
            <w:tcBorders>
              <w:top w:val="single" w:color="BFC9D9" w:sz="4"/>
              <w:left w:val="single" w:color="BFC9D9" w:sz="4"/>
              <w:bottom w:val="single" w:color="BFC9D9" w:sz="4"/>
              <w:right w:val="single" w:color="BFC9D9" w:sz="4"/>
            </w:tcBorders>
            <w:shd w:fill="EEF2F8" w:color="auto" w:val="clear"/>
            <w:tcMar>
              <w:top w:type="dxa" w:w="70"/>
              <w:left w:type="dxa" w:w="110"/>
              <w:bottom w:type="dxa" w:w="70"/>
              <w:right w:type="dxa" w:w="110"/>
            </w:tcMar>
            <w:vAlign w:val="top"/>
          </w:tcPr>
          <w:p>
            <w:pPr>
              <w:keepNext w:val="false"/>
              <w:keepLines/>
              <w:spacing w:after="40" w:line="252"/>
              <w:jc w:val="left"/>
            </w:pPr>
            <w:r>
              <w:rPr>
                <w:b/>
                <w:bCs/>
                <w:color w:val="1F3864"/>
                <w:sz w:val="19"/>
                <w:szCs w:val="19"/>
              </w:rPr>
              <w:t xml:space="preserve">Action corrective</w:t>
            </w:r>
          </w:p>
        </w:tc>
        <w:tc>
          <w:tcPr>
            <w:tcW w:type="dxa" w:w="7738"/>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Corriger chacune de ces phrases ; remplacer « confirme » par « suggère », « est cohérent avec » ou « apporte des éléments en faveur de ». Relire la discussion et la conclusion après les recalculs de M2 et M3.</w:t>
            </w:r>
          </w:p>
        </w:tc>
      </w:tr>
      <w:tr>
        <w:trPr>
          <w:cantSplit/>
        </w:trPr>
        <w:tc>
          <w:tcPr>
            <w:tcW w:type="dxa" w:w="1900"/>
            <w:tcBorders>
              <w:top w:val="single" w:color="BFC9D9" w:sz="4"/>
              <w:left w:val="single" w:color="BFC9D9" w:sz="4"/>
              <w:bottom w:val="single" w:color="BFC9D9" w:sz="4"/>
              <w:right w:val="single" w:color="BFC9D9" w:sz="4"/>
            </w:tcBorders>
            <w:shd w:fill="EEF2F8" w:color="auto" w:val="clear"/>
            <w:tcMar>
              <w:top w:type="dxa" w:w="70"/>
              <w:left w:type="dxa" w:w="110"/>
              <w:bottom w:type="dxa" w:w="70"/>
              <w:right w:type="dxa" w:w="110"/>
            </w:tcMar>
            <w:vAlign w:val="top"/>
          </w:tcPr>
          <w:p>
            <w:pPr>
              <w:keepNext w:val="false"/>
              <w:keepLines/>
              <w:spacing w:after="40" w:line="252"/>
              <w:jc w:val="left"/>
            </w:pPr>
            <w:r>
              <w:rPr>
                <w:b/>
                <w:bCs/>
                <w:color w:val="1F3864"/>
                <w:sz w:val="19"/>
                <w:szCs w:val="19"/>
              </w:rPr>
              <w:t xml:space="preserve">Où dans le .tex</w:t>
            </w:r>
          </w:p>
        </w:tc>
        <w:tc>
          <w:tcPr>
            <w:tcW w:type="dxa" w:w="7738"/>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§7.1 ; §8.1 ; §8.3 ; conclusion.</w:t>
            </w:r>
          </w:p>
        </w:tc>
      </w:tr>
      <w:tr>
        <w:trPr>
          <w:cantSplit/>
        </w:trPr>
        <w:tc>
          <w:tcPr>
            <w:tcW w:type="dxa" w:w="1900"/>
            <w:tcBorders>
              <w:top w:val="single" w:color="BFC9D9" w:sz="4"/>
              <w:left w:val="single" w:color="BFC9D9" w:sz="4"/>
              <w:bottom w:val="single" w:color="BFC9D9" w:sz="4"/>
              <w:right w:val="single" w:color="BFC9D9" w:sz="4"/>
            </w:tcBorders>
            <w:shd w:fill="EEF2F8" w:color="auto" w:val="clear"/>
            <w:tcMar>
              <w:top w:type="dxa" w:w="70"/>
              <w:left w:type="dxa" w:w="110"/>
              <w:bottom w:type="dxa" w:w="70"/>
              <w:right w:type="dxa" w:w="110"/>
            </w:tcMar>
            <w:vAlign w:val="top"/>
          </w:tcPr>
          <w:p>
            <w:pPr>
              <w:keepNext w:val="false"/>
              <w:keepLines/>
              <w:spacing w:after="40" w:line="252"/>
              <w:jc w:val="left"/>
            </w:pPr>
            <w:r>
              <w:rPr>
                <w:b/>
                <w:bCs/>
                <w:color w:val="1F3864"/>
                <w:sz w:val="19"/>
                <w:szCs w:val="19"/>
              </w:rPr>
              <w:t xml:space="preserve">Statut</w:t>
            </w:r>
          </w:p>
        </w:tc>
        <w:tc>
          <w:tcPr>
            <w:tcW w:type="dxa" w:w="7738"/>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 À faire     ☐ En cours     ☐ Fait     Notes : ……………………………………………</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rPr>
        <w:tc>
          <w:tcPr>
            <w:tcW w:type="dxa" w:w="9638"/>
            <w:gridSpan w:val="2"/>
            <w:tcBorders>
              <w:top w:val="single" w:color="BFC9D9" w:sz="4"/>
              <w:left w:val="single" w:color="BFC9D9" w:sz="4"/>
              <w:bottom w:val="single" w:color="BFC9D9" w:sz="4"/>
              <w:right w:val="single" w:color="BFC9D9" w:sz="4"/>
            </w:tcBorders>
            <w:shd w:fill="2E5597" w:color="auto" w:val="clear"/>
            <w:tcMar>
              <w:top w:type="dxa" w:w="70"/>
              <w:left w:type="dxa" w:w="110"/>
              <w:bottom w:type="dxa" w:w="70"/>
              <w:right w:type="dxa" w:w="110"/>
            </w:tcMar>
            <w:vAlign w:val="top"/>
          </w:tcPr>
          <w:p>
            <w:pPr>
              <w:keepNext/>
            </w:pPr>
            <w:r>
              <w:rPr>
                <w:b/>
                <w:bCs/>
                <w:color w:val="FFFFFF"/>
                <w:sz w:val="21"/>
                <w:szCs w:val="21"/>
              </w:rPr>
              <w:t xml:space="preserve">M19  </w:t>
            </w:r>
            <w:r>
              <w:rPr>
                <w:b/>
                <w:bCs/>
                <w:color w:val="FFFFFF"/>
                <w:sz w:val="21"/>
                <w:szCs w:val="21"/>
              </w:rPr>
              <w:t xml:space="preserve">Pareto : distinguer l'analyse par scénario et l'analyse inter-scénarios</w:t>
            </w:r>
          </w:p>
        </w:tc>
      </w:tr>
      <w:tr>
        <w:tc>
          <w:tcPr>
            <w:tcW w:type="dxa" w:w="1900"/>
            <w:tcBorders>
              <w:top w:val="single" w:color="BFC9D9" w:sz="4"/>
              <w:left w:val="single" w:color="BFC9D9" w:sz="4"/>
              <w:bottom w:val="single" w:color="BFC9D9" w:sz="4"/>
              <w:right w:val="single" w:color="BFC9D9" w:sz="4"/>
            </w:tcBorders>
            <w:shd w:fill="EEF2F8" w:color="auto" w:val="clear"/>
            <w:tcMar>
              <w:top w:type="dxa" w:w="70"/>
              <w:left w:type="dxa" w:w="110"/>
              <w:bottom w:type="dxa" w:w="70"/>
              <w:right w:type="dxa" w:w="110"/>
            </w:tcMar>
            <w:vAlign w:val="top"/>
          </w:tcPr>
          <w:p>
            <w:pPr>
              <w:keepNext w:val="false"/>
              <w:keepLines/>
              <w:spacing w:after="40" w:line="252"/>
              <w:jc w:val="left"/>
            </w:pPr>
            <w:r>
              <w:rPr>
                <w:b/>
                <w:bCs/>
                <w:color w:val="1F3864"/>
                <w:sz w:val="19"/>
                <w:szCs w:val="19"/>
              </w:rPr>
              <w:t xml:space="preserve">Priorité</w:t>
            </w:r>
          </w:p>
        </w:tc>
        <w:tc>
          <w:tcPr>
            <w:tcW w:type="dxa" w:w="7738"/>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pPr>
            <w:r>
              <w:rPr>
                <w:b/>
                <w:bCs/>
                <w:color w:val="BF8F00"/>
                <w:sz w:val="19"/>
                <w:szCs w:val="19"/>
              </w:rPr>
              <w:t xml:space="preserve">Moyenne</w:t>
            </w:r>
            <w:r>
              <w:rPr>
                <w:color w:val="595959"/>
                <w:sz w:val="19"/>
                <w:szCs w:val="19"/>
              </w:rPr>
              <w:t xml:space="preserve">     Source : </w:t>
            </w:r>
            <w:r>
              <w:rPr>
                <w:sz w:val="19"/>
                <w:szCs w:val="19"/>
              </w:rPr>
              <w:t xml:space="preserve">GPT M11 ; Claude</w:t>
            </w:r>
          </w:p>
        </w:tc>
      </w:tr>
      <w:tr>
        <w:trPr>
          <w:cantSplit/>
        </w:trPr>
        <w:tc>
          <w:tcPr>
            <w:tcW w:type="dxa" w:w="1900"/>
            <w:tcBorders>
              <w:top w:val="single" w:color="BFC9D9" w:sz="4"/>
              <w:left w:val="single" w:color="BFC9D9" w:sz="4"/>
              <w:bottom w:val="single" w:color="BFC9D9" w:sz="4"/>
              <w:right w:val="single" w:color="BFC9D9" w:sz="4"/>
            </w:tcBorders>
            <w:shd w:fill="EEF2F8" w:color="auto" w:val="clear"/>
            <w:tcMar>
              <w:top w:type="dxa" w:w="70"/>
              <w:left w:type="dxa" w:w="110"/>
              <w:bottom w:type="dxa" w:w="70"/>
              <w:right w:type="dxa" w:w="110"/>
            </w:tcMar>
            <w:vAlign w:val="top"/>
          </w:tcPr>
          <w:p>
            <w:pPr>
              <w:keepNext/>
              <w:keepLines/>
              <w:spacing w:after="40" w:line="252"/>
              <w:jc w:val="left"/>
            </w:pPr>
            <w:r>
              <w:rPr>
                <w:b/>
                <w:bCs/>
                <w:color w:val="1F3864"/>
                <w:sz w:val="19"/>
                <w:szCs w:val="19"/>
              </w:rPr>
              <w:t xml:space="preserve">Constat</w:t>
            </w:r>
          </w:p>
        </w:tc>
        <w:tc>
          <w:tcPr>
            <w:tcW w:type="dxa" w:w="7738"/>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keepLines/>
              <w:spacing w:after="40" w:line="252"/>
              <w:jc w:val="left"/>
            </w:pPr>
            <w:r>
              <w:rPr>
                <w:sz w:val="19"/>
                <w:szCs w:val="19"/>
              </w:rPr>
              <w:t xml:space="preserve">L'affirmation « Pelle la plus proche et Plus court chemin sont dominés au sens de Pareto » est correcte dans un même scénario. Mais « aucune politique n'occupe le front de Pareto global sur les trois régimes » mélange deux notions.</w:t>
            </w:r>
          </w:p>
        </w:tc>
      </w:tr>
      <w:tr>
        <w:trPr>
          <w:cantSplit/>
        </w:trPr>
        <w:tc>
          <w:tcPr>
            <w:tcW w:type="dxa" w:w="1900"/>
            <w:tcBorders>
              <w:top w:val="single" w:color="BFC9D9" w:sz="4"/>
              <w:left w:val="single" w:color="BFC9D9" w:sz="4"/>
              <w:bottom w:val="single" w:color="BFC9D9" w:sz="4"/>
              <w:right w:val="single" w:color="BFC9D9" w:sz="4"/>
            </w:tcBorders>
            <w:shd w:fill="EEF2F8" w:color="auto" w:val="clear"/>
            <w:tcMar>
              <w:top w:type="dxa" w:w="70"/>
              <w:left w:type="dxa" w:w="110"/>
              <w:bottom w:type="dxa" w:w="70"/>
              <w:right w:type="dxa" w:w="110"/>
            </w:tcMar>
            <w:vAlign w:val="top"/>
          </w:tcPr>
          <w:p>
            <w:pPr>
              <w:keepNext w:val="false"/>
              <w:keepLines/>
              <w:spacing w:after="40" w:line="252"/>
              <w:jc w:val="left"/>
            </w:pPr>
            <w:r>
              <w:rPr>
                <w:b/>
                <w:bCs/>
                <w:color w:val="1F3864"/>
                <w:sz w:val="19"/>
                <w:szCs w:val="19"/>
              </w:rPr>
              <w:t xml:space="preserve">Pourquoi c'est grave</w:t>
            </w:r>
          </w:p>
        </w:tc>
        <w:tc>
          <w:tcPr>
            <w:tcW w:type="dxa" w:w="7738"/>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Ambiguïté conceptuelle.</w:t>
            </w:r>
          </w:p>
        </w:tc>
      </w:tr>
      <w:tr>
        <w:trPr>
          <w:cantSplit/>
        </w:trPr>
        <w:tc>
          <w:tcPr>
            <w:tcW w:type="dxa" w:w="1900"/>
            <w:tcBorders>
              <w:top w:val="single" w:color="BFC9D9" w:sz="4"/>
              <w:left w:val="single" w:color="BFC9D9" w:sz="4"/>
              <w:bottom w:val="single" w:color="BFC9D9" w:sz="4"/>
              <w:right w:val="single" w:color="BFC9D9" w:sz="4"/>
            </w:tcBorders>
            <w:shd w:fill="EEF2F8" w:color="auto" w:val="clear"/>
            <w:tcMar>
              <w:top w:type="dxa" w:w="70"/>
              <w:left w:type="dxa" w:w="110"/>
              <w:bottom w:type="dxa" w:w="70"/>
              <w:right w:type="dxa" w:w="110"/>
            </w:tcMar>
            <w:vAlign w:val="top"/>
          </w:tcPr>
          <w:p>
            <w:pPr>
              <w:keepNext w:val="false"/>
              <w:keepLines/>
              <w:spacing w:after="40" w:line="252"/>
              <w:jc w:val="left"/>
            </w:pPr>
            <w:r>
              <w:rPr>
                <w:b/>
                <w:bCs/>
                <w:color w:val="1F3864"/>
                <w:sz w:val="19"/>
                <w:szCs w:val="19"/>
              </w:rPr>
              <w:t xml:space="preserve">Action corrective</w:t>
            </w:r>
          </w:p>
        </w:tc>
        <w:tc>
          <w:tcPr>
            <w:tcW w:type="dxa" w:w="7738"/>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Ajouter un tableau des fronts de Pareto par scénario (N, FC, FP), séparé de la lecture inter-scénarios, et tracer une figure par scénario.</w:t>
            </w:r>
          </w:p>
        </w:tc>
      </w:tr>
      <w:tr>
        <w:trPr>
          <w:cantSplit/>
        </w:trPr>
        <w:tc>
          <w:tcPr>
            <w:tcW w:type="dxa" w:w="1900"/>
            <w:tcBorders>
              <w:top w:val="single" w:color="BFC9D9" w:sz="4"/>
              <w:left w:val="single" w:color="BFC9D9" w:sz="4"/>
              <w:bottom w:val="single" w:color="BFC9D9" w:sz="4"/>
              <w:right w:val="single" w:color="BFC9D9" w:sz="4"/>
            </w:tcBorders>
            <w:shd w:fill="EEF2F8" w:color="auto" w:val="clear"/>
            <w:tcMar>
              <w:top w:type="dxa" w:w="70"/>
              <w:left w:type="dxa" w:w="110"/>
              <w:bottom w:type="dxa" w:w="70"/>
              <w:right w:type="dxa" w:w="110"/>
            </w:tcMar>
            <w:vAlign w:val="top"/>
          </w:tcPr>
          <w:p>
            <w:pPr>
              <w:keepNext w:val="false"/>
              <w:keepLines/>
              <w:spacing w:after="40" w:line="252"/>
              <w:jc w:val="left"/>
            </w:pPr>
            <w:r>
              <w:rPr>
                <w:b/>
                <w:bCs/>
                <w:color w:val="1F3864"/>
                <w:sz w:val="19"/>
                <w:szCs w:val="19"/>
              </w:rPr>
              <w:t xml:space="preserve">Où dans le .tex</w:t>
            </w:r>
          </w:p>
        </w:tc>
        <w:tc>
          <w:tcPr>
            <w:tcW w:type="dxa" w:w="7738"/>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§7.2 et figure pareto_productivity_waiting.</w:t>
            </w:r>
          </w:p>
        </w:tc>
      </w:tr>
      <w:tr>
        <w:trPr>
          <w:cantSplit/>
        </w:trPr>
        <w:tc>
          <w:tcPr>
            <w:tcW w:type="dxa" w:w="1900"/>
            <w:tcBorders>
              <w:top w:val="single" w:color="BFC9D9" w:sz="4"/>
              <w:left w:val="single" w:color="BFC9D9" w:sz="4"/>
              <w:bottom w:val="single" w:color="BFC9D9" w:sz="4"/>
              <w:right w:val="single" w:color="BFC9D9" w:sz="4"/>
            </w:tcBorders>
            <w:shd w:fill="EEF2F8" w:color="auto" w:val="clear"/>
            <w:tcMar>
              <w:top w:type="dxa" w:w="70"/>
              <w:left w:type="dxa" w:w="110"/>
              <w:bottom w:type="dxa" w:w="70"/>
              <w:right w:type="dxa" w:w="110"/>
            </w:tcMar>
            <w:vAlign w:val="top"/>
          </w:tcPr>
          <w:p>
            <w:pPr>
              <w:keepNext w:val="false"/>
              <w:keepLines/>
              <w:spacing w:after="40" w:line="252"/>
              <w:jc w:val="left"/>
            </w:pPr>
            <w:r>
              <w:rPr>
                <w:b/>
                <w:bCs/>
                <w:color w:val="1F3864"/>
                <w:sz w:val="19"/>
                <w:szCs w:val="19"/>
              </w:rPr>
              <w:t xml:space="preserve">Statut</w:t>
            </w:r>
          </w:p>
        </w:tc>
        <w:tc>
          <w:tcPr>
            <w:tcW w:type="dxa" w:w="7738"/>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 À faire     ☐ En cours     ☐ Fait     Notes : ……………………………………………</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rPr>
        <w:tc>
          <w:tcPr>
            <w:tcW w:type="dxa" w:w="9638"/>
            <w:gridSpan w:val="2"/>
            <w:tcBorders>
              <w:top w:val="single" w:color="BFC9D9" w:sz="4"/>
              <w:left w:val="single" w:color="BFC9D9" w:sz="4"/>
              <w:bottom w:val="single" w:color="BFC9D9" w:sz="4"/>
              <w:right w:val="single" w:color="BFC9D9" w:sz="4"/>
            </w:tcBorders>
            <w:shd w:fill="2E5597" w:color="auto" w:val="clear"/>
            <w:tcMar>
              <w:top w:type="dxa" w:w="70"/>
              <w:left w:type="dxa" w:w="110"/>
              <w:bottom w:type="dxa" w:w="70"/>
              <w:right w:type="dxa" w:w="110"/>
            </w:tcMar>
            <w:vAlign w:val="top"/>
          </w:tcPr>
          <w:p>
            <w:pPr>
              <w:keepNext/>
            </w:pPr>
            <w:r>
              <w:rPr>
                <w:b/>
                <w:bCs/>
                <w:color w:val="FFFFFF"/>
                <w:sz w:val="21"/>
                <w:szCs w:val="21"/>
              </w:rPr>
              <w:t xml:space="preserve">M20  </w:t>
            </w:r>
            <w:r>
              <w:rPr>
                <w:b/>
                <w:bCs/>
                <w:color w:val="FFFFFF"/>
                <w:sz w:val="21"/>
                <w:szCs w:val="21"/>
              </w:rPr>
              <w:t xml:space="preserve">Énergie et durabilité : calibration et prudence</w:t>
            </w:r>
          </w:p>
        </w:tc>
      </w:tr>
      <w:tr>
        <w:tc>
          <w:tcPr>
            <w:tcW w:type="dxa" w:w="1900"/>
            <w:tcBorders>
              <w:top w:val="single" w:color="BFC9D9" w:sz="4"/>
              <w:left w:val="single" w:color="BFC9D9" w:sz="4"/>
              <w:bottom w:val="single" w:color="BFC9D9" w:sz="4"/>
              <w:right w:val="single" w:color="BFC9D9" w:sz="4"/>
            </w:tcBorders>
            <w:shd w:fill="EEF2F8" w:color="auto" w:val="clear"/>
            <w:tcMar>
              <w:top w:type="dxa" w:w="70"/>
              <w:left w:type="dxa" w:w="110"/>
              <w:bottom w:type="dxa" w:w="70"/>
              <w:right w:type="dxa" w:w="110"/>
            </w:tcMar>
            <w:vAlign w:val="top"/>
          </w:tcPr>
          <w:p>
            <w:pPr>
              <w:keepNext w:val="false"/>
              <w:keepLines/>
              <w:spacing w:after="40" w:line="252"/>
              <w:jc w:val="left"/>
            </w:pPr>
            <w:r>
              <w:rPr>
                <w:b/>
                <w:bCs/>
                <w:color w:val="1F3864"/>
                <w:sz w:val="19"/>
                <w:szCs w:val="19"/>
              </w:rPr>
              <w:t xml:space="preserve">Priorité</w:t>
            </w:r>
          </w:p>
        </w:tc>
        <w:tc>
          <w:tcPr>
            <w:tcW w:type="dxa" w:w="7738"/>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pPr>
            <w:r>
              <w:rPr>
                <w:b/>
                <w:bCs/>
                <w:color w:val="BF8F00"/>
                <w:sz w:val="19"/>
                <w:szCs w:val="19"/>
              </w:rPr>
              <w:t xml:space="preserve">Moyenne</w:t>
            </w:r>
            <w:r>
              <w:rPr>
                <w:color w:val="595959"/>
                <w:sz w:val="19"/>
                <w:szCs w:val="19"/>
              </w:rPr>
              <w:t xml:space="preserve">     Source : </w:t>
            </w:r>
            <w:r>
              <w:rPr>
                <w:sz w:val="19"/>
                <w:szCs w:val="19"/>
              </w:rPr>
              <w:t xml:space="preserve">Claude ; GPT 2.10 ; Dir. corr. point 10 ; Dir. plan</w:t>
            </w:r>
          </w:p>
        </w:tc>
      </w:tr>
      <w:tr>
        <w:trPr>
          <w:cantSplit/>
        </w:trPr>
        <w:tc>
          <w:tcPr>
            <w:tcW w:type="dxa" w:w="1900"/>
            <w:tcBorders>
              <w:top w:val="single" w:color="BFC9D9" w:sz="4"/>
              <w:left w:val="single" w:color="BFC9D9" w:sz="4"/>
              <w:bottom w:val="single" w:color="BFC9D9" w:sz="4"/>
              <w:right w:val="single" w:color="BFC9D9" w:sz="4"/>
            </w:tcBorders>
            <w:shd w:fill="EEF2F8" w:color="auto" w:val="clear"/>
            <w:tcMar>
              <w:top w:type="dxa" w:w="70"/>
              <w:left w:type="dxa" w:w="110"/>
              <w:bottom w:type="dxa" w:w="70"/>
              <w:right w:type="dxa" w:w="110"/>
            </w:tcMar>
            <w:vAlign w:val="top"/>
          </w:tcPr>
          <w:p>
            <w:pPr>
              <w:keepNext/>
              <w:keepLines/>
              <w:spacing w:after="40" w:line="252"/>
              <w:jc w:val="left"/>
            </w:pPr>
            <w:r>
              <w:rPr>
                <w:b/>
                <w:bCs/>
                <w:color w:val="1F3864"/>
                <w:sz w:val="19"/>
                <w:szCs w:val="19"/>
              </w:rPr>
              <w:t xml:space="preserve">Constat</w:t>
            </w:r>
          </w:p>
        </w:tc>
        <w:tc>
          <w:tcPr>
            <w:tcW w:type="dxa" w:w="7738"/>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keepLines/>
              <w:spacing w:after="40" w:line="252"/>
              <w:jc w:val="left"/>
            </w:pPr>
            <w:r>
              <w:rPr>
                <w:sz w:val="19"/>
                <w:szCs w:val="19"/>
              </w:rPr>
              <w:t xml:space="preserve">Une consommation de 0,04 L/t correspond à environ 5,7 L par cycle pour un camion de 140 t, ce qui paraît bas au regard des consommations habituelles de cette classe de tombereaux. Aucune émission n'est mesurée.</w:t>
            </w:r>
          </w:p>
        </w:tc>
      </w:tr>
      <w:tr>
        <w:trPr>
          <w:cantSplit/>
        </w:trPr>
        <w:tc>
          <w:tcPr>
            <w:tcW w:type="dxa" w:w="1900"/>
            <w:tcBorders>
              <w:top w:val="single" w:color="BFC9D9" w:sz="4"/>
              <w:left w:val="single" w:color="BFC9D9" w:sz="4"/>
              <w:bottom w:val="single" w:color="BFC9D9" w:sz="4"/>
              <w:right w:val="single" w:color="BFC9D9" w:sz="4"/>
            </w:tcBorders>
            <w:shd w:fill="EEF2F8" w:color="auto" w:val="clear"/>
            <w:tcMar>
              <w:top w:type="dxa" w:w="70"/>
              <w:left w:type="dxa" w:w="110"/>
              <w:bottom w:type="dxa" w:w="70"/>
              <w:right w:type="dxa" w:w="110"/>
            </w:tcMar>
            <w:vAlign w:val="top"/>
          </w:tcPr>
          <w:p>
            <w:pPr>
              <w:keepNext w:val="false"/>
              <w:keepLines/>
              <w:spacing w:after="40" w:line="252"/>
              <w:jc w:val="left"/>
            </w:pPr>
            <w:r>
              <w:rPr>
                <w:b/>
                <w:bCs/>
                <w:color w:val="1F3864"/>
                <w:sz w:val="19"/>
                <w:szCs w:val="19"/>
              </w:rPr>
              <w:t xml:space="preserve">Pourquoi c'est grave</w:t>
            </w:r>
          </w:p>
        </w:tc>
        <w:tc>
          <w:tcPr>
            <w:tcW w:type="dxa" w:w="7738"/>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Question attendue : « où est la validation du modèle de carburant et d'émissions ? »</w:t>
            </w:r>
          </w:p>
        </w:tc>
      </w:tr>
      <w:tr>
        <w:trPr>
          <w:cantSplit/>
        </w:trPr>
        <w:tc>
          <w:tcPr>
            <w:tcW w:type="dxa" w:w="1900"/>
            <w:tcBorders>
              <w:top w:val="single" w:color="BFC9D9" w:sz="4"/>
              <w:left w:val="single" w:color="BFC9D9" w:sz="4"/>
              <w:bottom w:val="single" w:color="BFC9D9" w:sz="4"/>
              <w:right w:val="single" w:color="BFC9D9" w:sz="4"/>
            </w:tcBorders>
            <w:shd w:fill="EEF2F8" w:color="auto" w:val="clear"/>
            <w:tcMar>
              <w:top w:type="dxa" w:w="70"/>
              <w:left w:type="dxa" w:w="110"/>
              <w:bottom w:type="dxa" w:w="70"/>
              <w:right w:type="dxa" w:w="110"/>
            </w:tcMar>
            <w:vAlign w:val="top"/>
          </w:tcPr>
          <w:p>
            <w:pPr>
              <w:keepNext w:val="false"/>
              <w:keepLines/>
              <w:spacing w:after="40" w:line="252"/>
              <w:jc w:val="left"/>
            </w:pPr>
            <w:r>
              <w:rPr>
                <w:b/>
                <w:bCs/>
                <w:color w:val="1F3864"/>
                <w:sz w:val="19"/>
                <w:szCs w:val="19"/>
              </w:rPr>
              <w:t xml:space="preserve">Action corrective</w:t>
            </w:r>
          </w:p>
        </w:tc>
        <w:tc>
          <w:tcPr>
            <w:tcW w:type="dxa" w:w="7738"/>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Documenter le modèle de puissance et le confronter à une donnée constructeur ou de terrain.</w:t>
            </w:r>
          </w:p>
          <w:p>
            <w:pPr>
              <w:keepNext w:val="false"/>
              <w:keepLines/>
              <w:spacing w:after="40" w:line="252"/>
              <w:jc w:val="left"/>
            </w:pPr>
            <w:r>
              <w:rPr>
                <w:sz w:val="19"/>
                <w:szCs w:val="19"/>
              </w:rPr>
              <w:t xml:space="preserve">Ajouter le test statistique (apparié) et les tailles d'effet pour les comparaisons énergétiques.</w:t>
            </w:r>
          </w:p>
          <w:p>
            <w:pPr>
              <w:keepNext w:val="false"/>
              <w:keepLines/>
              <w:spacing w:after="40" w:line="252"/>
              <w:jc w:val="left"/>
            </w:pPr>
            <w:r>
              <w:rPr>
                <w:sz w:val="19"/>
                <w:szCs w:val="19"/>
              </w:rPr>
              <w:t xml:space="preserve">Réduire la partie CO₂ et NOx à quelques lignes au conditionnel.</w:t>
            </w:r>
          </w:p>
        </w:tc>
      </w:tr>
      <w:tr>
        <w:trPr>
          <w:cantSplit/>
        </w:trPr>
        <w:tc>
          <w:tcPr>
            <w:tcW w:type="dxa" w:w="1900"/>
            <w:tcBorders>
              <w:top w:val="single" w:color="BFC9D9" w:sz="4"/>
              <w:left w:val="single" w:color="BFC9D9" w:sz="4"/>
              <w:bottom w:val="single" w:color="BFC9D9" w:sz="4"/>
              <w:right w:val="single" w:color="BFC9D9" w:sz="4"/>
            </w:tcBorders>
            <w:shd w:fill="EEF2F8" w:color="auto" w:val="clear"/>
            <w:tcMar>
              <w:top w:type="dxa" w:w="70"/>
              <w:left w:type="dxa" w:w="110"/>
              <w:bottom w:type="dxa" w:w="70"/>
              <w:right w:type="dxa" w:w="110"/>
            </w:tcMar>
            <w:vAlign w:val="top"/>
          </w:tcPr>
          <w:p>
            <w:pPr>
              <w:keepNext w:val="false"/>
              <w:keepLines/>
              <w:spacing w:after="40" w:line="252"/>
              <w:jc w:val="left"/>
            </w:pPr>
            <w:r>
              <w:rPr>
                <w:b/>
                <w:bCs/>
                <w:color w:val="1F3864"/>
                <w:sz w:val="19"/>
                <w:szCs w:val="19"/>
              </w:rPr>
              <w:t xml:space="preserve">Où dans le .tex</w:t>
            </w:r>
          </w:p>
        </w:tc>
        <w:tc>
          <w:tcPr>
            <w:tcW w:type="dxa" w:w="7738"/>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§8.3 Durabilité et tableau tab:efficiency.</w:t>
            </w:r>
          </w:p>
        </w:tc>
      </w:tr>
      <w:tr>
        <w:trPr>
          <w:cantSplit/>
        </w:trPr>
        <w:tc>
          <w:tcPr>
            <w:tcW w:type="dxa" w:w="1900"/>
            <w:tcBorders>
              <w:top w:val="single" w:color="BFC9D9" w:sz="4"/>
              <w:left w:val="single" w:color="BFC9D9" w:sz="4"/>
              <w:bottom w:val="single" w:color="BFC9D9" w:sz="4"/>
              <w:right w:val="single" w:color="BFC9D9" w:sz="4"/>
            </w:tcBorders>
            <w:shd w:fill="EEF2F8" w:color="auto" w:val="clear"/>
            <w:tcMar>
              <w:top w:type="dxa" w:w="70"/>
              <w:left w:type="dxa" w:w="110"/>
              <w:bottom w:type="dxa" w:w="70"/>
              <w:right w:type="dxa" w:w="110"/>
            </w:tcMar>
            <w:vAlign w:val="top"/>
          </w:tcPr>
          <w:p>
            <w:pPr>
              <w:keepNext w:val="false"/>
              <w:keepLines/>
              <w:spacing w:after="40" w:line="252"/>
              <w:jc w:val="left"/>
            </w:pPr>
            <w:r>
              <w:rPr>
                <w:b/>
                <w:bCs/>
                <w:color w:val="1F3864"/>
                <w:sz w:val="19"/>
                <w:szCs w:val="19"/>
              </w:rPr>
              <w:t xml:space="preserve">Statut</w:t>
            </w:r>
          </w:p>
        </w:tc>
        <w:tc>
          <w:tcPr>
            <w:tcW w:type="dxa" w:w="7738"/>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 À faire     ☐ En cours     ☐ Fait     Notes : ……………………………………………</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rPr>
        <w:tc>
          <w:tcPr>
            <w:tcW w:type="dxa" w:w="9638"/>
            <w:gridSpan w:val="2"/>
            <w:tcBorders>
              <w:top w:val="single" w:color="BFC9D9" w:sz="4"/>
              <w:left w:val="single" w:color="BFC9D9" w:sz="4"/>
              <w:bottom w:val="single" w:color="BFC9D9" w:sz="4"/>
              <w:right w:val="single" w:color="BFC9D9" w:sz="4"/>
            </w:tcBorders>
            <w:shd w:fill="2E5597" w:color="auto" w:val="clear"/>
            <w:tcMar>
              <w:top w:type="dxa" w:w="70"/>
              <w:left w:type="dxa" w:w="110"/>
              <w:bottom w:type="dxa" w:w="70"/>
              <w:right w:type="dxa" w:w="110"/>
            </w:tcMar>
            <w:vAlign w:val="top"/>
          </w:tcPr>
          <w:p>
            <w:pPr>
              <w:keepNext/>
            </w:pPr>
            <w:r>
              <w:rPr>
                <w:b/>
                <w:bCs/>
                <w:color w:val="FFFFFF"/>
                <w:sz w:val="21"/>
                <w:szCs w:val="21"/>
              </w:rPr>
              <w:t xml:space="preserve">M21  </w:t>
            </w:r>
            <w:r>
              <w:rPr>
                <w:b/>
                <w:bCs/>
                <w:color w:val="FFFFFF"/>
                <w:sz w:val="21"/>
                <w:szCs w:val="21"/>
              </w:rPr>
              <w:t xml:space="preserve">Donner une définition opérationnelle de la résilience</w:t>
            </w:r>
          </w:p>
        </w:tc>
      </w:tr>
      <w:tr>
        <w:tc>
          <w:tcPr>
            <w:tcW w:type="dxa" w:w="1900"/>
            <w:tcBorders>
              <w:top w:val="single" w:color="BFC9D9" w:sz="4"/>
              <w:left w:val="single" w:color="BFC9D9" w:sz="4"/>
              <w:bottom w:val="single" w:color="BFC9D9" w:sz="4"/>
              <w:right w:val="single" w:color="BFC9D9" w:sz="4"/>
            </w:tcBorders>
            <w:shd w:fill="EEF2F8" w:color="auto" w:val="clear"/>
            <w:tcMar>
              <w:top w:type="dxa" w:w="70"/>
              <w:left w:type="dxa" w:w="110"/>
              <w:bottom w:type="dxa" w:w="70"/>
              <w:right w:type="dxa" w:w="110"/>
            </w:tcMar>
            <w:vAlign w:val="top"/>
          </w:tcPr>
          <w:p>
            <w:pPr>
              <w:keepNext w:val="false"/>
              <w:keepLines/>
              <w:spacing w:after="40" w:line="252"/>
              <w:jc w:val="left"/>
            </w:pPr>
            <w:r>
              <w:rPr>
                <w:b/>
                <w:bCs/>
                <w:color w:val="1F3864"/>
                <w:sz w:val="19"/>
                <w:szCs w:val="19"/>
              </w:rPr>
              <w:t xml:space="preserve">Priorité</w:t>
            </w:r>
          </w:p>
        </w:tc>
        <w:tc>
          <w:tcPr>
            <w:tcW w:type="dxa" w:w="7738"/>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pPr>
            <w:r>
              <w:rPr>
                <w:b/>
                <w:bCs/>
                <w:color w:val="BF8F00"/>
                <w:sz w:val="19"/>
                <w:szCs w:val="19"/>
              </w:rPr>
              <w:t xml:space="preserve">Moyenne</w:t>
            </w:r>
            <w:r>
              <w:rPr>
                <w:color w:val="595959"/>
                <w:sz w:val="19"/>
                <w:szCs w:val="19"/>
              </w:rPr>
              <w:t xml:space="preserve">     Source : </w:t>
            </w:r>
            <w:r>
              <w:rPr>
                <w:sz w:val="19"/>
                <w:szCs w:val="19"/>
              </w:rPr>
              <w:t xml:space="preserve">GPT M9</w:t>
            </w:r>
          </w:p>
        </w:tc>
      </w:tr>
      <w:tr>
        <w:trPr>
          <w:cantSplit/>
        </w:trPr>
        <w:tc>
          <w:tcPr>
            <w:tcW w:type="dxa" w:w="1900"/>
            <w:tcBorders>
              <w:top w:val="single" w:color="BFC9D9" w:sz="4"/>
              <w:left w:val="single" w:color="BFC9D9" w:sz="4"/>
              <w:bottom w:val="single" w:color="BFC9D9" w:sz="4"/>
              <w:right w:val="single" w:color="BFC9D9" w:sz="4"/>
            </w:tcBorders>
            <w:shd w:fill="EEF2F8" w:color="auto" w:val="clear"/>
            <w:tcMar>
              <w:top w:type="dxa" w:w="70"/>
              <w:left w:type="dxa" w:w="110"/>
              <w:bottom w:type="dxa" w:w="70"/>
              <w:right w:type="dxa" w:w="110"/>
            </w:tcMar>
            <w:vAlign w:val="top"/>
          </w:tcPr>
          <w:p>
            <w:pPr>
              <w:keepNext/>
              <w:keepLines/>
              <w:spacing w:after="40" w:line="252"/>
              <w:jc w:val="left"/>
            </w:pPr>
            <w:r>
              <w:rPr>
                <w:b/>
                <w:bCs/>
                <w:color w:val="1F3864"/>
                <w:sz w:val="19"/>
                <w:szCs w:val="19"/>
              </w:rPr>
              <w:t xml:space="preserve">Constat</w:t>
            </w:r>
          </w:p>
        </w:tc>
        <w:tc>
          <w:tcPr>
            <w:tcW w:type="dxa" w:w="7738"/>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keepLines/>
              <w:spacing w:after="40" w:line="252"/>
              <w:jc w:val="left"/>
            </w:pPr>
            <w:r>
              <w:rPr>
                <w:sz w:val="19"/>
                <w:szCs w:val="19"/>
              </w:rPr>
              <w:t xml:space="preserve">La résilience est mesurée par la dégradation de la productivité, de l'attente et le ratio de robustesse, mais n'est jamais définie.</w:t>
            </w:r>
          </w:p>
        </w:tc>
      </w:tr>
      <w:tr>
        <w:trPr>
          <w:cantSplit/>
        </w:trPr>
        <w:tc>
          <w:tcPr>
            <w:tcW w:type="dxa" w:w="1900"/>
            <w:tcBorders>
              <w:top w:val="single" w:color="BFC9D9" w:sz="4"/>
              <w:left w:val="single" w:color="BFC9D9" w:sz="4"/>
              <w:bottom w:val="single" w:color="BFC9D9" w:sz="4"/>
              <w:right w:val="single" w:color="BFC9D9" w:sz="4"/>
            </w:tcBorders>
            <w:shd w:fill="EEF2F8" w:color="auto" w:val="clear"/>
            <w:tcMar>
              <w:top w:type="dxa" w:w="70"/>
              <w:left w:type="dxa" w:w="110"/>
              <w:bottom w:type="dxa" w:w="70"/>
              <w:right w:type="dxa" w:w="110"/>
            </w:tcMar>
            <w:vAlign w:val="top"/>
          </w:tcPr>
          <w:p>
            <w:pPr>
              <w:keepNext w:val="false"/>
              <w:keepLines/>
              <w:spacing w:after="40" w:line="252"/>
              <w:jc w:val="left"/>
            </w:pPr>
            <w:r>
              <w:rPr>
                <w:b/>
                <w:bCs/>
                <w:color w:val="1F3864"/>
                <w:sz w:val="19"/>
                <w:szCs w:val="19"/>
              </w:rPr>
              <w:t xml:space="preserve">Pourquoi c'est grave</w:t>
            </w:r>
          </w:p>
        </w:tc>
        <w:tc>
          <w:tcPr>
            <w:tcW w:type="dxa" w:w="7738"/>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Question attendue d'un relecteur du domaine minier.</w:t>
            </w:r>
          </w:p>
        </w:tc>
      </w:tr>
      <w:tr>
        <w:trPr>
          <w:cantSplit/>
        </w:trPr>
        <w:tc>
          <w:tcPr>
            <w:tcW w:type="dxa" w:w="1900"/>
            <w:tcBorders>
              <w:top w:val="single" w:color="BFC9D9" w:sz="4"/>
              <w:left w:val="single" w:color="BFC9D9" w:sz="4"/>
              <w:bottom w:val="single" w:color="BFC9D9" w:sz="4"/>
              <w:right w:val="single" w:color="BFC9D9" w:sz="4"/>
            </w:tcBorders>
            <w:shd w:fill="EEF2F8" w:color="auto" w:val="clear"/>
            <w:tcMar>
              <w:top w:type="dxa" w:w="70"/>
              <w:left w:type="dxa" w:w="110"/>
              <w:bottom w:type="dxa" w:w="70"/>
              <w:right w:type="dxa" w:w="110"/>
            </w:tcMar>
            <w:vAlign w:val="top"/>
          </w:tcPr>
          <w:p>
            <w:pPr>
              <w:keepNext w:val="false"/>
              <w:keepLines/>
              <w:spacing w:after="40" w:line="252"/>
              <w:jc w:val="left"/>
            </w:pPr>
            <w:r>
              <w:rPr>
                <w:b/>
                <w:bCs/>
                <w:color w:val="1F3864"/>
                <w:sz w:val="19"/>
                <w:szCs w:val="19"/>
              </w:rPr>
              <w:t xml:space="preserve">Action corrective</w:t>
            </w:r>
          </w:p>
        </w:tc>
        <w:tc>
          <w:tcPr>
            <w:tcW w:type="dxa" w:w="7738"/>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Ajouter une phrase en §6.3, par exemple : « Dans cette étude, la résilience opérationnelle est définie comme la capacité à conserver le débit et à contenir la congestion lorsque l'environnement passe des conditions nominales à des conditions perturbées. »</w:t>
            </w:r>
          </w:p>
        </w:tc>
      </w:tr>
      <w:tr>
        <w:trPr>
          <w:cantSplit/>
        </w:trPr>
        <w:tc>
          <w:tcPr>
            <w:tcW w:type="dxa" w:w="1900"/>
            <w:tcBorders>
              <w:top w:val="single" w:color="BFC9D9" w:sz="4"/>
              <w:left w:val="single" w:color="BFC9D9" w:sz="4"/>
              <w:bottom w:val="single" w:color="BFC9D9" w:sz="4"/>
              <w:right w:val="single" w:color="BFC9D9" w:sz="4"/>
            </w:tcBorders>
            <w:shd w:fill="EEF2F8" w:color="auto" w:val="clear"/>
            <w:tcMar>
              <w:top w:type="dxa" w:w="70"/>
              <w:left w:type="dxa" w:w="110"/>
              <w:bottom w:type="dxa" w:w="70"/>
              <w:right w:type="dxa" w:w="110"/>
            </w:tcMar>
            <w:vAlign w:val="top"/>
          </w:tcPr>
          <w:p>
            <w:pPr>
              <w:keepNext w:val="false"/>
              <w:keepLines/>
              <w:spacing w:after="40" w:line="252"/>
              <w:jc w:val="left"/>
            </w:pPr>
            <w:r>
              <w:rPr>
                <w:b/>
                <w:bCs/>
                <w:color w:val="1F3864"/>
                <w:sz w:val="19"/>
                <w:szCs w:val="19"/>
              </w:rPr>
              <w:t xml:space="preserve">Où dans le .tex</w:t>
            </w:r>
          </w:p>
        </w:tc>
        <w:tc>
          <w:tcPr>
            <w:tcW w:type="dxa" w:w="7738"/>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§6.3 Métriques (et rappel en §1).</w:t>
            </w:r>
          </w:p>
        </w:tc>
      </w:tr>
      <w:tr>
        <w:trPr>
          <w:cantSplit/>
        </w:trPr>
        <w:tc>
          <w:tcPr>
            <w:tcW w:type="dxa" w:w="1900"/>
            <w:tcBorders>
              <w:top w:val="single" w:color="BFC9D9" w:sz="4"/>
              <w:left w:val="single" w:color="BFC9D9" w:sz="4"/>
              <w:bottom w:val="single" w:color="BFC9D9" w:sz="4"/>
              <w:right w:val="single" w:color="BFC9D9" w:sz="4"/>
            </w:tcBorders>
            <w:shd w:fill="EEF2F8" w:color="auto" w:val="clear"/>
            <w:tcMar>
              <w:top w:type="dxa" w:w="70"/>
              <w:left w:type="dxa" w:w="110"/>
              <w:bottom w:type="dxa" w:w="70"/>
              <w:right w:type="dxa" w:w="110"/>
            </w:tcMar>
            <w:vAlign w:val="top"/>
          </w:tcPr>
          <w:p>
            <w:pPr>
              <w:keepNext w:val="false"/>
              <w:keepLines/>
              <w:spacing w:after="40" w:line="252"/>
              <w:jc w:val="left"/>
            </w:pPr>
            <w:r>
              <w:rPr>
                <w:b/>
                <w:bCs/>
                <w:color w:val="1F3864"/>
                <w:sz w:val="19"/>
                <w:szCs w:val="19"/>
              </w:rPr>
              <w:t xml:space="preserve">Statut</w:t>
            </w:r>
          </w:p>
        </w:tc>
        <w:tc>
          <w:tcPr>
            <w:tcW w:type="dxa" w:w="7738"/>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 À faire     ☐ En cours     ☐ Fait     Notes : ……………………………………………</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rPr>
        <w:tc>
          <w:tcPr>
            <w:tcW w:type="dxa" w:w="9638"/>
            <w:gridSpan w:val="2"/>
            <w:tcBorders>
              <w:top w:val="single" w:color="BFC9D9" w:sz="4"/>
              <w:left w:val="single" w:color="BFC9D9" w:sz="4"/>
              <w:bottom w:val="single" w:color="BFC9D9" w:sz="4"/>
              <w:right w:val="single" w:color="BFC9D9" w:sz="4"/>
            </w:tcBorders>
            <w:shd w:fill="2E5597" w:color="auto" w:val="clear"/>
            <w:tcMar>
              <w:top w:type="dxa" w:w="70"/>
              <w:left w:type="dxa" w:w="110"/>
              <w:bottom w:type="dxa" w:w="70"/>
              <w:right w:type="dxa" w:w="110"/>
            </w:tcMar>
            <w:vAlign w:val="top"/>
          </w:tcPr>
          <w:p>
            <w:pPr>
              <w:keepNext/>
            </w:pPr>
            <w:r>
              <w:rPr>
                <w:b/>
                <w:bCs/>
                <w:color w:val="FFFFFF"/>
                <w:sz w:val="21"/>
                <w:szCs w:val="21"/>
              </w:rPr>
              <w:t xml:space="preserve">M22  </w:t>
            </w:r>
            <w:r>
              <w:rPr>
                <w:b/>
                <w:bCs/>
                <w:color w:val="FFFFFF"/>
                <w:sz w:val="21"/>
                <w:szCs w:val="21"/>
              </w:rPr>
              <w:t xml:space="preserve">Contextualiser les très grandes tailles d'effet</w:t>
            </w:r>
          </w:p>
        </w:tc>
      </w:tr>
      <w:tr>
        <w:tc>
          <w:tcPr>
            <w:tcW w:type="dxa" w:w="1900"/>
            <w:tcBorders>
              <w:top w:val="single" w:color="BFC9D9" w:sz="4"/>
              <w:left w:val="single" w:color="BFC9D9" w:sz="4"/>
              <w:bottom w:val="single" w:color="BFC9D9" w:sz="4"/>
              <w:right w:val="single" w:color="BFC9D9" w:sz="4"/>
            </w:tcBorders>
            <w:shd w:fill="EEF2F8" w:color="auto" w:val="clear"/>
            <w:tcMar>
              <w:top w:type="dxa" w:w="70"/>
              <w:left w:type="dxa" w:w="110"/>
              <w:bottom w:type="dxa" w:w="70"/>
              <w:right w:type="dxa" w:w="110"/>
            </w:tcMar>
            <w:vAlign w:val="top"/>
          </w:tcPr>
          <w:p>
            <w:pPr>
              <w:keepNext w:val="false"/>
              <w:keepLines/>
              <w:spacing w:after="40" w:line="252"/>
              <w:jc w:val="left"/>
            </w:pPr>
            <w:r>
              <w:rPr>
                <w:b/>
                <w:bCs/>
                <w:color w:val="1F3864"/>
                <w:sz w:val="19"/>
                <w:szCs w:val="19"/>
              </w:rPr>
              <w:t xml:space="preserve">Priorité</w:t>
            </w:r>
          </w:p>
        </w:tc>
        <w:tc>
          <w:tcPr>
            <w:tcW w:type="dxa" w:w="7738"/>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pPr>
            <w:r>
              <w:rPr>
                <w:b/>
                <w:bCs/>
                <w:color w:val="BF8F00"/>
                <w:sz w:val="19"/>
                <w:szCs w:val="19"/>
              </w:rPr>
              <w:t xml:space="preserve">Moyenne</w:t>
            </w:r>
            <w:r>
              <w:rPr>
                <w:color w:val="595959"/>
                <w:sz w:val="19"/>
                <w:szCs w:val="19"/>
              </w:rPr>
              <w:t xml:space="preserve">     Source : </w:t>
            </w:r>
            <w:r>
              <w:rPr>
                <w:sz w:val="19"/>
                <w:szCs w:val="19"/>
              </w:rPr>
              <w:t xml:space="preserve">GPT 2.7</w:t>
            </w:r>
          </w:p>
        </w:tc>
      </w:tr>
      <w:tr>
        <w:trPr>
          <w:cantSplit/>
        </w:trPr>
        <w:tc>
          <w:tcPr>
            <w:tcW w:type="dxa" w:w="1900"/>
            <w:tcBorders>
              <w:top w:val="single" w:color="BFC9D9" w:sz="4"/>
              <w:left w:val="single" w:color="BFC9D9" w:sz="4"/>
              <w:bottom w:val="single" w:color="BFC9D9" w:sz="4"/>
              <w:right w:val="single" w:color="BFC9D9" w:sz="4"/>
            </w:tcBorders>
            <w:shd w:fill="EEF2F8" w:color="auto" w:val="clear"/>
            <w:tcMar>
              <w:top w:type="dxa" w:w="70"/>
              <w:left w:type="dxa" w:w="110"/>
              <w:bottom w:type="dxa" w:w="70"/>
              <w:right w:type="dxa" w:w="110"/>
            </w:tcMar>
            <w:vAlign w:val="top"/>
          </w:tcPr>
          <w:p>
            <w:pPr>
              <w:keepNext/>
              <w:keepLines/>
              <w:spacing w:after="40" w:line="252"/>
              <w:jc w:val="left"/>
            </w:pPr>
            <w:r>
              <w:rPr>
                <w:b/>
                <w:bCs/>
                <w:color w:val="1F3864"/>
                <w:sz w:val="19"/>
                <w:szCs w:val="19"/>
              </w:rPr>
              <w:t xml:space="preserve">Constat</w:t>
            </w:r>
          </w:p>
        </w:tc>
        <w:tc>
          <w:tcPr>
            <w:tcW w:type="dxa" w:w="7738"/>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keepLines/>
              <w:spacing w:after="40" w:line="252"/>
              <w:jc w:val="left"/>
            </w:pPr>
            <w:r>
              <w:rPr>
                <w:sz w:val="19"/>
                <w:szCs w:val="19"/>
              </w:rPr>
              <w:t xml:space="preserve">Des d de Cohen supérieurs à 3 (carburant) découlent de la très faible variance intra-politique produite par la simulation.</w:t>
            </w:r>
          </w:p>
        </w:tc>
      </w:tr>
      <w:tr>
        <w:trPr>
          <w:cantSplit/>
        </w:trPr>
        <w:tc>
          <w:tcPr>
            <w:tcW w:type="dxa" w:w="1900"/>
            <w:tcBorders>
              <w:top w:val="single" w:color="BFC9D9" w:sz="4"/>
              <w:left w:val="single" w:color="BFC9D9" w:sz="4"/>
              <w:bottom w:val="single" w:color="BFC9D9" w:sz="4"/>
              <w:right w:val="single" w:color="BFC9D9" w:sz="4"/>
            </w:tcBorders>
            <w:shd w:fill="EEF2F8" w:color="auto" w:val="clear"/>
            <w:tcMar>
              <w:top w:type="dxa" w:w="70"/>
              <w:left w:type="dxa" w:w="110"/>
              <w:bottom w:type="dxa" w:w="70"/>
              <w:right w:type="dxa" w:w="110"/>
            </w:tcMar>
            <w:vAlign w:val="top"/>
          </w:tcPr>
          <w:p>
            <w:pPr>
              <w:keepNext w:val="false"/>
              <w:keepLines/>
              <w:spacing w:after="40" w:line="252"/>
              <w:jc w:val="left"/>
            </w:pPr>
            <w:r>
              <w:rPr>
                <w:b/>
                <w:bCs/>
                <w:color w:val="1F3864"/>
                <w:sz w:val="19"/>
                <w:szCs w:val="19"/>
              </w:rPr>
              <w:t xml:space="preserve">Pourquoi c'est grave</w:t>
            </w:r>
          </w:p>
        </w:tc>
        <w:tc>
          <w:tcPr>
            <w:tcW w:type="dxa" w:w="7738"/>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Un lecteur peut y lire un effet industriel « énorme ».</w:t>
            </w:r>
          </w:p>
        </w:tc>
      </w:tr>
      <w:tr>
        <w:trPr>
          <w:cantSplit/>
        </w:trPr>
        <w:tc>
          <w:tcPr>
            <w:tcW w:type="dxa" w:w="1900"/>
            <w:tcBorders>
              <w:top w:val="single" w:color="BFC9D9" w:sz="4"/>
              <w:left w:val="single" w:color="BFC9D9" w:sz="4"/>
              <w:bottom w:val="single" w:color="BFC9D9" w:sz="4"/>
              <w:right w:val="single" w:color="BFC9D9" w:sz="4"/>
            </w:tcBorders>
            <w:shd w:fill="EEF2F8" w:color="auto" w:val="clear"/>
            <w:tcMar>
              <w:top w:type="dxa" w:w="70"/>
              <w:left w:type="dxa" w:w="110"/>
              <w:bottom w:type="dxa" w:w="70"/>
              <w:right w:type="dxa" w:w="110"/>
            </w:tcMar>
            <w:vAlign w:val="top"/>
          </w:tcPr>
          <w:p>
            <w:pPr>
              <w:keepNext w:val="false"/>
              <w:keepLines/>
              <w:spacing w:after="40" w:line="252"/>
              <w:jc w:val="left"/>
            </w:pPr>
            <w:r>
              <w:rPr>
                <w:b/>
                <w:bCs/>
                <w:color w:val="1F3864"/>
                <w:sz w:val="19"/>
                <w:szCs w:val="19"/>
              </w:rPr>
              <w:t xml:space="preserve">Action corrective</w:t>
            </w:r>
          </w:p>
        </w:tc>
        <w:tc>
          <w:tcPr>
            <w:tcW w:type="dxa" w:w="7738"/>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Ajouter une phrase rappelant qu'un grand d en simulation ne signifie pas un grand effet pratique, et rapporter aussi les différences en unités physiques.</w:t>
            </w:r>
          </w:p>
        </w:tc>
      </w:tr>
      <w:tr>
        <w:trPr>
          <w:cantSplit/>
        </w:trPr>
        <w:tc>
          <w:tcPr>
            <w:tcW w:type="dxa" w:w="1900"/>
            <w:tcBorders>
              <w:top w:val="single" w:color="BFC9D9" w:sz="4"/>
              <w:left w:val="single" w:color="BFC9D9" w:sz="4"/>
              <w:bottom w:val="single" w:color="BFC9D9" w:sz="4"/>
              <w:right w:val="single" w:color="BFC9D9" w:sz="4"/>
            </w:tcBorders>
            <w:shd w:fill="EEF2F8" w:color="auto" w:val="clear"/>
            <w:tcMar>
              <w:top w:type="dxa" w:w="70"/>
              <w:left w:type="dxa" w:w="110"/>
              <w:bottom w:type="dxa" w:w="70"/>
              <w:right w:type="dxa" w:w="110"/>
            </w:tcMar>
            <w:vAlign w:val="top"/>
          </w:tcPr>
          <w:p>
            <w:pPr>
              <w:keepNext w:val="false"/>
              <w:keepLines/>
              <w:spacing w:after="40" w:line="252"/>
              <w:jc w:val="left"/>
            </w:pPr>
            <w:r>
              <w:rPr>
                <w:b/>
                <w:bCs/>
                <w:color w:val="1F3864"/>
                <w:sz w:val="19"/>
                <w:szCs w:val="19"/>
              </w:rPr>
              <w:t xml:space="preserve">Où dans le .tex</w:t>
            </w:r>
          </w:p>
        </w:tc>
        <w:tc>
          <w:tcPr>
            <w:tcW w:type="dxa" w:w="7738"/>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§7.4 ; §8.3.</w:t>
            </w:r>
          </w:p>
        </w:tc>
      </w:tr>
      <w:tr>
        <w:trPr>
          <w:cantSplit/>
        </w:trPr>
        <w:tc>
          <w:tcPr>
            <w:tcW w:type="dxa" w:w="1900"/>
            <w:tcBorders>
              <w:top w:val="single" w:color="BFC9D9" w:sz="4"/>
              <w:left w:val="single" w:color="BFC9D9" w:sz="4"/>
              <w:bottom w:val="single" w:color="BFC9D9" w:sz="4"/>
              <w:right w:val="single" w:color="BFC9D9" w:sz="4"/>
            </w:tcBorders>
            <w:shd w:fill="EEF2F8" w:color="auto" w:val="clear"/>
            <w:tcMar>
              <w:top w:type="dxa" w:w="70"/>
              <w:left w:type="dxa" w:w="110"/>
              <w:bottom w:type="dxa" w:w="70"/>
              <w:right w:type="dxa" w:w="110"/>
            </w:tcMar>
            <w:vAlign w:val="top"/>
          </w:tcPr>
          <w:p>
            <w:pPr>
              <w:keepNext w:val="false"/>
              <w:keepLines/>
              <w:spacing w:after="40" w:line="252"/>
              <w:jc w:val="left"/>
            </w:pPr>
            <w:r>
              <w:rPr>
                <w:b/>
                <w:bCs/>
                <w:color w:val="1F3864"/>
                <w:sz w:val="19"/>
                <w:szCs w:val="19"/>
              </w:rPr>
              <w:t xml:space="preserve">Statut</w:t>
            </w:r>
          </w:p>
        </w:tc>
        <w:tc>
          <w:tcPr>
            <w:tcW w:type="dxa" w:w="7738"/>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 À faire     ☐ En cours     ☐ Fait     Notes : ……………………………………………</w:t>
            </w:r>
          </w:p>
        </w:tc>
      </w:tr>
    </w:tbl>
    <w:p>
      <w:pPr>
        <w:spacing w:after="120"/>
      </w:pPr>
    </w:p>
    <w:p>
      <w:pPr>
        <w:pStyle w:val="Heading2"/>
      </w:pPr>
      <w:r>
        <w:t xml:space="preserve">Bloc D. Cadrage, structure et littérature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rPr>
        <w:tc>
          <w:tcPr>
            <w:tcW w:type="dxa" w:w="9638"/>
            <w:gridSpan w:val="2"/>
            <w:tcBorders>
              <w:top w:val="single" w:color="BFC9D9" w:sz="4"/>
              <w:left w:val="single" w:color="BFC9D9" w:sz="4"/>
              <w:bottom w:val="single" w:color="BFC9D9" w:sz="4"/>
              <w:right w:val="single" w:color="BFC9D9" w:sz="4"/>
            </w:tcBorders>
            <w:shd w:fill="2E5597" w:color="auto" w:val="clear"/>
            <w:tcMar>
              <w:top w:type="dxa" w:w="70"/>
              <w:left w:type="dxa" w:w="110"/>
              <w:bottom w:type="dxa" w:w="70"/>
              <w:right w:type="dxa" w:w="110"/>
            </w:tcMar>
            <w:vAlign w:val="top"/>
          </w:tcPr>
          <w:p>
            <w:pPr>
              <w:keepNext/>
            </w:pPr>
            <w:r>
              <w:rPr>
                <w:b/>
                <w:bCs/>
                <w:color w:val="FFFFFF"/>
                <w:sz w:val="21"/>
                <w:szCs w:val="21"/>
              </w:rPr>
              <w:t xml:space="preserve">M23  </w:t>
            </w:r>
            <w:r>
              <w:rPr>
                <w:b/>
                <w:bCs/>
                <w:color w:val="FFFFFF"/>
                <w:sz w:val="21"/>
                <w:szCs w:val="21"/>
              </w:rPr>
              <w:t xml:space="preserve">Recentrer la contribution et resserrer les questions</w:t>
            </w:r>
          </w:p>
        </w:tc>
      </w:tr>
      <w:tr>
        <w:tc>
          <w:tcPr>
            <w:tcW w:type="dxa" w:w="1900"/>
            <w:tcBorders>
              <w:top w:val="single" w:color="BFC9D9" w:sz="4"/>
              <w:left w:val="single" w:color="BFC9D9" w:sz="4"/>
              <w:bottom w:val="single" w:color="BFC9D9" w:sz="4"/>
              <w:right w:val="single" w:color="BFC9D9" w:sz="4"/>
            </w:tcBorders>
            <w:shd w:fill="EEF2F8" w:color="auto" w:val="clear"/>
            <w:tcMar>
              <w:top w:type="dxa" w:w="70"/>
              <w:left w:type="dxa" w:w="110"/>
              <w:bottom w:type="dxa" w:w="70"/>
              <w:right w:type="dxa" w:w="110"/>
            </w:tcMar>
            <w:vAlign w:val="top"/>
          </w:tcPr>
          <w:p>
            <w:pPr>
              <w:keepNext w:val="false"/>
              <w:keepLines/>
              <w:spacing w:after="40" w:line="252"/>
              <w:jc w:val="left"/>
            </w:pPr>
            <w:r>
              <w:rPr>
                <w:b/>
                <w:bCs/>
                <w:color w:val="1F3864"/>
                <w:sz w:val="19"/>
                <w:szCs w:val="19"/>
              </w:rPr>
              <w:t xml:space="preserve">Priorité</w:t>
            </w:r>
          </w:p>
        </w:tc>
        <w:tc>
          <w:tcPr>
            <w:tcW w:type="dxa" w:w="7738"/>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pPr>
            <w:r>
              <w:rPr>
                <w:b/>
                <w:bCs/>
                <w:color w:val="E26B0A"/>
                <w:sz w:val="19"/>
                <w:szCs w:val="19"/>
              </w:rPr>
              <w:t xml:space="preserve">Élevée</w:t>
            </w:r>
            <w:r>
              <w:rPr>
                <w:color w:val="595959"/>
                <w:sz w:val="19"/>
                <w:szCs w:val="19"/>
              </w:rPr>
              <w:t xml:space="preserve">     Source : </w:t>
            </w:r>
            <w:r>
              <w:rPr>
                <w:sz w:val="19"/>
                <w:szCs w:val="19"/>
              </w:rPr>
              <w:t xml:space="preserve">Claude, GPT M1, Dir. plan</w:t>
            </w:r>
          </w:p>
        </w:tc>
      </w:tr>
      <w:tr>
        <w:trPr>
          <w:cantSplit/>
        </w:trPr>
        <w:tc>
          <w:tcPr>
            <w:tcW w:type="dxa" w:w="1900"/>
            <w:tcBorders>
              <w:top w:val="single" w:color="BFC9D9" w:sz="4"/>
              <w:left w:val="single" w:color="BFC9D9" w:sz="4"/>
              <w:bottom w:val="single" w:color="BFC9D9" w:sz="4"/>
              <w:right w:val="single" w:color="BFC9D9" w:sz="4"/>
            </w:tcBorders>
            <w:shd w:fill="EEF2F8" w:color="auto" w:val="clear"/>
            <w:tcMar>
              <w:top w:type="dxa" w:w="70"/>
              <w:left w:type="dxa" w:w="110"/>
              <w:bottom w:type="dxa" w:w="70"/>
              <w:right w:type="dxa" w:w="110"/>
            </w:tcMar>
            <w:vAlign w:val="top"/>
          </w:tcPr>
          <w:p>
            <w:pPr>
              <w:keepNext/>
              <w:keepLines/>
              <w:spacing w:after="40" w:line="252"/>
              <w:jc w:val="left"/>
            </w:pPr>
            <w:r>
              <w:rPr>
                <w:b/>
                <w:bCs/>
                <w:color w:val="1F3864"/>
                <w:sz w:val="19"/>
                <w:szCs w:val="19"/>
              </w:rPr>
              <w:t xml:space="preserve">Constat</w:t>
            </w:r>
          </w:p>
        </w:tc>
        <w:tc>
          <w:tcPr>
            <w:tcW w:type="dxa" w:w="7738"/>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keepLines/>
              <w:spacing w:after="40" w:line="252"/>
              <w:jc w:val="left"/>
            </w:pPr>
            <w:r>
              <w:rPr>
                <w:sz w:val="19"/>
                <w:szCs w:val="19"/>
              </w:rPr>
              <w:t xml:space="preserve">L'article affiche six questions de recherche, quatre hypothèses, quatre contributions et deux problèmes, qui se recouvrent (QR1, H3 et C4 disent la même chose ; de même QR2 et H4). H2 contient sa propre réserve (« n'est pas garanti dans tous les scénarios »), ce qui ressemble à une hypothèse formulée après les résultats. Le titre « Cadre DRL proposé » contredit l'affirmation « aucun nouvel algorithme ».</w:t>
            </w:r>
          </w:p>
        </w:tc>
      </w:tr>
      <w:tr>
        <w:trPr>
          <w:cantSplit/>
        </w:trPr>
        <w:tc>
          <w:tcPr>
            <w:tcW w:type="dxa" w:w="1900"/>
            <w:tcBorders>
              <w:top w:val="single" w:color="BFC9D9" w:sz="4"/>
              <w:left w:val="single" w:color="BFC9D9" w:sz="4"/>
              <w:bottom w:val="single" w:color="BFC9D9" w:sz="4"/>
              <w:right w:val="single" w:color="BFC9D9" w:sz="4"/>
            </w:tcBorders>
            <w:shd w:fill="EEF2F8" w:color="auto" w:val="clear"/>
            <w:tcMar>
              <w:top w:type="dxa" w:w="70"/>
              <w:left w:type="dxa" w:w="110"/>
              <w:bottom w:type="dxa" w:w="70"/>
              <w:right w:type="dxa" w:w="110"/>
            </w:tcMar>
            <w:vAlign w:val="top"/>
          </w:tcPr>
          <w:p>
            <w:pPr>
              <w:keepNext w:val="false"/>
              <w:keepLines/>
              <w:spacing w:after="40" w:line="252"/>
              <w:jc w:val="left"/>
            </w:pPr>
            <w:r>
              <w:rPr>
                <w:b/>
                <w:bCs/>
                <w:color w:val="1F3864"/>
                <w:sz w:val="19"/>
                <w:szCs w:val="19"/>
              </w:rPr>
              <w:t xml:space="preserve">Pourquoi c'est grave</w:t>
            </w:r>
          </w:p>
        </w:tc>
        <w:tc>
          <w:tcPr>
            <w:tcW w:type="dxa" w:w="7738"/>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Contribution diluée ; soupçon de formulation a posteriori des hypothèses.</w:t>
            </w:r>
          </w:p>
        </w:tc>
      </w:tr>
      <w:tr>
        <w:trPr>
          <w:cantSplit/>
        </w:trPr>
        <w:tc>
          <w:tcPr>
            <w:tcW w:type="dxa" w:w="1900"/>
            <w:tcBorders>
              <w:top w:val="single" w:color="BFC9D9" w:sz="4"/>
              <w:left w:val="single" w:color="BFC9D9" w:sz="4"/>
              <w:bottom w:val="single" w:color="BFC9D9" w:sz="4"/>
              <w:right w:val="single" w:color="BFC9D9" w:sz="4"/>
            </w:tcBorders>
            <w:shd w:fill="EEF2F8" w:color="auto" w:val="clear"/>
            <w:tcMar>
              <w:top w:type="dxa" w:w="70"/>
              <w:left w:type="dxa" w:w="110"/>
              <w:bottom w:type="dxa" w:w="70"/>
              <w:right w:type="dxa" w:w="110"/>
            </w:tcMar>
            <w:vAlign w:val="top"/>
          </w:tcPr>
          <w:p>
            <w:pPr>
              <w:keepNext w:val="false"/>
              <w:keepLines/>
              <w:spacing w:after="40" w:line="252"/>
              <w:jc w:val="left"/>
            </w:pPr>
            <w:r>
              <w:rPr>
                <w:b/>
                <w:bCs/>
                <w:color w:val="1F3864"/>
                <w:sz w:val="19"/>
                <w:szCs w:val="19"/>
              </w:rPr>
              <w:t xml:space="preserve">Action corrective</w:t>
            </w:r>
          </w:p>
        </w:tc>
        <w:tc>
          <w:tcPr>
            <w:tcW w:type="dxa" w:w="7738"/>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Recentrer sur la dépendance au régime : « évaluation comparative et test de résistance multi-régimes des politiques de dispatching ».</w:t>
            </w:r>
          </w:p>
          <w:p>
            <w:pPr>
              <w:keepNext w:val="false"/>
              <w:keepLines/>
              <w:spacing w:after="40" w:line="252"/>
              <w:jc w:val="left"/>
            </w:pPr>
            <w:r>
              <w:rPr>
                <w:sz w:val="19"/>
                <w:szCs w:val="19"/>
              </w:rPr>
              <w:t xml:space="preserve">Réduire à trois ou quatre questions de recherche et à trois ou quatre hypothèses tranchées ; laisser le tableau de validation dire « partiellement validée ».</w:t>
            </w:r>
          </w:p>
          <w:p>
            <w:pPr>
              <w:keepNext w:val="false"/>
              <w:keepLines/>
              <w:spacing w:after="40" w:line="252"/>
              <w:jc w:val="left"/>
            </w:pPr>
            <w:r>
              <w:rPr>
                <w:sz w:val="19"/>
                <w:szCs w:val="19"/>
              </w:rPr>
              <w:t xml:space="preserve">Renommer la section 5, par exemple « Cadre d'évaluation et agents étudiés ».</w:t>
            </w:r>
          </w:p>
          <w:p>
            <w:pPr>
              <w:keepNext w:val="false"/>
              <w:keepLines/>
              <w:spacing w:after="40" w:line="252"/>
              <w:jc w:val="left"/>
            </w:pPr>
            <w:r>
              <w:rPr>
                <w:sz w:val="19"/>
                <w:szCs w:val="19"/>
              </w:rPr>
              <w:t xml:space="preserve">Mettre en avant la phrase de §7.2 : le type de logique de dispatching compte davantage que la distinction entre apprentissage et règles.</w:t>
            </w:r>
          </w:p>
        </w:tc>
      </w:tr>
      <w:tr>
        <w:trPr>
          <w:cantSplit/>
        </w:trPr>
        <w:tc>
          <w:tcPr>
            <w:tcW w:type="dxa" w:w="1900"/>
            <w:tcBorders>
              <w:top w:val="single" w:color="BFC9D9" w:sz="4"/>
              <w:left w:val="single" w:color="BFC9D9" w:sz="4"/>
              <w:bottom w:val="single" w:color="BFC9D9" w:sz="4"/>
              <w:right w:val="single" w:color="BFC9D9" w:sz="4"/>
            </w:tcBorders>
            <w:shd w:fill="EEF2F8" w:color="auto" w:val="clear"/>
            <w:tcMar>
              <w:top w:type="dxa" w:w="70"/>
              <w:left w:type="dxa" w:w="110"/>
              <w:bottom w:type="dxa" w:w="70"/>
              <w:right w:type="dxa" w:w="110"/>
            </w:tcMar>
            <w:vAlign w:val="top"/>
          </w:tcPr>
          <w:p>
            <w:pPr>
              <w:keepNext w:val="false"/>
              <w:keepLines/>
              <w:spacing w:after="40" w:line="252"/>
              <w:jc w:val="left"/>
            </w:pPr>
            <w:r>
              <w:rPr>
                <w:b/>
                <w:bCs/>
                <w:color w:val="1F3864"/>
                <w:sz w:val="19"/>
                <w:szCs w:val="19"/>
              </w:rPr>
              <w:t xml:space="preserve">Où dans le .tex</w:t>
            </w:r>
          </w:p>
        </w:tc>
        <w:tc>
          <w:tcPr>
            <w:tcW w:type="dxa" w:w="7738"/>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Titre ; abstract ; §1.4 ; §1.5 ; §5 ; tableau de validation des hypothèses ; conclusion.</w:t>
            </w:r>
          </w:p>
        </w:tc>
      </w:tr>
      <w:tr>
        <w:trPr>
          <w:cantSplit/>
        </w:trPr>
        <w:tc>
          <w:tcPr>
            <w:tcW w:type="dxa" w:w="1900"/>
            <w:tcBorders>
              <w:top w:val="single" w:color="BFC9D9" w:sz="4"/>
              <w:left w:val="single" w:color="BFC9D9" w:sz="4"/>
              <w:bottom w:val="single" w:color="BFC9D9" w:sz="4"/>
              <w:right w:val="single" w:color="BFC9D9" w:sz="4"/>
            </w:tcBorders>
            <w:shd w:fill="EEF2F8" w:color="auto" w:val="clear"/>
            <w:tcMar>
              <w:top w:type="dxa" w:w="70"/>
              <w:left w:type="dxa" w:w="110"/>
              <w:bottom w:type="dxa" w:w="70"/>
              <w:right w:type="dxa" w:w="110"/>
            </w:tcMar>
            <w:vAlign w:val="top"/>
          </w:tcPr>
          <w:p>
            <w:pPr>
              <w:keepNext w:val="false"/>
              <w:keepLines/>
              <w:spacing w:after="40" w:line="252"/>
              <w:jc w:val="left"/>
            </w:pPr>
            <w:r>
              <w:rPr>
                <w:b/>
                <w:bCs/>
                <w:color w:val="1F3864"/>
                <w:sz w:val="19"/>
                <w:szCs w:val="19"/>
              </w:rPr>
              <w:t xml:space="preserve">Statut</w:t>
            </w:r>
          </w:p>
        </w:tc>
        <w:tc>
          <w:tcPr>
            <w:tcW w:type="dxa" w:w="7738"/>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 À faire     ☐ En cours     ☐ Fait     Notes : ……………………………………………</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rPr>
        <w:tc>
          <w:tcPr>
            <w:tcW w:type="dxa" w:w="9638"/>
            <w:gridSpan w:val="2"/>
            <w:tcBorders>
              <w:top w:val="single" w:color="BFC9D9" w:sz="4"/>
              <w:left w:val="single" w:color="BFC9D9" w:sz="4"/>
              <w:bottom w:val="single" w:color="BFC9D9" w:sz="4"/>
              <w:right w:val="single" w:color="BFC9D9" w:sz="4"/>
            </w:tcBorders>
            <w:shd w:fill="2E5597" w:color="auto" w:val="clear"/>
            <w:tcMar>
              <w:top w:type="dxa" w:w="70"/>
              <w:left w:type="dxa" w:w="110"/>
              <w:bottom w:type="dxa" w:w="70"/>
              <w:right w:type="dxa" w:w="110"/>
            </w:tcMar>
            <w:vAlign w:val="top"/>
          </w:tcPr>
          <w:p>
            <w:pPr>
              <w:keepNext/>
            </w:pPr>
            <w:r>
              <w:rPr>
                <w:b/>
                <w:bCs/>
                <w:color w:val="FFFFFF"/>
                <w:sz w:val="21"/>
                <w:szCs w:val="21"/>
              </w:rPr>
              <w:t xml:space="preserve">M24  </w:t>
            </w:r>
            <w:r>
              <w:rPr>
                <w:b/>
                <w:bCs/>
                <w:color w:val="FFFFFF"/>
                <w:sz w:val="21"/>
                <w:szCs w:val="21"/>
              </w:rPr>
              <w:t xml:space="preserve">Restructuration demandée par la directrice</w:t>
            </w:r>
          </w:p>
        </w:tc>
      </w:tr>
      <w:tr>
        <w:tc>
          <w:tcPr>
            <w:tcW w:type="dxa" w:w="1900"/>
            <w:tcBorders>
              <w:top w:val="single" w:color="BFC9D9" w:sz="4"/>
              <w:left w:val="single" w:color="BFC9D9" w:sz="4"/>
              <w:bottom w:val="single" w:color="BFC9D9" w:sz="4"/>
              <w:right w:val="single" w:color="BFC9D9" w:sz="4"/>
            </w:tcBorders>
            <w:shd w:fill="EEF2F8" w:color="auto" w:val="clear"/>
            <w:tcMar>
              <w:top w:type="dxa" w:w="70"/>
              <w:left w:type="dxa" w:w="110"/>
              <w:bottom w:type="dxa" w:w="70"/>
              <w:right w:type="dxa" w:w="110"/>
            </w:tcMar>
            <w:vAlign w:val="top"/>
          </w:tcPr>
          <w:p>
            <w:pPr>
              <w:keepNext w:val="false"/>
              <w:keepLines/>
              <w:spacing w:after="40" w:line="252"/>
              <w:jc w:val="left"/>
            </w:pPr>
            <w:r>
              <w:rPr>
                <w:b/>
                <w:bCs/>
                <w:color w:val="1F3864"/>
                <w:sz w:val="19"/>
                <w:szCs w:val="19"/>
              </w:rPr>
              <w:t xml:space="preserve">Priorité</w:t>
            </w:r>
          </w:p>
        </w:tc>
        <w:tc>
          <w:tcPr>
            <w:tcW w:type="dxa" w:w="7738"/>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pPr>
            <w:r>
              <w:rPr>
                <w:b/>
                <w:bCs/>
                <w:color w:val="E26B0A"/>
                <w:sz w:val="19"/>
                <w:szCs w:val="19"/>
              </w:rPr>
              <w:t xml:space="preserve">Élevée</w:t>
            </w:r>
            <w:r>
              <w:rPr>
                <w:color w:val="595959"/>
                <w:sz w:val="19"/>
                <w:szCs w:val="19"/>
              </w:rPr>
              <w:t xml:space="preserve">     Source : </w:t>
            </w:r>
            <w:r>
              <w:rPr>
                <w:sz w:val="19"/>
                <w:szCs w:val="19"/>
              </w:rPr>
              <w:t xml:space="preserve">Dir. 16/08, Dir. 22/09, Dir. 30/09 ; Claude (redondance §2.4 / §3)</w:t>
            </w:r>
          </w:p>
        </w:tc>
      </w:tr>
      <w:tr>
        <w:trPr>
          <w:cantSplit/>
        </w:trPr>
        <w:tc>
          <w:tcPr>
            <w:tcW w:type="dxa" w:w="1900"/>
            <w:tcBorders>
              <w:top w:val="single" w:color="BFC9D9" w:sz="4"/>
              <w:left w:val="single" w:color="BFC9D9" w:sz="4"/>
              <w:bottom w:val="single" w:color="BFC9D9" w:sz="4"/>
              <w:right w:val="single" w:color="BFC9D9" w:sz="4"/>
            </w:tcBorders>
            <w:shd w:fill="EEF2F8" w:color="auto" w:val="clear"/>
            <w:tcMar>
              <w:top w:type="dxa" w:w="70"/>
              <w:left w:type="dxa" w:w="110"/>
              <w:bottom w:type="dxa" w:w="70"/>
              <w:right w:type="dxa" w:w="110"/>
            </w:tcMar>
            <w:vAlign w:val="top"/>
          </w:tcPr>
          <w:p>
            <w:pPr>
              <w:keepNext/>
              <w:keepLines/>
              <w:spacing w:after="40" w:line="252"/>
              <w:jc w:val="left"/>
            </w:pPr>
            <w:r>
              <w:rPr>
                <w:b/>
                <w:bCs/>
                <w:color w:val="1F3864"/>
                <w:sz w:val="19"/>
                <w:szCs w:val="19"/>
              </w:rPr>
              <w:t xml:space="preserve">Constat</w:t>
            </w:r>
          </w:p>
        </w:tc>
        <w:tc>
          <w:tcPr>
            <w:tcW w:type="dxa" w:w="7738"/>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keepLines/>
              <w:spacing w:after="40" w:line="252"/>
              <w:jc w:val="left"/>
            </w:pPr>
            <w:r>
              <w:rPr>
                <w:sz w:val="19"/>
                <w:szCs w:val="19"/>
              </w:rPr>
              <w:t xml:space="preserve">Ordre actuel : Introduction (contexte, problème, lacune, questions, contributions) → Travaux connexes (dont §2.4 synthèse) → §3 Positionnement → §4 Formulation du problème (dont le processus markovien) → §5 Cadre proposé. La directrice demande que la problématique et la lacune viennent après la revue de littérature et le tableau de positionnement, que les contributions soient distinctes de l'introduction avec une figure du cadre méthodologique, et que le processus markovien soit intégré à la solution proposée. Par ailleurs, §2.4 et §3 développent les mêmes quatre axes presque mot pour mot.</w:t>
            </w:r>
          </w:p>
        </w:tc>
      </w:tr>
      <w:tr>
        <w:trPr>
          <w:cantSplit/>
        </w:trPr>
        <w:tc>
          <w:tcPr>
            <w:tcW w:type="dxa" w:w="1900"/>
            <w:tcBorders>
              <w:top w:val="single" w:color="BFC9D9" w:sz="4"/>
              <w:left w:val="single" w:color="BFC9D9" w:sz="4"/>
              <w:bottom w:val="single" w:color="BFC9D9" w:sz="4"/>
              <w:right w:val="single" w:color="BFC9D9" w:sz="4"/>
            </w:tcBorders>
            <w:shd w:fill="EEF2F8" w:color="auto" w:val="clear"/>
            <w:tcMar>
              <w:top w:type="dxa" w:w="70"/>
              <w:left w:type="dxa" w:w="110"/>
              <w:bottom w:type="dxa" w:w="70"/>
              <w:right w:type="dxa" w:w="110"/>
            </w:tcMar>
            <w:vAlign w:val="top"/>
          </w:tcPr>
          <w:p>
            <w:pPr>
              <w:keepNext w:val="false"/>
              <w:keepLines/>
              <w:spacing w:after="40" w:line="252"/>
              <w:jc w:val="left"/>
            </w:pPr>
            <w:r>
              <w:rPr>
                <w:b/>
                <w:bCs/>
                <w:color w:val="1F3864"/>
                <w:sz w:val="19"/>
                <w:szCs w:val="19"/>
              </w:rPr>
              <w:t xml:space="preserve">Pourquoi c'est grave</w:t>
            </w:r>
          </w:p>
        </w:tc>
        <w:tc>
          <w:tcPr>
            <w:tcW w:type="dxa" w:w="7738"/>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Demandes explicites de la co-auteure ; la redondance coûte environ une page et demie.</w:t>
            </w:r>
          </w:p>
        </w:tc>
      </w:tr>
      <w:tr>
        <w:trPr>
          <w:cantSplit/>
        </w:trPr>
        <w:tc>
          <w:tcPr>
            <w:tcW w:type="dxa" w:w="1900"/>
            <w:tcBorders>
              <w:top w:val="single" w:color="BFC9D9" w:sz="4"/>
              <w:left w:val="single" w:color="BFC9D9" w:sz="4"/>
              <w:bottom w:val="single" w:color="BFC9D9" w:sz="4"/>
              <w:right w:val="single" w:color="BFC9D9" w:sz="4"/>
            </w:tcBorders>
            <w:shd w:fill="EEF2F8" w:color="auto" w:val="clear"/>
            <w:tcMar>
              <w:top w:type="dxa" w:w="70"/>
              <w:left w:type="dxa" w:w="110"/>
              <w:bottom w:type="dxa" w:w="70"/>
              <w:right w:type="dxa" w:w="110"/>
            </w:tcMar>
            <w:vAlign w:val="top"/>
          </w:tcPr>
          <w:p>
            <w:pPr>
              <w:keepNext w:val="false"/>
              <w:keepLines/>
              <w:spacing w:after="40" w:line="252"/>
              <w:jc w:val="left"/>
            </w:pPr>
            <w:r>
              <w:rPr>
                <w:b/>
                <w:bCs/>
                <w:color w:val="1F3864"/>
                <w:sz w:val="19"/>
                <w:szCs w:val="19"/>
              </w:rPr>
              <w:t xml:space="preserve">Action corrective</w:t>
            </w:r>
          </w:p>
        </w:tc>
        <w:tc>
          <w:tcPr>
            <w:tcW w:type="dxa" w:w="7738"/>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Structure proposée :</w:t>
            </w:r>
          </w:p>
          <w:p>
            <w:pPr>
              <w:keepNext w:val="false"/>
              <w:keepLines/>
              <w:spacing w:after="40" w:line="252"/>
              <w:jc w:val="left"/>
            </w:pPr>
            <w:r>
              <w:rPr>
                <w:sz w:val="19"/>
                <w:szCs w:val="19"/>
              </w:rPr>
              <w:t xml:space="preserve">1. Introduction : contexte industriel et définitions (RL, DRL, dispatching), objectif, plan de l'article.</w:t>
            </w:r>
          </w:p>
          <w:p>
            <w:pPr>
              <w:keepNext w:val="false"/>
              <w:keepLines/>
              <w:spacing w:after="40" w:line="252"/>
              <w:jc w:val="left"/>
            </w:pPr>
            <w:r>
              <w:rPr>
                <w:sz w:val="19"/>
                <w:szCs w:val="19"/>
              </w:rPr>
              <w:t xml:space="preserve">2. Travaux connexes : heuristiques, optimisation, apprentissage par renforcement.</w:t>
            </w:r>
          </w:p>
          <w:p>
            <w:pPr>
              <w:keepNext w:val="false"/>
              <w:keepLines/>
              <w:spacing w:after="40" w:line="252"/>
              <w:jc w:val="left"/>
            </w:pPr>
            <w:r>
              <w:rPr>
                <w:sz w:val="19"/>
                <w:szCs w:val="19"/>
              </w:rPr>
              <w:t xml:space="preserve">3. Positionnement et problématique : tableau de positionnement, lacune de recherche, questions et hypothèses (fusion de §1.2 à §1.4, §2.4 et §3, avec un tableau de synthèse).</w:t>
            </w:r>
          </w:p>
          <w:p>
            <w:pPr>
              <w:keepNext w:val="false"/>
              <w:keepLines/>
              <w:spacing w:after="40" w:line="252"/>
              <w:jc w:val="left"/>
            </w:pPr>
            <w:r>
              <w:rPr>
                <w:sz w:val="19"/>
                <w:szCs w:val="19"/>
              </w:rPr>
              <w:t xml:space="preserve">4. Contributions et cadre méthodologique : contributions décrites de façon abstraite et figure récapitulative des étapes (sans logos).</w:t>
            </w:r>
          </w:p>
          <w:p>
            <w:pPr>
              <w:keepNext w:val="false"/>
              <w:keepLines/>
              <w:spacing w:after="40" w:line="252"/>
              <w:jc w:val="left"/>
            </w:pPr>
            <w:r>
              <w:rPr>
                <w:sz w:val="19"/>
                <w:szCs w:val="19"/>
              </w:rPr>
              <w:t xml:space="preserve">5. Approche proposée : système camions-pelles, processus de décision (semi-)markovien avec tableau environnement, états, actions, transitions, récompense et 2 à 3 références, environnement de simulation, agents et pseudo-codes.</w:t>
            </w:r>
          </w:p>
          <w:p>
            <w:pPr>
              <w:keepNext w:val="false"/>
              <w:keepLines/>
              <w:spacing w:after="40" w:line="252"/>
              <w:jc w:val="left"/>
            </w:pPr>
            <w:r>
              <w:rPr>
                <w:sz w:val="19"/>
                <w:szCs w:val="19"/>
              </w:rPr>
              <w:t xml:space="preserve">6. Plan expérimental ; 7. Résultats ; 8. Discussion ; 9. Conclusion.</w:t>
            </w:r>
          </w:p>
          <w:p>
            <w:pPr>
              <w:keepNext w:val="false"/>
              <w:keepLines/>
              <w:spacing w:after="40" w:line="252"/>
              <w:jc w:val="left"/>
            </w:pPr>
            <w:r>
              <w:rPr>
                <w:sz w:val="19"/>
                <w:szCs w:val="19"/>
              </w:rPr>
              <w:t xml:space="preserve">Faire valider cette structure par la directrice avant de déplacer le texte.</w:t>
            </w:r>
          </w:p>
        </w:tc>
      </w:tr>
      <w:tr>
        <w:trPr>
          <w:cantSplit/>
        </w:trPr>
        <w:tc>
          <w:tcPr>
            <w:tcW w:type="dxa" w:w="1900"/>
            <w:tcBorders>
              <w:top w:val="single" w:color="BFC9D9" w:sz="4"/>
              <w:left w:val="single" w:color="BFC9D9" w:sz="4"/>
              <w:bottom w:val="single" w:color="BFC9D9" w:sz="4"/>
              <w:right w:val="single" w:color="BFC9D9" w:sz="4"/>
            </w:tcBorders>
            <w:shd w:fill="EEF2F8" w:color="auto" w:val="clear"/>
            <w:tcMar>
              <w:top w:type="dxa" w:w="70"/>
              <w:left w:type="dxa" w:w="110"/>
              <w:bottom w:type="dxa" w:w="70"/>
              <w:right w:type="dxa" w:w="110"/>
            </w:tcMar>
            <w:vAlign w:val="top"/>
          </w:tcPr>
          <w:p>
            <w:pPr>
              <w:keepNext w:val="false"/>
              <w:keepLines/>
              <w:spacing w:after="40" w:line="252"/>
              <w:jc w:val="left"/>
            </w:pPr>
            <w:r>
              <w:rPr>
                <w:b/>
                <w:bCs/>
                <w:color w:val="1F3864"/>
                <w:sz w:val="19"/>
                <w:szCs w:val="19"/>
              </w:rPr>
              <w:t xml:space="preserve">Où dans le .tex</w:t>
            </w:r>
          </w:p>
        </w:tc>
        <w:tc>
          <w:tcPr>
            <w:tcW w:type="dxa" w:w="7738"/>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Ensemble du manuscrit ; plan en fin d'introduction à mettre à jour.</w:t>
            </w:r>
          </w:p>
        </w:tc>
      </w:tr>
      <w:tr>
        <w:trPr>
          <w:cantSplit/>
        </w:trPr>
        <w:tc>
          <w:tcPr>
            <w:tcW w:type="dxa" w:w="1900"/>
            <w:tcBorders>
              <w:top w:val="single" w:color="BFC9D9" w:sz="4"/>
              <w:left w:val="single" w:color="BFC9D9" w:sz="4"/>
              <w:bottom w:val="single" w:color="BFC9D9" w:sz="4"/>
              <w:right w:val="single" w:color="BFC9D9" w:sz="4"/>
            </w:tcBorders>
            <w:shd w:fill="EEF2F8" w:color="auto" w:val="clear"/>
            <w:tcMar>
              <w:top w:type="dxa" w:w="70"/>
              <w:left w:type="dxa" w:w="110"/>
              <w:bottom w:type="dxa" w:w="70"/>
              <w:right w:type="dxa" w:w="110"/>
            </w:tcMar>
            <w:vAlign w:val="top"/>
          </w:tcPr>
          <w:p>
            <w:pPr>
              <w:keepNext w:val="false"/>
              <w:keepLines/>
              <w:spacing w:after="40" w:line="252"/>
              <w:jc w:val="left"/>
            </w:pPr>
            <w:r>
              <w:rPr>
                <w:b/>
                <w:bCs/>
                <w:color w:val="1F3864"/>
                <w:sz w:val="19"/>
                <w:szCs w:val="19"/>
              </w:rPr>
              <w:t xml:space="preserve">Statut</w:t>
            </w:r>
          </w:p>
        </w:tc>
        <w:tc>
          <w:tcPr>
            <w:tcW w:type="dxa" w:w="7738"/>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 À faire     ☐ En cours     ☐ Fait     Notes : ……………………………………………</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rPr>
        <w:tc>
          <w:tcPr>
            <w:tcW w:type="dxa" w:w="9638"/>
            <w:gridSpan w:val="2"/>
            <w:tcBorders>
              <w:top w:val="single" w:color="BFC9D9" w:sz="4"/>
              <w:left w:val="single" w:color="BFC9D9" w:sz="4"/>
              <w:bottom w:val="single" w:color="BFC9D9" w:sz="4"/>
              <w:right w:val="single" w:color="BFC9D9" w:sz="4"/>
            </w:tcBorders>
            <w:shd w:fill="2E5597" w:color="auto" w:val="clear"/>
            <w:tcMar>
              <w:top w:type="dxa" w:w="70"/>
              <w:left w:type="dxa" w:w="110"/>
              <w:bottom w:type="dxa" w:w="70"/>
              <w:right w:type="dxa" w:w="110"/>
            </w:tcMar>
            <w:vAlign w:val="top"/>
          </w:tcPr>
          <w:p>
            <w:pPr>
              <w:keepNext/>
            </w:pPr>
            <w:r>
              <w:rPr>
                <w:b/>
                <w:bCs/>
                <w:color w:val="FFFFFF"/>
                <w:sz w:val="21"/>
                <w:szCs w:val="21"/>
              </w:rPr>
              <w:t xml:space="preserve">M25  </w:t>
            </w:r>
            <w:r>
              <w:rPr>
                <w:b/>
                <w:bCs/>
                <w:color w:val="FFFFFF"/>
                <w:sz w:val="21"/>
                <w:szCs w:val="21"/>
              </w:rPr>
              <w:t xml:space="preserve">Références de comparaison trop faibles (« hommes de paille »)</w:t>
            </w:r>
          </w:p>
        </w:tc>
      </w:tr>
      <w:tr>
        <w:tc>
          <w:tcPr>
            <w:tcW w:type="dxa" w:w="1900"/>
            <w:tcBorders>
              <w:top w:val="single" w:color="BFC9D9" w:sz="4"/>
              <w:left w:val="single" w:color="BFC9D9" w:sz="4"/>
              <w:bottom w:val="single" w:color="BFC9D9" w:sz="4"/>
              <w:right w:val="single" w:color="BFC9D9" w:sz="4"/>
            </w:tcBorders>
            <w:shd w:fill="EEF2F8" w:color="auto" w:val="clear"/>
            <w:tcMar>
              <w:top w:type="dxa" w:w="70"/>
              <w:left w:type="dxa" w:w="110"/>
              <w:bottom w:type="dxa" w:w="70"/>
              <w:right w:type="dxa" w:w="110"/>
            </w:tcMar>
            <w:vAlign w:val="top"/>
          </w:tcPr>
          <w:p>
            <w:pPr>
              <w:keepNext w:val="false"/>
              <w:keepLines/>
              <w:spacing w:after="40" w:line="252"/>
              <w:jc w:val="left"/>
            </w:pPr>
            <w:r>
              <w:rPr>
                <w:b/>
                <w:bCs/>
                <w:color w:val="1F3864"/>
                <w:sz w:val="19"/>
                <w:szCs w:val="19"/>
              </w:rPr>
              <w:t xml:space="preserve">Priorité</w:t>
            </w:r>
          </w:p>
        </w:tc>
        <w:tc>
          <w:tcPr>
            <w:tcW w:type="dxa" w:w="7738"/>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pPr>
            <w:r>
              <w:rPr>
                <w:b/>
                <w:bCs/>
                <w:color w:val="E26B0A"/>
                <w:sz w:val="19"/>
                <w:szCs w:val="19"/>
              </w:rPr>
              <w:t xml:space="preserve">Élevée</w:t>
            </w:r>
            <w:r>
              <w:rPr>
                <w:color w:val="595959"/>
                <w:sz w:val="19"/>
                <w:szCs w:val="19"/>
              </w:rPr>
              <w:t xml:space="preserve">     Source : </w:t>
            </w:r>
            <w:r>
              <w:rPr>
                <w:sz w:val="19"/>
                <w:szCs w:val="19"/>
              </w:rPr>
              <w:t xml:space="preserve">Claude ; GPT 2.3</w:t>
            </w:r>
          </w:p>
        </w:tc>
      </w:tr>
      <w:tr>
        <w:trPr>
          <w:cantSplit/>
        </w:trPr>
        <w:tc>
          <w:tcPr>
            <w:tcW w:type="dxa" w:w="1900"/>
            <w:tcBorders>
              <w:top w:val="single" w:color="BFC9D9" w:sz="4"/>
              <w:left w:val="single" w:color="BFC9D9" w:sz="4"/>
              <w:bottom w:val="single" w:color="BFC9D9" w:sz="4"/>
              <w:right w:val="single" w:color="BFC9D9" w:sz="4"/>
            </w:tcBorders>
            <w:shd w:fill="EEF2F8" w:color="auto" w:val="clear"/>
            <w:tcMar>
              <w:top w:type="dxa" w:w="70"/>
              <w:left w:type="dxa" w:w="110"/>
              <w:bottom w:type="dxa" w:w="70"/>
              <w:right w:type="dxa" w:w="110"/>
            </w:tcMar>
            <w:vAlign w:val="top"/>
          </w:tcPr>
          <w:p>
            <w:pPr>
              <w:keepNext/>
              <w:keepLines/>
              <w:spacing w:after="40" w:line="252"/>
              <w:jc w:val="left"/>
            </w:pPr>
            <w:r>
              <w:rPr>
                <w:b/>
                <w:bCs/>
                <w:color w:val="1F3864"/>
                <w:sz w:val="19"/>
                <w:szCs w:val="19"/>
              </w:rPr>
              <w:t xml:space="preserve">Constat</w:t>
            </w:r>
          </w:p>
        </w:tc>
        <w:tc>
          <w:tcPr>
            <w:tcW w:type="dxa" w:w="7738"/>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keepLines/>
              <w:spacing w:after="40" w:line="252"/>
              <w:jc w:val="left"/>
            </w:pPr>
            <w:r>
              <w:rPr>
                <w:sz w:val="19"/>
                <w:szCs w:val="19"/>
              </w:rPr>
              <w:t xml:space="preserve">Pelle la plus proche et Plus court chemin, qui ignorent les files, ne représentent pas la pratique industrielle. Les systèmes commerciaux utilisent des règles comme MTWT, MSPR ou MTSCT (Zeng et al., 2022, déjà cité) ou une couche de programmation linéaire en amont de type DISPATCH (Soumis et al., 1989 ; Smith et al., 2021).</w:t>
            </w:r>
          </w:p>
        </w:tc>
      </w:tr>
      <w:tr>
        <w:trPr>
          <w:cantSplit/>
        </w:trPr>
        <w:tc>
          <w:tcPr>
            <w:tcW w:type="dxa" w:w="1900"/>
            <w:tcBorders>
              <w:top w:val="single" w:color="BFC9D9" w:sz="4"/>
              <w:left w:val="single" w:color="BFC9D9" w:sz="4"/>
              <w:bottom w:val="single" w:color="BFC9D9" w:sz="4"/>
              <w:right w:val="single" w:color="BFC9D9" w:sz="4"/>
            </w:tcBorders>
            <w:shd w:fill="EEF2F8" w:color="auto" w:val="clear"/>
            <w:tcMar>
              <w:top w:type="dxa" w:w="70"/>
              <w:left w:type="dxa" w:w="110"/>
              <w:bottom w:type="dxa" w:w="70"/>
              <w:right w:type="dxa" w:w="110"/>
            </w:tcMar>
            <w:vAlign w:val="top"/>
          </w:tcPr>
          <w:p>
            <w:pPr>
              <w:keepNext w:val="false"/>
              <w:keepLines/>
              <w:spacing w:after="40" w:line="252"/>
              <w:jc w:val="left"/>
            </w:pPr>
            <w:r>
              <w:rPr>
                <w:b/>
                <w:bCs/>
                <w:color w:val="1F3864"/>
                <w:sz w:val="19"/>
                <w:szCs w:val="19"/>
              </w:rPr>
              <w:t xml:space="preserve">Pourquoi c'est grave</w:t>
            </w:r>
          </w:p>
        </w:tc>
        <w:tc>
          <w:tcPr>
            <w:tcW w:type="dxa" w:w="7738"/>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Objection la plus prévisible d'un relecteur du domaine minier.</w:t>
            </w:r>
          </w:p>
        </w:tc>
      </w:tr>
      <w:tr>
        <w:trPr>
          <w:cantSplit/>
        </w:trPr>
        <w:tc>
          <w:tcPr>
            <w:tcW w:type="dxa" w:w="1900"/>
            <w:tcBorders>
              <w:top w:val="single" w:color="BFC9D9" w:sz="4"/>
              <w:left w:val="single" w:color="BFC9D9" w:sz="4"/>
              <w:bottom w:val="single" w:color="BFC9D9" w:sz="4"/>
              <w:right w:val="single" w:color="BFC9D9" w:sz="4"/>
            </w:tcBorders>
            <w:shd w:fill="EEF2F8" w:color="auto" w:val="clear"/>
            <w:tcMar>
              <w:top w:type="dxa" w:w="70"/>
              <w:left w:type="dxa" w:w="110"/>
              <w:bottom w:type="dxa" w:w="70"/>
              <w:right w:type="dxa" w:w="110"/>
            </w:tcMar>
            <w:vAlign w:val="top"/>
          </w:tcPr>
          <w:p>
            <w:pPr>
              <w:keepNext w:val="false"/>
              <w:keepLines/>
              <w:spacing w:after="40" w:line="252"/>
              <w:jc w:val="left"/>
            </w:pPr>
            <w:r>
              <w:rPr>
                <w:b/>
                <w:bCs/>
                <w:color w:val="1F3864"/>
                <w:sz w:val="19"/>
                <w:szCs w:val="19"/>
              </w:rPr>
              <w:t xml:space="preserve">Action corrective</w:t>
            </w:r>
          </w:p>
        </w:tc>
        <w:tc>
          <w:tcPr>
            <w:tcW w:type="dxa" w:w="7738"/>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Ajouter au moins une règle consciente des files (MTWT ou MSPR).</w:t>
            </w:r>
          </w:p>
          <w:p>
            <w:pPr>
              <w:keepNext w:val="false"/>
              <w:keepLines/>
              <w:spacing w:after="40" w:line="252"/>
              <w:jc w:val="left"/>
            </w:pPr>
            <w:r>
              <w:rPr>
                <w:sz w:val="19"/>
                <w:szCs w:val="19"/>
              </w:rPr>
              <w:t xml:space="preserve">Ajouter une politique fondée sur l'optimisation : taux de flux cibles issus d'un programme linéaire, puis affectation au plus grand déficit.</w:t>
            </w:r>
          </w:p>
          <w:p>
            <w:pPr>
              <w:keepNext w:val="false"/>
              <w:keepLines/>
              <w:spacing w:after="40" w:line="252"/>
              <w:jc w:val="left"/>
            </w:pPr>
            <w:r>
              <w:rPr>
                <w:sz w:val="19"/>
                <w:szCs w:val="19"/>
              </w:rPr>
              <w:t xml:space="preserve">Justifier en §2.1 la représentativité des références retenues.</w:t>
            </w:r>
          </w:p>
        </w:tc>
      </w:tr>
      <w:tr>
        <w:trPr>
          <w:cantSplit/>
        </w:trPr>
        <w:tc>
          <w:tcPr>
            <w:tcW w:type="dxa" w:w="1900"/>
            <w:tcBorders>
              <w:top w:val="single" w:color="BFC9D9" w:sz="4"/>
              <w:left w:val="single" w:color="BFC9D9" w:sz="4"/>
              <w:bottom w:val="single" w:color="BFC9D9" w:sz="4"/>
              <w:right w:val="single" w:color="BFC9D9" w:sz="4"/>
            </w:tcBorders>
            <w:shd w:fill="EEF2F8" w:color="auto" w:val="clear"/>
            <w:tcMar>
              <w:top w:type="dxa" w:w="70"/>
              <w:left w:type="dxa" w:w="110"/>
              <w:bottom w:type="dxa" w:w="70"/>
              <w:right w:type="dxa" w:w="110"/>
            </w:tcMar>
            <w:vAlign w:val="top"/>
          </w:tcPr>
          <w:p>
            <w:pPr>
              <w:keepNext w:val="false"/>
              <w:keepLines/>
              <w:spacing w:after="40" w:line="252"/>
              <w:jc w:val="left"/>
            </w:pPr>
            <w:r>
              <w:rPr>
                <w:b/>
                <w:bCs/>
                <w:color w:val="1F3864"/>
                <w:sz w:val="19"/>
                <w:szCs w:val="19"/>
              </w:rPr>
              <w:t xml:space="preserve">Où dans le .tex</w:t>
            </w:r>
          </w:p>
        </w:tc>
        <w:tc>
          <w:tcPr>
            <w:tcW w:type="dxa" w:w="7738"/>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§2.1 ; §5.3 ; §6.2 Références ; résultats.</w:t>
            </w:r>
          </w:p>
        </w:tc>
      </w:tr>
      <w:tr>
        <w:trPr>
          <w:cantSplit/>
        </w:trPr>
        <w:tc>
          <w:tcPr>
            <w:tcW w:type="dxa" w:w="1900"/>
            <w:tcBorders>
              <w:top w:val="single" w:color="BFC9D9" w:sz="4"/>
              <w:left w:val="single" w:color="BFC9D9" w:sz="4"/>
              <w:bottom w:val="single" w:color="BFC9D9" w:sz="4"/>
              <w:right w:val="single" w:color="BFC9D9" w:sz="4"/>
            </w:tcBorders>
            <w:shd w:fill="EEF2F8" w:color="auto" w:val="clear"/>
            <w:tcMar>
              <w:top w:type="dxa" w:w="70"/>
              <w:left w:type="dxa" w:w="110"/>
              <w:bottom w:type="dxa" w:w="70"/>
              <w:right w:type="dxa" w:w="110"/>
            </w:tcMar>
            <w:vAlign w:val="top"/>
          </w:tcPr>
          <w:p>
            <w:pPr>
              <w:keepNext w:val="false"/>
              <w:keepLines/>
              <w:spacing w:after="40" w:line="252"/>
              <w:jc w:val="left"/>
            </w:pPr>
            <w:r>
              <w:rPr>
                <w:b/>
                <w:bCs/>
                <w:color w:val="1F3864"/>
                <w:sz w:val="19"/>
                <w:szCs w:val="19"/>
              </w:rPr>
              <w:t xml:space="preserve">Statut</w:t>
            </w:r>
          </w:p>
        </w:tc>
        <w:tc>
          <w:tcPr>
            <w:tcW w:type="dxa" w:w="7738"/>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 À faire     ☐ En cours     ☐ Fait     Notes : ……………………………………………</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rPr>
        <w:tc>
          <w:tcPr>
            <w:tcW w:type="dxa" w:w="9638"/>
            <w:gridSpan w:val="2"/>
            <w:tcBorders>
              <w:top w:val="single" w:color="BFC9D9" w:sz="4"/>
              <w:left w:val="single" w:color="BFC9D9" w:sz="4"/>
              <w:bottom w:val="single" w:color="BFC9D9" w:sz="4"/>
              <w:right w:val="single" w:color="BFC9D9" w:sz="4"/>
            </w:tcBorders>
            <w:shd w:fill="2E5597" w:color="auto" w:val="clear"/>
            <w:tcMar>
              <w:top w:type="dxa" w:w="70"/>
              <w:left w:type="dxa" w:w="110"/>
              <w:bottom w:type="dxa" w:w="70"/>
              <w:right w:type="dxa" w:w="110"/>
            </w:tcMar>
            <w:vAlign w:val="top"/>
          </w:tcPr>
          <w:p>
            <w:pPr>
              <w:keepNext/>
            </w:pPr>
            <w:r>
              <w:rPr>
                <w:b/>
                <w:bCs/>
                <w:color w:val="FFFFFF"/>
                <w:sz w:val="21"/>
                <w:szCs w:val="21"/>
              </w:rPr>
              <w:t xml:space="preserve">M26  </w:t>
            </w:r>
            <w:r>
              <w:rPr>
                <w:b/>
                <w:bCs/>
                <w:color w:val="FFFFFF"/>
                <w:sz w:val="21"/>
                <w:szCs w:val="21"/>
              </w:rPr>
              <w:t xml:space="preserve">Nouveauté et positionnement face à Mining-Gym</w:t>
            </w:r>
          </w:p>
        </w:tc>
      </w:tr>
      <w:tr>
        <w:tc>
          <w:tcPr>
            <w:tcW w:type="dxa" w:w="1900"/>
            <w:tcBorders>
              <w:top w:val="single" w:color="BFC9D9" w:sz="4"/>
              <w:left w:val="single" w:color="BFC9D9" w:sz="4"/>
              <w:bottom w:val="single" w:color="BFC9D9" w:sz="4"/>
              <w:right w:val="single" w:color="BFC9D9" w:sz="4"/>
            </w:tcBorders>
            <w:shd w:fill="EEF2F8" w:color="auto" w:val="clear"/>
            <w:tcMar>
              <w:top w:type="dxa" w:w="70"/>
              <w:left w:type="dxa" w:w="110"/>
              <w:bottom w:type="dxa" w:w="70"/>
              <w:right w:type="dxa" w:w="110"/>
            </w:tcMar>
            <w:vAlign w:val="top"/>
          </w:tcPr>
          <w:p>
            <w:pPr>
              <w:keepNext w:val="false"/>
              <w:keepLines/>
              <w:spacing w:after="40" w:line="252"/>
              <w:jc w:val="left"/>
            </w:pPr>
            <w:r>
              <w:rPr>
                <w:b/>
                <w:bCs/>
                <w:color w:val="1F3864"/>
                <w:sz w:val="19"/>
                <w:szCs w:val="19"/>
              </w:rPr>
              <w:t xml:space="preserve">Priorité</w:t>
            </w:r>
          </w:p>
        </w:tc>
        <w:tc>
          <w:tcPr>
            <w:tcW w:type="dxa" w:w="7738"/>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pPr>
            <w:r>
              <w:rPr>
                <w:b/>
                <w:bCs/>
                <w:color w:val="BF8F00"/>
                <w:sz w:val="19"/>
                <w:szCs w:val="19"/>
              </w:rPr>
              <w:t xml:space="preserve">Moyenne</w:t>
            </w:r>
            <w:r>
              <w:rPr>
                <w:color w:val="595959"/>
                <w:sz w:val="19"/>
                <w:szCs w:val="19"/>
              </w:rPr>
              <w:t xml:space="preserve">     Source : </w:t>
            </w:r>
            <w:r>
              <w:rPr>
                <w:sz w:val="19"/>
                <w:szCs w:val="19"/>
              </w:rPr>
              <w:t xml:space="preserve">Claude ; GPT (objection 5)</w:t>
            </w:r>
          </w:p>
        </w:tc>
      </w:tr>
      <w:tr>
        <w:trPr>
          <w:cantSplit/>
        </w:trPr>
        <w:tc>
          <w:tcPr>
            <w:tcW w:type="dxa" w:w="1900"/>
            <w:tcBorders>
              <w:top w:val="single" w:color="BFC9D9" w:sz="4"/>
              <w:left w:val="single" w:color="BFC9D9" w:sz="4"/>
              <w:bottom w:val="single" w:color="BFC9D9" w:sz="4"/>
              <w:right w:val="single" w:color="BFC9D9" w:sz="4"/>
            </w:tcBorders>
            <w:shd w:fill="EEF2F8" w:color="auto" w:val="clear"/>
            <w:tcMar>
              <w:top w:type="dxa" w:w="70"/>
              <w:left w:type="dxa" w:w="110"/>
              <w:bottom w:type="dxa" w:w="70"/>
              <w:right w:type="dxa" w:w="110"/>
            </w:tcMar>
            <w:vAlign w:val="top"/>
          </w:tcPr>
          <w:p>
            <w:pPr>
              <w:keepNext/>
              <w:keepLines/>
              <w:spacing w:after="40" w:line="252"/>
              <w:jc w:val="left"/>
            </w:pPr>
            <w:r>
              <w:rPr>
                <w:b/>
                <w:bCs/>
                <w:color w:val="1F3864"/>
                <w:sz w:val="19"/>
                <w:szCs w:val="19"/>
              </w:rPr>
              <w:t xml:space="preserve">Constat</w:t>
            </w:r>
          </w:p>
        </w:tc>
        <w:tc>
          <w:tcPr>
            <w:tcW w:type="dxa" w:w="7738"/>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keepLines/>
              <w:spacing w:after="40" w:line="252"/>
              <w:jc w:val="left"/>
            </w:pPr>
            <w:r>
              <w:rPr>
                <w:sz w:val="19"/>
                <w:szCs w:val="19"/>
              </w:rPr>
              <w:t xml:space="preserve">Mining-Gym (Banerjee et al., 2025) existe déjà. Le tableau de positionnement le classe « sans tests de perturbation » et C1 affirme « l'un des premiers bancs d'essai librement accessibles ».</w:t>
            </w:r>
          </w:p>
        </w:tc>
      </w:tr>
      <w:tr>
        <w:trPr>
          <w:cantSplit/>
        </w:trPr>
        <w:tc>
          <w:tcPr>
            <w:tcW w:type="dxa" w:w="1900"/>
            <w:tcBorders>
              <w:top w:val="single" w:color="BFC9D9" w:sz="4"/>
              <w:left w:val="single" w:color="BFC9D9" w:sz="4"/>
              <w:bottom w:val="single" w:color="BFC9D9" w:sz="4"/>
              <w:right w:val="single" w:color="BFC9D9" w:sz="4"/>
            </w:tcBorders>
            <w:shd w:fill="EEF2F8" w:color="auto" w:val="clear"/>
            <w:tcMar>
              <w:top w:type="dxa" w:w="70"/>
              <w:left w:type="dxa" w:w="110"/>
              <w:bottom w:type="dxa" w:w="70"/>
              <w:right w:type="dxa" w:w="110"/>
            </w:tcMar>
            <w:vAlign w:val="top"/>
          </w:tcPr>
          <w:p>
            <w:pPr>
              <w:keepNext w:val="false"/>
              <w:keepLines/>
              <w:spacing w:after="40" w:line="252"/>
              <w:jc w:val="left"/>
            </w:pPr>
            <w:r>
              <w:rPr>
                <w:b/>
                <w:bCs/>
                <w:color w:val="1F3864"/>
                <w:sz w:val="19"/>
                <w:szCs w:val="19"/>
              </w:rPr>
              <w:t xml:space="preserve">Pourquoi c'est grave</w:t>
            </w:r>
          </w:p>
        </w:tc>
        <w:tc>
          <w:tcPr>
            <w:tcW w:type="dxa" w:w="7738"/>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Un relecteur proche de ces auteurs vérifiera ; la nouveauté repose sur le protocole, pas sur l'algorithme.</w:t>
            </w:r>
          </w:p>
        </w:tc>
      </w:tr>
      <w:tr>
        <w:trPr>
          <w:cantSplit/>
        </w:trPr>
        <w:tc>
          <w:tcPr>
            <w:tcW w:type="dxa" w:w="1900"/>
            <w:tcBorders>
              <w:top w:val="single" w:color="BFC9D9" w:sz="4"/>
              <w:left w:val="single" w:color="BFC9D9" w:sz="4"/>
              <w:bottom w:val="single" w:color="BFC9D9" w:sz="4"/>
              <w:right w:val="single" w:color="BFC9D9" w:sz="4"/>
            </w:tcBorders>
            <w:shd w:fill="EEF2F8" w:color="auto" w:val="clear"/>
            <w:tcMar>
              <w:top w:type="dxa" w:w="70"/>
              <w:left w:type="dxa" w:w="110"/>
              <w:bottom w:type="dxa" w:w="70"/>
              <w:right w:type="dxa" w:w="110"/>
            </w:tcMar>
            <w:vAlign w:val="top"/>
          </w:tcPr>
          <w:p>
            <w:pPr>
              <w:keepNext w:val="false"/>
              <w:keepLines/>
              <w:spacing w:after="40" w:line="252"/>
              <w:jc w:val="left"/>
            </w:pPr>
            <w:r>
              <w:rPr>
                <w:b/>
                <w:bCs/>
                <w:color w:val="1F3864"/>
                <w:sz w:val="19"/>
                <w:szCs w:val="19"/>
              </w:rPr>
              <w:t xml:space="preserve">Action corrective</w:t>
            </w:r>
          </w:p>
        </w:tc>
        <w:tc>
          <w:tcPr>
            <w:tcW w:type="dxa" w:w="7738"/>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Vérifier soigneusement ce que propose Mining-Gym et nuancer C1.</w:t>
            </w:r>
          </w:p>
          <w:p>
            <w:pPr>
              <w:keepNext w:val="false"/>
              <w:keepLines/>
              <w:spacing w:after="40" w:line="252"/>
              <w:jc w:val="left"/>
            </w:pPr>
            <w:r>
              <w:rPr>
                <w:sz w:val="19"/>
                <w:szCs w:val="19"/>
              </w:rPr>
              <w:t xml:space="preserve">Formuler la nouveauté comme une combinaison : multi-régimes + changement de régime sans réentraînement + références industrielles + graines communes + protocole inférentiel + analyse du mécanisme.</w:t>
            </w:r>
          </w:p>
        </w:tc>
      </w:tr>
      <w:tr>
        <w:trPr>
          <w:cantSplit/>
        </w:trPr>
        <w:tc>
          <w:tcPr>
            <w:tcW w:type="dxa" w:w="1900"/>
            <w:tcBorders>
              <w:top w:val="single" w:color="BFC9D9" w:sz="4"/>
              <w:left w:val="single" w:color="BFC9D9" w:sz="4"/>
              <w:bottom w:val="single" w:color="BFC9D9" w:sz="4"/>
              <w:right w:val="single" w:color="BFC9D9" w:sz="4"/>
            </w:tcBorders>
            <w:shd w:fill="EEF2F8" w:color="auto" w:val="clear"/>
            <w:tcMar>
              <w:top w:type="dxa" w:w="70"/>
              <w:left w:type="dxa" w:w="110"/>
              <w:bottom w:type="dxa" w:w="70"/>
              <w:right w:type="dxa" w:w="110"/>
            </w:tcMar>
            <w:vAlign w:val="top"/>
          </w:tcPr>
          <w:p>
            <w:pPr>
              <w:keepNext w:val="false"/>
              <w:keepLines/>
              <w:spacing w:after="40" w:line="252"/>
              <w:jc w:val="left"/>
            </w:pPr>
            <w:r>
              <w:rPr>
                <w:b/>
                <w:bCs/>
                <w:color w:val="1F3864"/>
                <w:sz w:val="19"/>
                <w:szCs w:val="19"/>
              </w:rPr>
              <w:t xml:space="preserve">Où dans le .tex</w:t>
            </w:r>
          </w:p>
        </w:tc>
        <w:tc>
          <w:tcPr>
            <w:tcW w:type="dxa" w:w="7738"/>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§1.5 (C1) ; tableau de positionnement ; §3.</w:t>
            </w:r>
          </w:p>
        </w:tc>
      </w:tr>
      <w:tr>
        <w:trPr>
          <w:cantSplit/>
        </w:trPr>
        <w:tc>
          <w:tcPr>
            <w:tcW w:type="dxa" w:w="1900"/>
            <w:tcBorders>
              <w:top w:val="single" w:color="BFC9D9" w:sz="4"/>
              <w:left w:val="single" w:color="BFC9D9" w:sz="4"/>
              <w:bottom w:val="single" w:color="BFC9D9" w:sz="4"/>
              <w:right w:val="single" w:color="BFC9D9" w:sz="4"/>
            </w:tcBorders>
            <w:shd w:fill="EEF2F8" w:color="auto" w:val="clear"/>
            <w:tcMar>
              <w:top w:type="dxa" w:w="70"/>
              <w:left w:type="dxa" w:w="110"/>
              <w:bottom w:type="dxa" w:w="70"/>
              <w:right w:type="dxa" w:w="110"/>
            </w:tcMar>
            <w:vAlign w:val="top"/>
          </w:tcPr>
          <w:p>
            <w:pPr>
              <w:keepNext w:val="false"/>
              <w:keepLines/>
              <w:spacing w:after="40" w:line="252"/>
              <w:jc w:val="left"/>
            </w:pPr>
            <w:r>
              <w:rPr>
                <w:b/>
                <w:bCs/>
                <w:color w:val="1F3864"/>
                <w:sz w:val="19"/>
                <w:szCs w:val="19"/>
              </w:rPr>
              <w:t xml:space="preserve">Statut</w:t>
            </w:r>
          </w:p>
        </w:tc>
        <w:tc>
          <w:tcPr>
            <w:tcW w:type="dxa" w:w="7738"/>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 À faire     ☐ En cours     ☐ Fait     Notes : ……………………………………………</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rPr>
        <w:tc>
          <w:tcPr>
            <w:tcW w:type="dxa" w:w="9638"/>
            <w:gridSpan w:val="2"/>
            <w:tcBorders>
              <w:top w:val="single" w:color="BFC9D9" w:sz="4"/>
              <w:left w:val="single" w:color="BFC9D9" w:sz="4"/>
              <w:bottom w:val="single" w:color="BFC9D9" w:sz="4"/>
              <w:right w:val="single" w:color="BFC9D9" w:sz="4"/>
            </w:tcBorders>
            <w:shd w:fill="2E5597" w:color="auto" w:val="clear"/>
            <w:tcMar>
              <w:top w:type="dxa" w:w="70"/>
              <w:left w:type="dxa" w:w="110"/>
              <w:bottom w:type="dxa" w:w="70"/>
              <w:right w:type="dxa" w:w="110"/>
            </w:tcMar>
            <w:vAlign w:val="top"/>
          </w:tcPr>
          <w:p>
            <w:pPr>
              <w:keepNext/>
            </w:pPr>
            <w:r>
              <w:rPr>
                <w:b/>
                <w:bCs/>
                <w:color w:val="FFFFFF"/>
                <w:sz w:val="21"/>
                <w:szCs w:val="21"/>
              </w:rPr>
              <w:t xml:space="preserve">M27  </w:t>
            </w:r>
            <w:r>
              <w:rPr>
                <w:b/>
                <w:bCs/>
                <w:color w:val="FFFFFF"/>
                <w:sz w:val="21"/>
                <w:szCs w:val="21"/>
              </w:rPr>
              <w:t xml:space="preserve">Portée industrielle et grandes flottes trop spéculatives</w:t>
            </w:r>
          </w:p>
        </w:tc>
      </w:tr>
      <w:tr>
        <w:tc>
          <w:tcPr>
            <w:tcW w:type="dxa" w:w="1900"/>
            <w:tcBorders>
              <w:top w:val="single" w:color="BFC9D9" w:sz="4"/>
              <w:left w:val="single" w:color="BFC9D9" w:sz="4"/>
              <w:bottom w:val="single" w:color="BFC9D9" w:sz="4"/>
              <w:right w:val="single" w:color="BFC9D9" w:sz="4"/>
            </w:tcBorders>
            <w:shd w:fill="EEF2F8" w:color="auto" w:val="clear"/>
            <w:tcMar>
              <w:top w:type="dxa" w:w="70"/>
              <w:left w:type="dxa" w:w="110"/>
              <w:bottom w:type="dxa" w:w="70"/>
              <w:right w:type="dxa" w:w="110"/>
            </w:tcMar>
            <w:vAlign w:val="top"/>
          </w:tcPr>
          <w:p>
            <w:pPr>
              <w:keepNext w:val="false"/>
              <w:keepLines/>
              <w:spacing w:after="40" w:line="252"/>
              <w:jc w:val="left"/>
            </w:pPr>
            <w:r>
              <w:rPr>
                <w:b/>
                <w:bCs/>
                <w:color w:val="1F3864"/>
                <w:sz w:val="19"/>
                <w:szCs w:val="19"/>
              </w:rPr>
              <w:t xml:space="preserve">Priorité</w:t>
            </w:r>
          </w:p>
        </w:tc>
        <w:tc>
          <w:tcPr>
            <w:tcW w:type="dxa" w:w="7738"/>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pPr>
            <w:r>
              <w:rPr>
                <w:b/>
                <w:bCs/>
                <w:color w:val="BF8F00"/>
                <w:sz w:val="19"/>
                <w:szCs w:val="19"/>
              </w:rPr>
              <w:t xml:space="preserve">Moyenne</w:t>
            </w:r>
            <w:r>
              <w:rPr>
                <w:color w:val="595959"/>
                <w:sz w:val="19"/>
                <w:szCs w:val="19"/>
              </w:rPr>
              <w:t xml:space="preserve">     Source : </w:t>
            </w:r>
            <w:r>
              <w:rPr>
                <w:sz w:val="19"/>
                <w:szCs w:val="19"/>
              </w:rPr>
              <w:t xml:space="preserve">Claude ; GPT M14</w:t>
            </w:r>
          </w:p>
        </w:tc>
      </w:tr>
      <w:tr>
        <w:trPr>
          <w:cantSplit/>
        </w:trPr>
        <w:tc>
          <w:tcPr>
            <w:tcW w:type="dxa" w:w="1900"/>
            <w:tcBorders>
              <w:top w:val="single" w:color="BFC9D9" w:sz="4"/>
              <w:left w:val="single" w:color="BFC9D9" w:sz="4"/>
              <w:bottom w:val="single" w:color="BFC9D9" w:sz="4"/>
              <w:right w:val="single" w:color="BFC9D9" w:sz="4"/>
            </w:tcBorders>
            <w:shd w:fill="EEF2F8" w:color="auto" w:val="clear"/>
            <w:tcMar>
              <w:top w:type="dxa" w:w="70"/>
              <w:left w:type="dxa" w:w="110"/>
              <w:bottom w:type="dxa" w:w="70"/>
              <w:right w:type="dxa" w:w="110"/>
            </w:tcMar>
            <w:vAlign w:val="top"/>
          </w:tcPr>
          <w:p>
            <w:pPr>
              <w:keepNext/>
              <w:keepLines/>
              <w:spacing w:after="40" w:line="252"/>
              <w:jc w:val="left"/>
            </w:pPr>
            <w:r>
              <w:rPr>
                <w:b/>
                <w:bCs/>
                <w:color w:val="1F3864"/>
                <w:sz w:val="19"/>
                <w:szCs w:val="19"/>
              </w:rPr>
              <w:t xml:space="preserve">Constat</w:t>
            </w:r>
          </w:p>
        </w:tc>
        <w:tc>
          <w:tcPr>
            <w:tcW w:type="dxa" w:w="7738"/>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keepLines/>
              <w:spacing w:after="40" w:line="252"/>
              <w:jc w:val="left"/>
            </w:pPr>
            <w:r>
              <w:rPr>
                <w:sz w:val="19"/>
                <w:szCs w:val="19"/>
              </w:rPr>
              <w:t xml:space="preserve">Trois pelles, deux verses et 12 à 18 camions sont loin des 50 à 200 camions évoqués. Les passages sur la télémétrie au téraoctet, le préentraînement hors ligne de DQN et « le candidat le plus déployable » extrapolent fortement.</w:t>
            </w:r>
          </w:p>
        </w:tc>
      </w:tr>
      <w:tr>
        <w:trPr>
          <w:cantSplit/>
        </w:trPr>
        <w:tc>
          <w:tcPr>
            <w:tcW w:type="dxa" w:w="1900"/>
            <w:tcBorders>
              <w:top w:val="single" w:color="BFC9D9" w:sz="4"/>
              <w:left w:val="single" w:color="BFC9D9" w:sz="4"/>
              <w:bottom w:val="single" w:color="BFC9D9" w:sz="4"/>
              <w:right w:val="single" w:color="BFC9D9" w:sz="4"/>
            </w:tcBorders>
            <w:shd w:fill="EEF2F8" w:color="auto" w:val="clear"/>
            <w:tcMar>
              <w:top w:type="dxa" w:w="70"/>
              <w:left w:type="dxa" w:w="110"/>
              <w:bottom w:type="dxa" w:w="70"/>
              <w:right w:type="dxa" w:w="110"/>
            </w:tcMar>
            <w:vAlign w:val="top"/>
          </w:tcPr>
          <w:p>
            <w:pPr>
              <w:keepNext w:val="false"/>
              <w:keepLines/>
              <w:spacing w:after="40" w:line="252"/>
              <w:jc w:val="left"/>
            </w:pPr>
            <w:r>
              <w:rPr>
                <w:b/>
                <w:bCs/>
                <w:color w:val="1F3864"/>
                <w:sz w:val="19"/>
                <w:szCs w:val="19"/>
              </w:rPr>
              <w:t xml:space="preserve">Pourquoi c'est grave</w:t>
            </w:r>
          </w:p>
        </w:tc>
        <w:tc>
          <w:tcPr>
            <w:tcW w:type="dxa" w:w="7738"/>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Affaiblit la crédibilité de l'ensemble.</w:t>
            </w:r>
          </w:p>
        </w:tc>
      </w:tr>
      <w:tr>
        <w:trPr>
          <w:cantSplit/>
        </w:trPr>
        <w:tc>
          <w:tcPr>
            <w:tcW w:type="dxa" w:w="1900"/>
            <w:tcBorders>
              <w:top w:val="single" w:color="BFC9D9" w:sz="4"/>
              <w:left w:val="single" w:color="BFC9D9" w:sz="4"/>
              <w:bottom w:val="single" w:color="BFC9D9" w:sz="4"/>
              <w:right w:val="single" w:color="BFC9D9" w:sz="4"/>
            </w:tcBorders>
            <w:shd w:fill="EEF2F8" w:color="auto" w:val="clear"/>
            <w:tcMar>
              <w:top w:type="dxa" w:w="70"/>
              <w:left w:type="dxa" w:w="110"/>
              <w:bottom w:type="dxa" w:w="70"/>
              <w:right w:type="dxa" w:w="110"/>
            </w:tcMar>
            <w:vAlign w:val="top"/>
          </w:tcPr>
          <w:p>
            <w:pPr>
              <w:keepNext w:val="false"/>
              <w:keepLines/>
              <w:spacing w:after="40" w:line="252"/>
              <w:jc w:val="left"/>
            </w:pPr>
            <w:r>
              <w:rPr>
                <w:b/>
                <w:bCs/>
                <w:color w:val="1F3864"/>
                <w:sz w:val="19"/>
                <w:szCs w:val="19"/>
              </w:rPr>
              <w:t xml:space="preserve">Action corrective</w:t>
            </w:r>
          </w:p>
        </w:tc>
        <w:tc>
          <w:tcPr>
            <w:tcW w:type="dxa" w:w="7738"/>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Conserver la discussion sur les grands jeux de données demandée par la directrice, mais la réduire de moitié, au conditionnel, en la présentant comme perspective. Écrire « performance relative dans l'environnement simulé proposé ».</w:t>
            </w:r>
          </w:p>
        </w:tc>
      </w:tr>
      <w:tr>
        <w:trPr>
          <w:cantSplit/>
        </w:trPr>
        <w:tc>
          <w:tcPr>
            <w:tcW w:type="dxa" w:w="1900"/>
            <w:tcBorders>
              <w:top w:val="single" w:color="BFC9D9" w:sz="4"/>
              <w:left w:val="single" w:color="BFC9D9" w:sz="4"/>
              <w:bottom w:val="single" w:color="BFC9D9" w:sz="4"/>
              <w:right w:val="single" w:color="BFC9D9" w:sz="4"/>
            </w:tcBorders>
            <w:shd w:fill="EEF2F8" w:color="auto" w:val="clear"/>
            <w:tcMar>
              <w:top w:type="dxa" w:w="70"/>
              <w:left w:type="dxa" w:w="110"/>
              <w:bottom w:type="dxa" w:w="70"/>
              <w:right w:type="dxa" w:w="110"/>
            </w:tcMar>
            <w:vAlign w:val="top"/>
          </w:tcPr>
          <w:p>
            <w:pPr>
              <w:keepNext w:val="false"/>
              <w:keepLines/>
              <w:spacing w:after="40" w:line="252"/>
              <w:jc w:val="left"/>
            </w:pPr>
            <w:r>
              <w:rPr>
                <w:b/>
                <w:bCs/>
                <w:color w:val="1F3864"/>
                <w:sz w:val="19"/>
                <w:szCs w:val="19"/>
              </w:rPr>
              <w:t xml:space="preserve">Où dans le .tex</w:t>
            </w:r>
          </w:p>
        </w:tc>
        <w:tc>
          <w:tcPr>
            <w:tcW w:type="dxa" w:w="7738"/>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§8.2 Implications industrielles ; §8.4 Limites.</w:t>
            </w:r>
          </w:p>
        </w:tc>
      </w:tr>
      <w:tr>
        <w:trPr>
          <w:cantSplit/>
        </w:trPr>
        <w:tc>
          <w:tcPr>
            <w:tcW w:type="dxa" w:w="1900"/>
            <w:tcBorders>
              <w:top w:val="single" w:color="BFC9D9" w:sz="4"/>
              <w:left w:val="single" w:color="BFC9D9" w:sz="4"/>
              <w:bottom w:val="single" w:color="BFC9D9" w:sz="4"/>
              <w:right w:val="single" w:color="BFC9D9" w:sz="4"/>
            </w:tcBorders>
            <w:shd w:fill="EEF2F8" w:color="auto" w:val="clear"/>
            <w:tcMar>
              <w:top w:type="dxa" w:w="70"/>
              <w:left w:type="dxa" w:w="110"/>
              <w:bottom w:type="dxa" w:w="70"/>
              <w:right w:type="dxa" w:w="110"/>
            </w:tcMar>
            <w:vAlign w:val="top"/>
          </w:tcPr>
          <w:p>
            <w:pPr>
              <w:keepNext w:val="false"/>
              <w:keepLines/>
              <w:spacing w:after="40" w:line="252"/>
              <w:jc w:val="left"/>
            </w:pPr>
            <w:r>
              <w:rPr>
                <w:b/>
                <w:bCs/>
                <w:color w:val="1F3864"/>
                <w:sz w:val="19"/>
                <w:szCs w:val="19"/>
              </w:rPr>
              <w:t xml:space="preserve">Statut</w:t>
            </w:r>
          </w:p>
        </w:tc>
        <w:tc>
          <w:tcPr>
            <w:tcW w:type="dxa" w:w="7738"/>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 À faire     ☐ En cours     ☐ Fait     Notes : ……………………………………………</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rPr>
        <w:tc>
          <w:tcPr>
            <w:tcW w:type="dxa" w:w="9638"/>
            <w:gridSpan w:val="2"/>
            <w:tcBorders>
              <w:top w:val="single" w:color="BFC9D9" w:sz="4"/>
              <w:left w:val="single" w:color="BFC9D9" w:sz="4"/>
              <w:bottom w:val="single" w:color="BFC9D9" w:sz="4"/>
              <w:right w:val="single" w:color="BFC9D9" w:sz="4"/>
            </w:tcBorders>
            <w:shd w:fill="2E5597" w:color="auto" w:val="clear"/>
            <w:tcMar>
              <w:top w:type="dxa" w:w="70"/>
              <w:left w:type="dxa" w:w="110"/>
              <w:bottom w:type="dxa" w:w="70"/>
              <w:right w:type="dxa" w:w="110"/>
            </w:tcMar>
            <w:vAlign w:val="top"/>
          </w:tcPr>
          <w:p>
            <w:pPr>
              <w:keepNext/>
            </w:pPr>
            <w:r>
              <w:rPr>
                <w:b/>
                <w:bCs/>
                <w:color w:val="FFFFFF"/>
                <w:sz w:val="21"/>
                <w:szCs w:val="21"/>
              </w:rPr>
              <w:t xml:space="preserve">M28  </w:t>
            </w:r>
            <w:r>
              <w:rPr>
                <w:b/>
                <w:bCs/>
                <w:color w:val="FFFFFF"/>
                <w:sz w:val="21"/>
                <w:szCs w:val="21"/>
              </w:rPr>
              <w:t xml:space="preserve">Adéquation à Cluster Computing</w:t>
            </w:r>
          </w:p>
        </w:tc>
      </w:tr>
      <w:tr>
        <w:tc>
          <w:tcPr>
            <w:tcW w:type="dxa" w:w="1900"/>
            <w:tcBorders>
              <w:top w:val="single" w:color="BFC9D9" w:sz="4"/>
              <w:left w:val="single" w:color="BFC9D9" w:sz="4"/>
              <w:bottom w:val="single" w:color="BFC9D9" w:sz="4"/>
              <w:right w:val="single" w:color="BFC9D9" w:sz="4"/>
            </w:tcBorders>
            <w:shd w:fill="EEF2F8" w:color="auto" w:val="clear"/>
            <w:tcMar>
              <w:top w:type="dxa" w:w="70"/>
              <w:left w:type="dxa" w:w="110"/>
              <w:bottom w:type="dxa" w:w="70"/>
              <w:right w:type="dxa" w:w="110"/>
            </w:tcMar>
            <w:vAlign w:val="top"/>
          </w:tcPr>
          <w:p>
            <w:pPr>
              <w:keepNext w:val="false"/>
              <w:keepLines/>
              <w:spacing w:after="40" w:line="252"/>
              <w:jc w:val="left"/>
            </w:pPr>
            <w:r>
              <w:rPr>
                <w:b/>
                <w:bCs/>
                <w:color w:val="1F3864"/>
                <w:sz w:val="19"/>
                <w:szCs w:val="19"/>
              </w:rPr>
              <w:t xml:space="preserve">Priorité</w:t>
            </w:r>
          </w:p>
        </w:tc>
        <w:tc>
          <w:tcPr>
            <w:tcW w:type="dxa" w:w="7738"/>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pPr>
            <w:r>
              <w:rPr>
                <w:b/>
                <w:bCs/>
                <w:color w:val="BF8F00"/>
                <w:sz w:val="19"/>
                <w:szCs w:val="19"/>
              </w:rPr>
              <w:t xml:space="preserve">Moyenne</w:t>
            </w:r>
            <w:r>
              <w:rPr>
                <w:color w:val="595959"/>
                <w:sz w:val="19"/>
                <w:szCs w:val="19"/>
              </w:rPr>
              <w:t xml:space="preserve">     Source : </w:t>
            </w:r>
            <w:r>
              <w:rPr>
                <w:sz w:val="19"/>
                <w:szCs w:val="19"/>
              </w:rPr>
              <w:t xml:space="preserve">Claude</w:t>
            </w:r>
          </w:p>
        </w:tc>
      </w:tr>
      <w:tr>
        <w:trPr>
          <w:cantSplit/>
        </w:trPr>
        <w:tc>
          <w:tcPr>
            <w:tcW w:type="dxa" w:w="1900"/>
            <w:tcBorders>
              <w:top w:val="single" w:color="BFC9D9" w:sz="4"/>
              <w:left w:val="single" w:color="BFC9D9" w:sz="4"/>
              <w:bottom w:val="single" w:color="BFC9D9" w:sz="4"/>
              <w:right w:val="single" w:color="BFC9D9" w:sz="4"/>
            </w:tcBorders>
            <w:shd w:fill="EEF2F8" w:color="auto" w:val="clear"/>
            <w:tcMar>
              <w:top w:type="dxa" w:w="70"/>
              <w:left w:type="dxa" w:w="110"/>
              <w:bottom w:type="dxa" w:w="70"/>
              <w:right w:type="dxa" w:w="110"/>
            </w:tcMar>
            <w:vAlign w:val="top"/>
          </w:tcPr>
          <w:p>
            <w:pPr>
              <w:keepNext/>
              <w:keepLines/>
              <w:spacing w:after="40" w:line="252"/>
              <w:jc w:val="left"/>
            </w:pPr>
            <w:r>
              <w:rPr>
                <w:b/>
                <w:bCs/>
                <w:color w:val="1F3864"/>
                <w:sz w:val="19"/>
                <w:szCs w:val="19"/>
              </w:rPr>
              <w:t xml:space="preserve">Constat</w:t>
            </w:r>
          </w:p>
        </w:tc>
        <w:tc>
          <w:tcPr>
            <w:tcW w:type="dxa" w:w="7738"/>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keepLines/>
              <w:spacing w:after="40" w:line="252"/>
              <w:jc w:val="left"/>
            </w:pPr>
            <w:r>
              <w:rPr>
                <w:sz w:val="19"/>
                <w:szCs w:val="19"/>
              </w:rPr>
              <w:t xml:space="preserve">Cluster Computing attend une dimension calcul : parallélisation, coût, passage à l'échelle. L'article n'en parle presque pas.</w:t>
            </w:r>
          </w:p>
        </w:tc>
      </w:tr>
      <w:tr>
        <w:trPr>
          <w:cantSplit/>
        </w:trPr>
        <w:tc>
          <w:tcPr>
            <w:tcW w:type="dxa" w:w="1900"/>
            <w:tcBorders>
              <w:top w:val="single" w:color="BFC9D9" w:sz="4"/>
              <w:left w:val="single" w:color="BFC9D9" w:sz="4"/>
              <w:bottom w:val="single" w:color="BFC9D9" w:sz="4"/>
              <w:right w:val="single" w:color="BFC9D9" w:sz="4"/>
            </w:tcBorders>
            <w:shd w:fill="EEF2F8" w:color="auto" w:val="clear"/>
            <w:tcMar>
              <w:top w:type="dxa" w:w="70"/>
              <w:left w:type="dxa" w:w="110"/>
              <w:bottom w:type="dxa" w:w="70"/>
              <w:right w:type="dxa" w:w="110"/>
            </w:tcMar>
            <w:vAlign w:val="top"/>
          </w:tcPr>
          <w:p>
            <w:pPr>
              <w:keepNext w:val="false"/>
              <w:keepLines/>
              <w:spacing w:after="40" w:line="252"/>
              <w:jc w:val="left"/>
            </w:pPr>
            <w:r>
              <w:rPr>
                <w:b/>
                <w:bCs/>
                <w:color w:val="1F3864"/>
                <w:sz w:val="19"/>
                <w:szCs w:val="19"/>
              </w:rPr>
              <w:t xml:space="preserve">Pourquoi c'est grave</w:t>
            </w:r>
          </w:p>
        </w:tc>
        <w:tc>
          <w:tcPr>
            <w:tcW w:type="dxa" w:w="7738"/>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Risque de rejet éditorial pour hors-périmètre.</w:t>
            </w:r>
          </w:p>
        </w:tc>
      </w:tr>
      <w:tr>
        <w:trPr>
          <w:cantSplit/>
        </w:trPr>
        <w:tc>
          <w:tcPr>
            <w:tcW w:type="dxa" w:w="1900"/>
            <w:tcBorders>
              <w:top w:val="single" w:color="BFC9D9" w:sz="4"/>
              <w:left w:val="single" w:color="BFC9D9" w:sz="4"/>
              <w:bottom w:val="single" w:color="BFC9D9" w:sz="4"/>
              <w:right w:val="single" w:color="BFC9D9" w:sz="4"/>
            </w:tcBorders>
            <w:shd w:fill="EEF2F8" w:color="auto" w:val="clear"/>
            <w:tcMar>
              <w:top w:type="dxa" w:w="70"/>
              <w:left w:type="dxa" w:w="110"/>
              <w:bottom w:type="dxa" w:w="70"/>
              <w:right w:type="dxa" w:w="110"/>
            </w:tcMar>
            <w:vAlign w:val="top"/>
          </w:tcPr>
          <w:p>
            <w:pPr>
              <w:keepNext w:val="false"/>
              <w:keepLines/>
              <w:spacing w:after="40" w:line="252"/>
              <w:jc w:val="left"/>
            </w:pPr>
            <w:r>
              <w:rPr>
                <w:b/>
                <w:bCs/>
                <w:color w:val="1F3864"/>
                <w:sz w:val="19"/>
                <w:szCs w:val="19"/>
              </w:rPr>
              <w:t xml:space="preserve">Action corrective</w:t>
            </w:r>
          </w:p>
        </w:tc>
        <w:tc>
          <w:tcPr>
            <w:tcW w:type="dxa" w:w="7738"/>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Ajouter une courte section chiffrée : parallélisation des réplications et des entraînements, temps de calcul total, coût par décision, passage à l'échelle avec la taille de la flotte. Sinon, discuter avec la directrice d'une revue plus minière ou plus orientée apprentissage.</w:t>
            </w:r>
          </w:p>
        </w:tc>
      </w:tr>
      <w:tr>
        <w:trPr>
          <w:cantSplit/>
        </w:trPr>
        <w:tc>
          <w:tcPr>
            <w:tcW w:type="dxa" w:w="1900"/>
            <w:tcBorders>
              <w:top w:val="single" w:color="BFC9D9" w:sz="4"/>
              <w:left w:val="single" w:color="BFC9D9" w:sz="4"/>
              <w:bottom w:val="single" w:color="BFC9D9" w:sz="4"/>
              <w:right w:val="single" w:color="BFC9D9" w:sz="4"/>
            </w:tcBorders>
            <w:shd w:fill="EEF2F8" w:color="auto" w:val="clear"/>
            <w:tcMar>
              <w:top w:type="dxa" w:w="70"/>
              <w:left w:type="dxa" w:w="110"/>
              <w:bottom w:type="dxa" w:w="70"/>
              <w:right w:type="dxa" w:w="110"/>
            </w:tcMar>
            <w:vAlign w:val="top"/>
          </w:tcPr>
          <w:p>
            <w:pPr>
              <w:keepNext w:val="false"/>
              <w:keepLines/>
              <w:spacing w:after="40" w:line="252"/>
              <w:jc w:val="left"/>
            </w:pPr>
            <w:r>
              <w:rPr>
                <w:b/>
                <w:bCs/>
                <w:color w:val="1F3864"/>
                <w:sz w:val="19"/>
                <w:szCs w:val="19"/>
              </w:rPr>
              <w:t xml:space="preserve">Où dans le .tex</w:t>
            </w:r>
          </w:p>
        </w:tc>
        <w:tc>
          <w:tcPr>
            <w:tcW w:type="dxa" w:w="7738"/>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§5.4 Architecture du système ou nouvelle sous-section dans §6.</w:t>
            </w:r>
          </w:p>
        </w:tc>
      </w:tr>
      <w:tr>
        <w:trPr>
          <w:cantSplit/>
        </w:trPr>
        <w:tc>
          <w:tcPr>
            <w:tcW w:type="dxa" w:w="1900"/>
            <w:tcBorders>
              <w:top w:val="single" w:color="BFC9D9" w:sz="4"/>
              <w:left w:val="single" w:color="BFC9D9" w:sz="4"/>
              <w:bottom w:val="single" w:color="BFC9D9" w:sz="4"/>
              <w:right w:val="single" w:color="BFC9D9" w:sz="4"/>
            </w:tcBorders>
            <w:shd w:fill="EEF2F8" w:color="auto" w:val="clear"/>
            <w:tcMar>
              <w:top w:type="dxa" w:w="70"/>
              <w:left w:type="dxa" w:w="110"/>
              <w:bottom w:type="dxa" w:w="70"/>
              <w:right w:type="dxa" w:w="110"/>
            </w:tcMar>
            <w:vAlign w:val="top"/>
          </w:tcPr>
          <w:p>
            <w:pPr>
              <w:keepNext w:val="false"/>
              <w:keepLines/>
              <w:spacing w:after="40" w:line="252"/>
              <w:jc w:val="left"/>
            </w:pPr>
            <w:r>
              <w:rPr>
                <w:b/>
                <w:bCs/>
                <w:color w:val="1F3864"/>
                <w:sz w:val="19"/>
                <w:szCs w:val="19"/>
              </w:rPr>
              <w:t xml:space="preserve">Statut</w:t>
            </w:r>
          </w:p>
        </w:tc>
        <w:tc>
          <w:tcPr>
            <w:tcW w:type="dxa" w:w="7738"/>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 À faire     ☐ En cours     ☐ Fait     Notes : ……………………………………………</w:t>
            </w:r>
          </w:p>
        </w:tc>
      </w:tr>
    </w:tbl>
    <w:p>
      <w:pPr>
        <w:spacing w:after="120"/>
      </w:pPr>
    </w:p>
    <w:p>
      <w:pPr>
        <w:pStyle w:val="Heading2"/>
      </w:pPr>
      <w:r>
        <w:t xml:space="preserve">Lacunes bibliographiques</w:t>
      </w:r>
    </w:p>
    <w:p>
      <w:pPr>
        <w:spacing w:after="120" w:before="0" w:line="276"/>
        <w:jc w:val="both"/>
      </w:pPr>
      <w:r>
        <w:t xml:space="preserve">Références à ajouter, regroupées par usage. Vérifiez les métadonnées exactes (volume, pages, DOI) avant de les insérer, en particulier pour les références minières récentes.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rPr>
          <w:tblHeader/>
        </w:trPr>
        <w:tc>
          <w:tcPr>
            <w:tcW w:type="dxa" w:w="2800"/>
            <w:tcBorders>
              <w:top w:val="single" w:color="BFC9D9" w:sz="4"/>
              <w:left w:val="single" w:color="BFC9D9" w:sz="4"/>
              <w:bottom w:val="single" w:color="BFC9D9" w:sz="4"/>
              <w:right w:val="single" w:color="BFC9D9" w:sz="4"/>
            </w:tcBorders>
            <w:shd w:fill="1F3864" w:color="auto" w:val="clear"/>
            <w:tcMar>
              <w:top w:type="dxa" w:w="70"/>
              <w:left w:type="dxa" w:w="110"/>
              <w:bottom w:type="dxa" w:w="70"/>
              <w:right w:type="dxa" w:w="110"/>
            </w:tcMar>
            <w:vAlign w:val="top"/>
          </w:tcPr>
          <w:p>
            <w:pPr>
              <w:keepNext w:val="false"/>
              <w:keepLines/>
              <w:spacing w:after="40" w:line="252"/>
              <w:jc w:val="left"/>
            </w:pPr>
            <w:r>
              <w:rPr>
                <w:b/>
                <w:bCs/>
                <w:color w:val="FFFFFF"/>
                <w:sz w:val="19"/>
                <w:szCs w:val="19"/>
              </w:rPr>
              <w:t xml:space="preserve">Usage</w:t>
            </w:r>
          </w:p>
        </w:tc>
        <w:tc>
          <w:tcPr>
            <w:tcW w:type="dxa" w:w="6838"/>
            <w:tcBorders>
              <w:top w:val="single" w:color="BFC9D9" w:sz="4"/>
              <w:left w:val="single" w:color="BFC9D9" w:sz="4"/>
              <w:bottom w:val="single" w:color="BFC9D9" w:sz="4"/>
              <w:right w:val="single" w:color="BFC9D9" w:sz="4"/>
            </w:tcBorders>
            <w:shd w:fill="1F3864" w:color="auto" w:val="clear"/>
            <w:tcMar>
              <w:top w:type="dxa" w:w="70"/>
              <w:left w:type="dxa" w:w="110"/>
              <w:bottom w:type="dxa" w:w="70"/>
              <w:right w:type="dxa" w:w="110"/>
            </w:tcMar>
            <w:vAlign w:val="top"/>
          </w:tcPr>
          <w:p>
            <w:pPr>
              <w:keepNext w:val="false"/>
              <w:keepLines/>
              <w:spacing w:after="40" w:line="252"/>
              <w:jc w:val="left"/>
            </w:pPr>
            <w:r>
              <w:rPr>
                <w:b/>
                <w:bCs/>
                <w:color w:val="FFFFFF"/>
                <w:sz w:val="19"/>
                <w:szCs w:val="19"/>
              </w:rPr>
              <w:t xml:space="preserve">Références à ajouter</w:t>
            </w:r>
          </w:p>
        </w:tc>
      </w:tr>
      <w:tr>
        <w:trPr>
          <w:cantSplit/>
        </w:trPr>
        <w:tc>
          <w:tcPr>
            <w:tcW w:type="dxa" w:w="28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Algorithmes utilisés sans citation fondatrice</w:t>
            </w:r>
          </w:p>
        </w:tc>
        <w:tc>
          <w:tcPr>
            <w:tcW w:type="dxa" w:w="6838"/>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Mnih et al. (2015, Nature) pour DQN ; Watkins et Dayan (1992) pour Q-Learning ; Rummery et Niranjan (1994) pour SARSA ; Schulman et al. (2016) pour GAE.</w:t>
            </w:r>
          </w:p>
        </w:tc>
      </w:tr>
      <w:tr>
        <w:trPr>
          <w:cantSplit/>
        </w:trPr>
        <w:tc>
          <w:tcPr>
            <w:tcW w:type="dxa" w:w="2800"/>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Processus de décision (pour la sous-section MDP)</w:t>
            </w:r>
          </w:p>
        </w:tc>
        <w:tc>
          <w:tcPr>
            <w:tcW w:type="dxa" w:w="6838"/>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Puterman (1994), Markov Decision Processes ; Bradtke et Duff (1995) ; Sutton, Precup et Singh (1999) pour les processus semi-markoviens.</w:t>
            </w:r>
          </w:p>
        </w:tc>
      </w:tr>
      <w:tr>
        <w:trPr>
          <w:cantSplit/>
        </w:trPr>
        <w:tc>
          <w:tcPr>
            <w:tcW w:type="dxa" w:w="28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Rigueur de l'évaluation en apprentissage par renforcement</w:t>
            </w:r>
          </w:p>
        </w:tc>
        <w:tc>
          <w:tcPr>
            <w:tcW w:type="dxa" w:w="6838"/>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Henderson et al. (2018), Deep RL that Matters (AAAI) ; Agarwal et al. (2021), Deep RL at the Edge of the Statistical Precipice (NeurIPS) ; Colas et al. (2018), How Many Random Seeds?</w:t>
            </w:r>
          </w:p>
        </w:tc>
      </w:tr>
      <w:tr>
        <w:trPr>
          <w:cantSplit/>
        </w:trPr>
        <w:tc>
          <w:tcPr>
            <w:tcW w:type="dxa" w:w="2800"/>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Statistique et simulation</w:t>
            </w:r>
          </w:p>
        </w:tc>
        <w:tc>
          <w:tcPr>
            <w:tcW w:type="dxa" w:w="6838"/>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Demšar (2006, JMLR) ; Law et Kelton, Simulation Modeling and Analysis (graines communes et analyse des sorties).</w:t>
            </w:r>
          </w:p>
        </w:tc>
      </w:tr>
      <w:tr>
        <w:trPr>
          <w:cantSplit/>
        </w:trPr>
        <w:tc>
          <w:tcPr>
            <w:tcW w:type="dxa" w:w="28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Généralisation et robustesse</w:t>
            </w:r>
          </w:p>
        </w:tc>
        <w:tc>
          <w:tcPr>
            <w:tcW w:type="dxa" w:w="6838"/>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Kirk et al. (2023, JAIR) sur la généralisation sans réentraînement ; Dulac-Arnold et al. (2021) sur l'apprentissage par renforcement en conditions réelles ; littérature sur l'apprentissage robuste et sous contraintes (suggestion de GPT).</w:t>
            </w:r>
          </w:p>
        </w:tc>
      </w:tr>
      <w:tr>
        <w:trPr>
          <w:cantSplit/>
        </w:trPr>
        <w:tc>
          <w:tcPr>
            <w:tcW w:type="dxa" w:w="2800"/>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Domaine minier</w:t>
            </w:r>
          </w:p>
        </w:tc>
        <w:tc>
          <w:tcPr>
            <w:tcW w:type="dxa" w:w="6838"/>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Burt et Caccetta (2014) sur le match factor ; Zhang et al. (2020, IEEE BigData) sur le dispatching multi-agent ; de Carvalho et Dimitrakopoulos (2021, Minerals) ; Huo et al. (2023, Resources, Conservation &amp; Recycling) sur la réduction des émissions de flotte.</w:t>
            </w:r>
          </w:p>
        </w:tc>
      </w:tr>
    </w:tbl>
    <w:p>
      <w:pPr>
        <w:pStyle w:val="Heading1"/>
        <w:pageBreakBefore/>
      </w:pPr>
      <w:r>
        <w:t xml:space="preserve">5. Commentaires mineurs</w:t>
      </w:r>
    </w:p>
    <w:p>
      <w:pPr>
        <w:pStyle w:val="Heading2"/>
      </w:pPr>
      <w:r>
        <w:t xml:space="preserve">5.1 Forme exigée par la directrice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2300"/>
        <w:gridCol w:w="5938"/>
        <w:gridCol w:w="800"/>
      </w:tblGrid>
      <w:tr>
        <w:trPr>
          <w:tblHeader/>
        </w:trPr>
        <w:tc>
          <w:tcPr>
            <w:tcW w:type="dxa" w:w="600"/>
            <w:tcBorders>
              <w:top w:val="single" w:color="BFC9D9" w:sz="4"/>
              <w:left w:val="single" w:color="BFC9D9" w:sz="4"/>
              <w:bottom w:val="single" w:color="BFC9D9" w:sz="4"/>
              <w:right w:val="single" w:color="BFC9D9" w:sz="4"/>
            </w:tcBorders>
            <w:shd w:fill="1F3864" w:color="auto" w:val="clear"/>
            <w:tcMar>
              <w:top w:type="dxa" w:w="70"/>
              <w:left w:type="dxa" w:w="110"/>
              <w:bottom w:type="dxa" w:w="70"/>
              <w:right w:type="dxa" w:w="110"/>
            </w:tcMar>
            <w:vAlign w:val="top"/>
          </w:tcPr>
          <w:p>
            <w:pPr>
              <w:keepNext w:val="false"/>
              <w:keepLines/>
              <w:spacing w:after="40" w:line="252"/>
              <w:jc w:val="left"/>
            </w:pPr>
            <w:r>
              <w:rPr>
                <w:b/>
                <w:bCs/>
                <w:color w:val="FFFFFF"/>
                <w:sz w:val="19"/>
                <w:szCs w:val="19"/>
              </w:rPr>
              <w:t xml:space="preserve">#</w:t>
            </w:r>
          </w:p>
        </w:tc>
        <w:tc>
          <w:tcPr>
            <w:tcW w:type="dxa" w:w="2300"/>
            <w:tcBorders>
              <w:top w:val="single" w:color="BFC9D9" w:sz="4"/>
              <w:left w:val="single" w:color="BFC9D9" w:sz="4"/>
              <w:bottom w:val="single" w:color="BFC9D9" w:sz="4"/>
              <w:right w:val="single" w:color="BFC9D9" w:sz="4"/>
            </w:tcBorders>
            <w:shd w:fill="1F3864" w:color="auto" w:val="clear"/>
            <w:tcMar>
              <w:top w:type="dxa" w:w="70"/>
              <w:left w:type="dxa" w:w="110"/>
              <w:bottom w:type="dxa" w:w="70"/>
              <w:right w:type="dxa" w:w="110"/>
            </w:tcMar>
            <w:vAlign w:val="top"/>
          </w:tcPr>
          <w:p>
            <w:pPr>
              <w:keepNext w:val="false"/>
              <w:keepLines/>
              <w:spacing w:after="40" w:line="252"/>
              <w:jc w:val="left"/>
            </w:pPr>
            <w:r>
              <w:rPr>
                <w:b/>
                <w:bCs/>
                <w:color w:val="FFFFFF"/>
                <w:sz w:val="19"/>
                <w:szCs w:val="19"/>
              </w:rPr>
              <w:t xml:space="preserve">Point</w:t>
            </w:r>
          </w:p>
        </w:tc>
        <w:tc>
          <w:tcPr>
            <w:tcW w:type="dxa" w:w="5938"/>
            <w:tcBorders>
              <w:top w:val="single" w:color="BFC9D9" w:sz="4"/>
              <w:left w:val="single" w:color="BFC9D9" w:sz="4"/>
              <w:bottom w:val="single" w:color="BFC9D9" w:sz="4"/>
              <w:right w:val="single" w:color="BFC9D9" w:sz="4"/>
            </w:tcBorders>
            <w:shd w:fill="1F3864" w:color="auto" w:val="clear"/>
            <w:tcMar>
              <w:top w:type="dxa" w:w="70"/>
              <w:left w:type="dxa" w:w="110"/>
              <w:bottom w:type="dxa" w:w="70"/>
              <w:right w:type="dxa" w:w="110"/>
            </w:tcMar>
            <w:vAlign w:val="top"/>
          </w:tcPr>
          <w:p>
            <w:pPr>
              <w:keepNext w:val="false"/>
              <w:keepLines/>
              <w:spacing w:after="40" w:line="252"/>
              <w:jc w:val="left"/>
            </w:pPr>
            <w:r>
              <w:rPr>
                <w:b/>
                <w:bCs/>
                <w:color w:val="FFFFFF"/>
                <w:sz w:val="19"/>
                <w:szCs w:val="19"/>
              </w:rPr>
              <w:t xml:space="preserve">Action</w:t>
            </w:r>
          </w:p>
        </w:tc>
        <w:tc>
          <w:tcPr>
            <w:tcW w:type="dxa" w:w="800"/>
            <w:tcBorders>
              <w:top w:val="single" w:color="BFC9D9" w:sz="4"/>
              <w:left w:val="single" w:color="BFC9D9" w:sz="4"/>
              <w:bottom w:val="single" w:color="BFC9D9" w:sz="4"/>
              <w:right w:val="single" w:color="BFC9D9" w:sz="4"/>
            </w:tcBorders>
            <w:shd w:fill="1F3864" w:color="auto" w:val="clear"/>
            <w:tcMar>
              <w:top w:type="dxa" w:w="70"/>
              <w:left w:type="dxa" w:w="110"/>
              <w:bottom w:type="dxa" w:w="70"/>
              <w:right w:type="dxa" w:w="110"/>
            </w:tcMar>
            <w:vAlign w:val="top"/>
          </w:tcPr>
          <w:p>
            <w:pPr>
              <w:keepNext w:val="false"/>
              <w:keepLines/>
              <w:spacing w:after="40" w:line="252"/>
              <w:jc w:val="left"/>
            </w:pPr>
            <w:r>
              <w:rPr>
                <w:b/>
                <w:bCs/>
                <w:color w:val="FFFFFF"/>
                <w:sz w:val="19"/>
                <w:szCs w:val="19"/>
              </w:rPr>
              <w:t xml:space="preserve">Fait</w:t>
            </w:r>
          </w:p>
        </w:tc>
      </w:tr>
      <w:tr>
        <w:trPr>
          <w:cantSplit/>
        </w:trPr>
        <w:tc>
          <w:tcPr>
            <w:tcW w:type="dxa" w:w="6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m1</w:t>
            </w:r>
          </w:p>
        </w:tc>
        <w:tc>
          <w:tcPr>
            <w:tcW w:type="dxa" w:w="23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Abstract trop long et chargé d'abréviations</w:t>
            </w:r>
          </w:p>
        </w:tc>
        <w:tc>
          <w:tcPr>
            <w:tcW w:type="dxa" w:w="5938"/>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Réduire à 200–250 mots ; retirer valeurs p et tailles d'effet ; écrire en toutes lettres : Deep Q-Network, Proximal Policy Optimization, State–Action–Reward–State–Action, premier arrivé premier servi. Mots-clés sans PPO ni DQN (par exemple « Proximal policy optimization ; Deep Q-network »).</w:t>
            </w:r>
          </w:p>
        </w:tc>
        <w:tc>
          <w:tcPr>
            <w:tcW w:type="dxa" w:w="8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w:t>
            </w:r>
          </w:p>
        </w:tc>
      </w:tr>
      <w:tr>
        <w:trPr>
          <w:cantSplit/>
        </w:trPr>
        <w:tc>
          <w:tcPr>
            <w:tcW w:type="dxa" w:w="600"/>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m2</w:t>
            </w:r>
          </w:p>
        </w:tc>
        <w:tc>
          <w:tcPr>
            <w:tcW w:type="dxa" w:w="2300"/>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Traits d'union dans l'abstract</w:t>
            </w:r>
          </w:p>
        </w:tc>
        <w:tc>
          <w:tcPr>
            <w:tcW w:type="dxa" w:w="5938"/>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Reformuler « camions--pelles » et « multi-régimes » ; garder les tirets des noms propres.</w:t>
            </w:r>
          </w:p>
        </w:tc>
        <w:tc>
          <w:tcPr>
            <w:tcW w:type="dxa" w:w="800"/>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w:t>
            </w:r>
          </w:p>
        </w:tc>
      </w:tr>
      <w:tr>
        <w:trPr>
          <w:cantSplit/>
        </w:trPr>
        <w:tc>
          <w:tcPr>
            <w:tcW w:type="dxa" w:w="6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m3</w:t>
            </w:r>
          </w:p>
        </w:tc>
        <w:tc>
          <w:tcPr>
            <w:tcW w:type="dxa" w:w="23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Abréviations à la première occurrence</w:t>
            </w:r>
          </w:p>
        </w:tc>
        <w:tc>
          <w:tcPr>
            <w:tcW w:type="dxa" w:w="5938"/>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Vérifier PPO, DQN, SARSA, FIFO, MDP, GAE, KPI, FMS dans l'introduction.</w:t>
            </w:r>
          </w:p>
        </w:tc>
        <w:tc>
          <w:tcPr>
            <w:tcW w:type="dxa" w:w="8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w:t>
            </w:r>
          </w:p>
        </w:tc>
      </w:tr>
      <w:tr>
        <w:trPr>
          <w:cantSplit/>
        </w:trPr>
        <w:tc>
          <w:tcPr>
            <w:tcW w:type="dxa" w:w="600"/>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m4</w:t>
            </w:r>
          </w:p>
        </w:tc>
        <w:tc>
          <w:tcPr>
            <w:tcW w:type="dxa" w:w="2300"/>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Italiques</w:t>
            </w:r>
          </w:p>
        </w:tc>
        <w:tc>
          <w:tcPr>
            <w:tcW w:type="dxa" w:w="5938"/>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Supprimer les \textit et \emph du texte courant (garder l'italique mathématique). Commande utile : rechercher \textit{ et \emph{ dans l'éditeur.</w:t>
            </w:r>
          </w:p>
        </w:tc>
        <w:tc>
          <w:tcPr>
            <w:tcW w:type="dxa" w:w="800"/>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w:t>
            </w:r>
          </w:p>
        </w:tc>
      </w:tr>
      <w:tr>
        <w:trPr>
          <w:cantSplit/>
        </w:trPr>
        <w:tc>
          <w:tcPr>
            <w:tcW w:type="dxa" w:w="6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m5</w:t>
            </w:r>
          </w:p>
        </w:tc>
        <w:tc>
          <w:tcPr>
            <w:tcW w:type="dxa" w:w="23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Parenthèses d'exemples</w:t>
            </w:r>
          </w:p>
        </w:tc>
        <w:tc>
          <w:tcPr>
            <w:tcW w:type="dxa" w:w="5938"/>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Remplacer par « such as » (« tels que » en français), y compris pour les tests statistiques entre parenthèses.</w:t>
            </w:r>
          </w:p>
        </w:tc>
        <w:tc>
          <w:tcPr>
            <w:tcW w:type="dxa" w:w="8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w:t>
            </w:r>
          </w:p>
        </w:tc>
      </w:tr>
      <w:tr>
        <w:trPr>
          <w:cantSplit/>
        </w:trPr>
        <w:tc>
          <w:tcPr>
            <w:tcW w:type="dxa" w:w="600"/>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m6</w:t>
            </w:r>
          </w:p>
        </w:tc>
        <w:tc>
          <w:tcPr>
            <w:tcW w:type="dxa" w:w="2300"/>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Noms de fichiers d'images</w:t>
            </w:r>
          </w:p>
        </w:tc>
        <w:tc>
          <w:tcPr>
            <w:tcW w:type="dxa" w:w="5938"/>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Renommer sans espaces ni accents (ex. mdp_formulation.png, functional_architecture.png) et mettre à jour \includegraphics.</w:t>
            </w:r>
          </w:p>
        </w:tc>
        <w:tc>
          <w:tcPr>
            <w:tcW w:type="dxa" w:w="800"/>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w:t>
            </w:r>
          </w:p>
        </w:tc>
      </w:tr>
      <w:tr>
        <w:trPr>
          <w:cantSplit/>
        </w:trPr>
        <w:tc>
          <w:tcPr>
            <w:tcW w:type="dxa" w:w="6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m7</w:t>
            </w:r>
          </w:p>
        </w:tc>
        <w:tc>
          <w:tcPr>
            <w:tcW w:type="dxa" w:w="23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Figures en anglais</w:t>
            </w:r>
          </w:p>
        </w:tc>
        <w:tc>
          <w:tcPr>
            <w:tcW w:type="dxa" w:w="5938"/>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Traduire le contenu des figures MDP, architecture fonctionnelle et scénarios pour la version de soumission.</w:t>
            </w:r>
          </w:p>
        </w:tc>
        <w:tc>
          <w:tcPr>
            <w:tcW w:type="dxa" w:w="8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w:t>
            </w:r>
          </w:p>
        </w:tc>
      </w:tr>
      <w:tr>
        <w:trPr>
          <w:cantSplit/>
        </w:trPr>
        <w:tc>
          <w:tcPr>
            <w:tcW w:type="dxa" w:w="600"/>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m8</w:t>
            </w:r>
          </w:p>
        </w:tc>
        <w:tc>
          <w:tcPr>
            <w:tcW w:type="dxa" w:w="2300"/>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Pseudo-code SARSA</w:t>
            </w:r>
          </w:p>
        </w:tc>
        <w:tc>
          <w:tcPr>
            <w:tcW w:type="dxa" w:w="5938"/>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Ajouter un algorithme ou une phrase indiquant la ligne de mise à jour qui diffère de Q-Learning.</w:t>
            </w:r>
          </w:p>
        </w:tc>
        <w:tc>
          <w:tcPr>
            <w:tcW w:type="dxa" w:w="800"/>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w:t>
            </w:r>
          </w:p>
        </w:tc>
      </w:tr>
      <w:tr>
        <w:trPr>
          <w:cantSplit/>
        </w:trPr>
        <w:tc>
          <w:tcPr>
            <w:tcW w:type="dxa" w:w="6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m9</w:t>
            </w:r>
          </w:p>
        </w:tc>
        <w:tc>
          <w:tcPr>
            <w:tcW w:type="dxa" w:w="23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Vocabulaire « statique »</w:t>
            </w:r>
          </w:p>
        </w:tc>
        <w:tc>
          <w:tcPr>
            <w:tcW w:type="dxa" w:w="5938"/>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Pour l'Affectation fixe, écrire « à base de règles » (elle a une réaffectation de secours) ; réserver « statique » aux politiques réellement statiques.</w:t>
            </w:r>
          </w:p>
        </w:tc>
        <w:tc>
          <w:tcPr>
            <w:tcW w:type="dxa" w:w="8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w:t>
            </w:r>
          </w:p>
        </w:tc>
      </w:tr>
      <w:tr>
        <w:trPr>
          <w:cantSplit/>
        </w:trPr>
        <w:tc>
          <w:tcPr>
            <w:tcW w:type="dxa" w:w="600"/>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m10</w:t>
            </w:r>
          </w:p>
        </w:tc>
        <w:tc>
          <w:tcPr>
            <w:tcW w:type="dxa" w:w="2300"/>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Longueur</w:t>
            </w:r>
          </w:p>
        </w:tc>
        <w:tc>
          <w:tcPr>
            <w:tcW w:type="dxa" w:w="5938"/>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Vérifier ≤ 40 pages après les ajouts.</w:t>
            </w:r>
          </w:p>
        </w:tc>
        <w:tc>
          <w:tcPr>
            <w:tcW w:type="dxa" w:w="800"/>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w:t>
            </w:r>
          </w:p>
        </w:tc>
      </w:tr>
    </w:tbl>
    <w:p>
      <w:pPr>
        <w:spacing w:after="120"/>
      </w:pPr>
    </w:p>
    <w:p>
      <w:pPr>
        <w:pStyle w:val="Heading2"/>
      </w:pPr>
      <w:r>
        <w:t xml:space="preserve">5.2 Présentation des résultats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2300"/>
        <w:gridCol w:w="5938"/>
        <w:gridCol w:w="800"/>
      </w:tblGrid>
      <w:tr>
        <w:trPr>
          <w:tblHeader/>
        </w:trPr>
        <w:tc>
          <w:tcPr>
            <w:tcW w:type="dxa" w:w="600"/>
            <w:tcBorders>
              <w:top w:val="single" w:color="BFC9D9" w:sz="4"/>
              <w:left w:val="single" w:color="BFC9D9" w:sz="4"/>
              <w:bottom w:val="single" w:color="BFC9D9" w:sz="4"/>
              <w:right w:val="single" w:color="BFC9D9" w:sz="4"/>
            </w:tcBorders>
            <w:shd w:fill="1F3864" w:color="auto" w:val="clear"/>
            <w:tcMar>
              <w:top w:type="dxa" w:w="70"/>
              <w:left w:type="dxa" w:w="110"/>
              <w:bottom w:type="dxa" w:w="70"/>
              <w:right w:type="dxa" w:w="110"/>
            </w:tcMar>
            <w:vAlign w:val="top"/>
          </w:tcPr>
          <w:p>
            <w:pPr>
              <w:keepNext w:val="false"/>
              <w:keepLines/>
              <w:spacing w:after="40" w:line="252"/>
              <w:jc w:val="left"/>
            </w:pPr>
            <w:r>
              <w:rPr>
                <w:b/>
                <w:bCs/>
                <w:color w:val="FFFFFF"/>
                <w:sz w:val="19"/>
                <w:szCs w:val="19"/>
              </w:rPr>
              <w:t xml:space="preserve">#</w:t>
            </w:r>
          </w:p>
        </w:tc>
        <w:tc>
          <w:tcPr>
            <w:tcW w:type="dxa" w:w="2300"/>
            <w:tcBorders>
              <w:top w:val="single" w:color="BFC9D9" w:sz="4"/>
              <w:left w:val="single" w:color="BFC9D9" w:sz="4"/>
              <w:bottom w:val="single" w:color="BFC9D9" w:sz="4"/>
              <w:right w:val="single" w:color="BFC9D9" w:sz="4"/>
            </w:tcBorders>
            <w:shd w:fill="1F3864" w:color="auto" w:val="clear"/>
            <w:tcMar>
              <w:top w:type="dxa" w:w="70"/>
              <w:left w:type="dxa" w:w="110"/>
              <w:bottom w:type="dxa" w:w="70"/>
              <w:right w:type="dxa" w:w="110"/>
            </w:tcMar>
            <w:vAlign w:val="top"/>
          </w:tcPr>
          <w:p>
            <w:pPr>
              <w:keepNext w:val="false"/>
              <w:keepLines/>
              <w:spacing w:after="40" w:line="252"/>
              <w:jc w:val="left"/>
            </w:pPr>
            <w:r>
              <w:rPr>
                <w:b/>
                <w:bCs/>
                <w:color w:val="FFFFFF"/>
                <w:sz w:val="19"/>
                <w:szCs w:val="19"/>
              </w:rPr>
              <w:t xml:space="preserve">Point</w:t>
            </w:r>
          </w:p>
        </w:tc>
        <w:tc>
          <w:tcPr>
            <w:tcW w:type="dxa" w:w="5938"/>
            <w:tcBorders>
              <w:top w:val="single" w:color="BFC9D9" w:sz="4"/>
              <w:left w:val="single" w:color="BFC9D9" w:sz="4"/>
              <w:bottom w:val="single" w:color="BFC9D9" w:sz="4"/>
              <w:right w:val="single" w:color="BFC9D9" w:sz="4"/>
            </w:tcBorders>
            <w:shd w:fill="1F3864" w:color="auto" w:val="clear"/>
            <w:tcMar>
              <w:top w:type="dxa" w:w="70"/>
              <w:left w:type="dxa" w:w="110"/>
              <w:bottom w:type="dxa" w:w="70"/>
              <w:right w:type="dxa" w:w="110"/>
            </w:tcMar>
            <w:vAlign w:val="top"/>
          </w:tcPr>
          <w:p>
            <w:pPr>
              <w:keepNext w:val="false"/>
              <w:keepLines/>
              <w:spacing w:after="40" w:line="252"/>
              <w:jc w:val="left"/>
            </w:pPr>
            <w:r>
              <w:rPr>
                <w:b/>
                <w:bCs/>
                <w:color w:val="FFFFFF"/>
                <w:sz w:val="19"/>
                <w:szCs w:val="19"/>
              </w:rPr>
              <w:t xml:space="preserve">Action</w:t>
            </w:r>
          </w:p>
        </w:tc>
        <w:tc>
          <w:tcPr>
            <w:tcW w:type="dxa" w:w="800"/>
            <w:tcBorders>
              <w:top w:val="single" w:color="BFC9D9" w:sz="4"/>
              <w:left w:val="single" w:color="BFC9D9" w:sz="4"/>
              <w:bottom w:val="single" w:color="BFC9D9" w:sz="4"/>
              <w:right w:val="single" w:color="BFC9D9" w:sz="4"/>
            </w:tcBorders>
            <w:shd w:fill="1F3864" w:color="auto" w:val="clear"/>
            <w:tcMar>
              <w:top w:type="dxa" w:w="70"/>
              <w:left w:type="dxa" w:w="110"/>
              <w:bottom w:type="dxa" w:w="70"/>
              <w:right w:type="dxa" w:w="110"/>
            </w:tcMar>
            <w:vAlign w:val="top"/>
          </w:tcPr>
          <w:p>
            <w:pPr>
              <w:keepNext w:val="false"/>
              <w:keepLines/>
              <w:spacing w:after="40" w:line="252"/>
              <w:jc w:val="left"/>
            </w:pPr>
            <w:r>
              <w:rPr>
                <w:b/>
                <w:bCs/>
                <w:color w:val="FFFFFF"/>
                <w:sz w:val="19"/>
                <w:szCs w:val="19"/>
              </w:rPr>
              <w:t xml:space="preserve">Fait</w:t>
            </w:r>
          </w:p>
        </w:tc>
      </w:tr>
      <w:tr>
        <w:trPr>
          <w:cantSplit/>
        </w:trPr>
        <w:tc>
          <w:tcPr>
            <w:tcW w:type="dxa" w:w="6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m11</w:t>
            </w:r>
          </w:p>
        </w:tc>
        <w:tc>
          <w:tcPr>
            <w:tcW w:type="dxa" w:w="23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Distributions</w:t>
            </w:r>
          </w:p>
        </w:tc>
        <w:tc>
          <w:tcPr>
            <w:tcW w:type="dxa" w:w="5938"/>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Remplacer ou compléter les barres par des boîtes à moustaches ou des violons, surtout pour PPO en forte charge (écart-type ±325 t/h). (GPT)</w:t>
            </w:r>
          </w:p>
        </w:tc>
        <w:tc>
          <w:tcPr>
            <w:tcW w:type="dxa" w:w="8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w:t>
            </w:r>
          </w:p>
        </w:tc>
      </w:tr>
      <w:tr>
        <w:trPr>
          <w:cantSplit/>
        </w:trPr>
        <w:tc>
          <w:tcPr>
            <w:tcW w:type="dxa" w:w="600"/>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m12</w:t>
            </w:r>
          </w:p>
        </w:tc>
        <w:tc>
          <w:tcPr>
            <w:tcW w:type="dxa" w:w="2300"/>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Décimales</w:t>
            </w:r>
          </w:p>
        </w:tc>
        <w:tc>
          <w:tcPr>
            <w:tcW w:type="dxa" w:w="5938"/>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Dans le texte : 4 177 t/h plutôt que 4 176,67 ; garder la précision dans les tableaux. (GPT)</w:t>
            </w:r>
          </w:p>
        </w:tc>
        <w:tc>
          <w:tcPr>
            <w:tcW w:type="dxa" w:w="800"/>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w:t>
            </w:r>
          </w:p>
        </w:tc>
      </w:tr>
      <w:tr>
        <w:trPr>
          <w:cantSplit/>
        </w:trPr>
        <w:tc>
          <w:tcPr>
            <w:tcW w:type="dxa" w:w="6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m13</w:t>
            </w:r>
          </w:p>
        </w:tc>
        <w:tc>
          <w:tcPr>
            <w:tcW w:type="dxa" w:w="23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Intervalles</w:t>
            </w:r>
          </w:p>
        </w:tc>
        <w:tc>
          <w:tcPr>
            <w:tcW w:type="dxa" w:w="5938"/>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Le temps d'attente est rapporté avec un écart-type sans intervalle alors que les figures montrent des intervalles bootstrap : harmoniser.</w:t>
            </w:r>
          </w:p>
        </w:tc>
        <w:tc>
          <w:tcPr>
            <w:tcW w:type="dxa" w:w="8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w:t>
            </w:r>
          </w:p>
        </w:tc>
      </w:tr>
      <w:tr>
        <w:trPr>
          <w:cantSplit/>
        </w:trPr>
        <w:tc>
          <w:tcPr>
            <w:tcW w:type="dxa" w:w="600"/>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m14</w:t>
            </w:r>
          </w:p>
        </w:tc>
        <w:tc>
          <w:tcPr>
            <w:tcW w:type="dxa" w:w="2300"/>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Chiffres de la figure 7</w:t>
            </w:r>
          </w:p>
        </w:tc>
        <w:tc>
          <w:tcPr>
            <w:tcW w:type="dxa" w:w="5938"/>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Le texte donne « environ 42 min » et « environ 47 min » ; les tableaux indiquent 43,2 et 47,8 min.</w:t>
            </w:r>
          </w:p>
        </w:tc>
        <w:tc>
          <w:tcPr>
            <w:tcW w:type="dxa" w:w="800"/>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w:t>
            </w:r>
          </w:p>
        </w:tc>
      </w:tr>
      <w:tr>
        <w:trPr>
          <w:cantSplit/>
        </w:trPr>
        <w:tc>
          <w:tcPr>
            <w:tcW w:type="dxa" w:w="6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m15</w:t>
            </w:r>
          </w:p>
        </w:tc>
        <w:tc>
          <w:tcPr>
            <w:tcW w:type="dxa" w:w="23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Abréviation PCC</w:t>
            </w:r>
          </w:p>
        </w:tc>
        <w:tc>
          <w:tcPr>
            <w:tcW w:type="dxa" w:w="5938"/>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Jamais définie (tableau de validation des hypothèses).</w:t>
            </w:r>
          </w:p>
        </w:tc>
        <w:tc>
          <w:tcPr>
            <w:tcW w:type="dxa" w:w="8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w:t>
            </w:r>
          </w:p>
        </w:tc>
      </w:tr>
      <w:tr>
        <w:trPr>
          <w:cantSplit/>
        </w:trPr>
        <w:tc>
          <w:tcPr>
            <w:tcW w:type="dxa" w:w="600"/>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m16</w:t>
            </w:r>
          </w:p>
        </w:tc>
        <w:tc>
          <w:tcPr>
            <w:tcW w:type="dxa" w:w="2300"/>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Tableau 5</w:t>
            </w:r>
          </w:p>
        </w:tc>
        <w:tc>
          <w:tcPr>
            <w:tcW w:type="dxa" w:w="5938"/>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Colonne « L/t » sans scénario indiqué, en doublon avec le tableau d'efficacité : la supprimer.</w:t>
            </w:r>
          </w:p>
        </w:tc>
        <w:tc>
          <w:tcPr>
            <w:tcW w:type="dxa" w:w="800"/>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w:t>
            </w:r>
          </w:p>
        </w:tc>
      </w:tr>
      <w:tr>
        <w:trPr>
          <w:cantSplit/>
        </w:trPr>
        <w:tc>
          <w:tcPr>
            <w:tcW w:type="dxa" w:w="6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m17</w:t>
            </w:r>
          </w:p>
        </w:tc>
        <w:tc>
          <w:tcPr>
            <w:tcW w:type="dxa" w:w="23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Tableau de positionnement</w:t>
            </w:r>
          </w:p>
        </w:tc>
        <w:tc>
          <w:tcPr>
            <w:tcW w:type="dxa" w:w="5938"/>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Ligne « Étude proposée », colonne « Optimisation formelle » : le contenu ne correspond pas à l'en-tête.</w:t>
            </w:r>
          </w:p>
        </w:tc>
        <w:tc>
          <w:tcPr>
            <w:tcW w:type="dxa" w:w="8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w:t>
            </w:r>
          </w:p>
        </w:tc>
      </w:tr>
      <w:tr>
        <w:trPr>
          <w:cantSplit/>
        </w:trPr>
        <w:tc>
          <w:tcPr>
            <w:tcW w:type="dxa" w:w="600"/>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m18</w:t>
            </w:r>
          </w:p>
        </w:tc>
        <w:tc>
          <w:tcPr>
            <w:tcW w:type="dxa" w:w="2300"/>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Utilisation</w:t>
            </w:r>
          </w:p>
        </w:tc>
        <w:tc>
          <w:tcPr>
            <w:tcW w:type="dxa" w:w="5938"/>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Rapporter séparément l'utilisation des camions et celle des pelles.</w:t>
            </w:r>
          </w:p>
        </w:tc>
        <w:tc>
          <w:tcPr>
            <w:tcW w:type="dxa" w:w="800"/>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w:t>
            </w:r>
          </w:p>
        </w:tc>
      </w:tr>
      <w:tr>
        <w:trPr>
          <w:cantSplit/>
        </w:trPr>
        <w:tc>
          <w:tcPr>
            <w:tcW w:type="dxa" w:w="6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m19</w:t>
            </w:r>
          </w:p>
        </w:tc>
        <w:tc>
          <w:tcPr>
            <w:tcW w:type="dxa" w:w="23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Mode d'évaluation</w:t>
            </w:r>
          </w:p>
        </w:tc>
        <w:tc>
          <w:tcPr>
            <w:tcW w:type="dxa" w:w="5938"/>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Indiquer si PPO est évalué en mode déterministe et si ε = 0 pour DQN en évaluation.</w:t>
            </w:r>
          </w:p>
        </w:tc>
        <w:tc>
          <w:tcPr>
            <w:tcW w:type="dxa" w:w="8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w:t>
            </w:r>
          </w:p>
        </w:tc>
      </w:tr>
      <w:tr>
        <w:trPr>
          <w:cantSplit/>
        </w:trPr>
        <w:tc>
          <w:tcPr>
            <w:tcW w:type="dxa" w:w="600"/>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m20</w:t>
            </w:r>
          </w:p>
        </w:tc>
        <w:tc>
          <w:tcPr>
            <w:tcW w:type="dxa" w:w="2300"/>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Latence</w:t>
            </w:r>
          </w:p>
        </w:tc>
        <w:tc>
          <w:tcPr>
            <w:tcW w:type="dxa" w:w="5938"/>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10 ms pour un MLP [128, 128] est élevé (moins de 1 ms attendu) : préciser si la construction de l'observation est incluse.</w:t>
            </w:r>
          </w:p>
        </w:tc>
        <w:tc>
          <w:tcPr>
            <w:tcW w:type="dxa" w:w="800"/>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w:t>
            </w:r>
          </w:p>
        </w:tc>
      </w:tr>
    </w:tbl>
    <w:p>
      <w:pPr>
        <w:spacing w:after="120"/>
      </w:pPr>
    </w:p>
    <w:p>
      <w:pPr>
        <w:pStyle w:val="Heading2"/>
      </w:pPr>
      <w:r>
        <w:t xml:space="preserve">5.3 Style, coquilles et LaTeX</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2300"/>
        <w:gridCol w:w="5938"/>
        <w:gridCol w:w="800"/>
      </w:tblGrid>
      <w:tr>
        <w:trPr>
          <w:tblHeader/>
        </w:trPr>
        <w:tc>
          <w:tcPr>
            <w:tcW w:type="dxa" w:w="600"/>
            <w:tcBorders>
              <w:top w:val="single" w:color="BFC9D9" w:sz="4"/>
              <w:left w:val="single" w:color="BFC9D9" w:sz="4"/>
              <w:bottom w:val="single" w:color="BFC9D9" w:sz="4"/>
              <w:right w:val="single" w:color="BFC9D9" w:sz="4"/>
            </w:tcBorders>
            <w:shd w:fill="1F3864" w:color="auto" w:val="clear"/>
            <w:tcMar>
              <w:top w:type="dxa" w:w="70"/>
              <w:left w:type="dxa" w:w="110"/>
              <w:bottom w:type="dxa" w:w="70"/>
              <w:right w:type="dxa" w:w="110"/>
            </w:tcMar>
            <w:vAlign w:val="top"/>
          </w:tcPr>
          <w:p>
            <w:pPr>
              <w:keepNext w:val="false"/>
              <w:keepLines/>
              <w:spacing w:after="40" w:line="252"/>
              <w:jc w:val="left"/>
            </w:pPr>
            <w:r>
              <w:rPr>
                <w:b/>
                <w:bCs/>
                <w:color w:val="FFFFFF"/>
                <w:sz w:val="19"/>
                <w:szCs w:val="19"/>
              </w:rPr>
              <w:t xml:space="preserve">#</w:t>
            </w:r>
          </w:p>
        </w:tc>
        <w:tc>
          <w:tcPr>
            <w:tcW w:type="dxa" w:w="2300"/>
            <w:tcBorders>
              <w:top w:val="single" w:color="BFC9D9" w:sz="4"/>
              <w:left w:val="single" w:color="BFC9D9" w:sz="4"/>
              <w:bottom w:val="single" w:color="BFC9D9" w:sz="4"/>
              <w:right w:val="single" w:color="BFC9D9" w:sz="4"/>
            </w:tcBorders>
            <w:shd w:fill="1F3864" w:color="auto" w:val="clear"/>
            <w:tcMar>
              <w:top w:type="dxa" w:w="70"/>
              <w:left w:type="dxa" w:w="110"/>
              <w:bottom w:type="dxa" w:w="70"/>
              <w:right w:type="dxa" w:w="110"/>
            </w:tcMar>
            <w:vAlign w:val="top"/>
          </w:tcPr>
          <w:p>
            <w:pPr>
              <w:keepNext w:val="false"/>
              <w:keepLines/>
              <w:spacing w:after="40" w:line="252"/>
              <w:jc w:val="left"/>
            </w:pPr>
            <w:r>
              <w:rPr>
                <w:b/>
                <w:bCs/>
                <w:color w:val="FFFFFF"/>
                <w:sz w:val="19"/>
                <w:szCs w:val="19"/>
              </w:rPr>
              <w:t xml:space="preserve">Point</w:t>
            </w:r>
          </w:p>
        </w:tc>
        <w:tc>
          <w:tcPr>
            <w:tcW w:type="dxa" w:w="5938"/>
            <w:tcBorders>
              <w:top w:val="single" w:color="BFC9D9" w:sz="4"/>
              <w:left w:val="single" w:color="BFC9D9" w:sz="4"/>
              <w:bottom w:val="single" w:color="BFC9D9" w:sz="4"/>
              <w:right w:val="single" w:color="BFC9D9" w:sz="4"/>
            </w:tcBorders>
            <w:shd w:fill="1F3864" w:color="auto" w:val="clear"/>
            <w:tcMar>
              <w:top w:type="dxa" w:w="70"/>
              <w:left w:type="dxa" w:w="110"/>
              <w:bottom w:type="dxa" w:w="70"/>
              <w:right w:type="dxa" w:w="110"/>
            </w:tcMar>
            <w:vAlign w:val="top"/>
          </w:tcPr>
          <w:p>
            <w:pPr>
              <w:keepNext w:val="false"/>
              <w:keepLines/>
              <w:spacing w:after="40" w:line="252"/>
              <w:jc w:val="left"/>
            </w:pPr>
            <w:r>
              <w:rPr>
                <w:b/>
                <w:bCs/>
                <w:color w:val="FFFFFF"/>
                <w:sz w:val="19"/>
                <w:szCs w:val="19"/>
              </w:rPr>
              <w:t xml:space="preserve">Action</w:t>
            </w:r>
          </w:p>
        </w:tc>
        <w:tc>
          <w:tcPr>
            <w:tcW w:type="dxa" w:w="800"/>
            <w:tcBorders>
              <w:top w:val="single" w:color="BFC9D9" w:sz="4"/>
              <w:left w:val="single" w:color="BFC9D9" w:sz="4"/>
              <w:bottom w:val="single" w:color="BFC9D9" w:sz="4"/>
              <w:right w:val="single" w:color="BFC9D9" w:sz="4"/>
            </w:tcBorders>
            <w:shd w:fill="1F3864" w:color="auto" w:val="clear"/>
            <w:tcMar>
              <w:top w:type="dxa" w:w="70"/>
              <w:left w:type="dxa" w:w="110"/>
              <w:bottom w:type="dxa" w:w="70"/>
              <w:right w:type="dxa" w:w="110"/>
            </w:tcMar>
            <w:vAlign w:val="top"/>
          </w:tcPr>
          <w:p>
            <w:pPr>
              <w:keepNext w:val="false"/>
              <w:keepLines/>
              <w:spacing w:after="40" w:line="252"/>
              <w:jc w:val="left"/>
            </w:pPr>
            <w:r>
              <w:rPr>
                <w:b/>
                <w:bCs/>
                <w:color w:val="FFFFFF"/>
                <w:sz w:val="19"/>
                <w:szCs w:val="19"/>
              </w:rPr>
              <w:t xml:space="preserve">Fait</w:t>
            </w:r>
          </w:p>
        </w:tc>
      </w:tr>
      <w:tr>
        <w:trPr>
          <w:cantSplit/>
        </w:trPr>
        <w:tc>
          <w:tcPr>
            <w:tcW w:type="dxa" w:w="6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m21</w:t>
            </w:r>
          </w:p>
        </w:tc>
        <w:tc>
          <w:tcPr>
            <w:tcW w:type="dxa" w:w="23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Renvois croisés</w:t>
            </w:r>
          </w:p>
        </w:tc>
        <w:tc>
          <w:tcPr>
            <w:tcW w:type="dxa" w:w="5938"/>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 les sections \cref{sec:design} et \cref{sec:results} » produit « les sections Section 5 et Section 6 ». Utiliser \cref{sec:design,sec:results} ; harmoniser Table~\ref et \cref.</w:t>
            </w:r>
          </w:p>
        </w:tc>
        <w:tc>
          <w:tcPr>
            <w:tcW w:type="dxa" w:w="8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w:t>
            </w:r>
          </w:p>
        </w:tc>
      </w:tr>
      <w:tr>
        <w:trPr>
          <w:cantSplit/>
        </w:trPr>
        <w:tc>
          <w:tcPr>
            <w:tcW w:type="dxa" w:w="600"/>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m22</w:t>
            </w:r>
          </w:p>
        </w:tc>
        <w:tc>
          <w:tcPr>
            <w:tcW w:type="dxa" w:w="2300"/>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Accord</w:t>
            </w:r>
          </w:p>
        </w:tc>
        <w:tc>
          <w:tcPr>
            <w:tcW w:type="dxa" w:w="5938"/>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 Comme le souligne Newman et al. » → « Comme le soulignent Newman et al. »</w:t>
            </w:r>
          </w:p>
        </w:tc>
        <w:tc>
          <w:tcPr>
            <w:tcW w:type="dxa" w:w="800"/>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w:t>
            </w:r>
          </w:p>
        </w:tc>
      </w:tr>
      <w:tr>
        <w:trPr>
          <w:cantSplit/>
        </w:trPr>
        <w:tc>
          <w:tcPr>
            <w:tcW w:type="dxa" w:w="6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m23</w:t>
            </w:r>
          </w:p>
        </w:tc>
        <w:tc>
          <w:tcPr>
            <w:tcW w:type="dxa" w:w="23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Capitalisation</w:t>
            </w:r>
          </w:p>
        </w:tc>
        <w:tc>
          <w:tcPr>
            <w:tcW w:type="dxa" w:w="5938"/>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Fixer une convention pour les noms de politiques (« la Pelle la plus proche » / « Pelle la plus proche »).</w:t>
            </w:r>
          </w:p>
        </w:tc>
        <w:tc>
          <w:tcPr>
            <w:tcW w:type="dxa" w:w="8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w:t>
            </w:r>
          </w:p>
        </w:tc>
      </w:tr>
      <w:tr>
        <w:trPr>
          <w:cantSplit/>
        </w:trPr>
        <w:tc>
          <w:tcPr>
            <w:tcW w:type="dxa" w:w="600"/>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m24</w:t>
            </w:r>
          </w:p>
        </w:tc>
        <w:tc>
          <w:tcPr>
            <w:tcW w:type="dxa" w:w="2300"/>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Formulations</w:t>
            </w:r>
          </w:p>
        </w:tc>
        <w:tc>
          <w:tcPr>
            <w:tcW w:type="dxa" w:w="5938"/>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 Q-Learning reste stable pendant 12 000 épisodes » → « stagne » ; « la convergence est généralement atteinte après des cycles de mise à jour de 1 024 pas » n'a pas de sens tel quel ; supprimer « Conformément aux standards de la recherche à fort impact ».</w:t>
            </w:r>
          </w:p>
        </w:tc>
        <w:tc>
          <w:tcPr>
            <w:tcW w:type="dxa" w:w="800"/>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w:t>
            </w:r>
          </w:p>
        </w:tc>
      </w:tr>
      <w:tr>
        <w:trPr>
          <w:cantSplit/>
        </w:trPr>
        <w:tc>
          <w:tcPr>
            <w:tcW w:type="dxa" w:w="6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m25</w:t>
            </w:r>
          </w:p>
        </w:tc>
        <w:tc>
          <w:tcPr>
            <w:tcW w:type="dxa" w:w="23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Décompte des politiques</w:t>
            </w:r>
          </w:p>
        </w:tc>
        <w:tc>
          <w:tcPr>
            <w:tcW w:type="dxa" w:w="5938"/>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 Avec les trois références RL… huit politiques » : expliciter que PPO est la quatrième.</w:t>
            </w:r>
          </w:p>
        </w:tc>
        <w:tc>
          <w:tcPr>
            <w:tcW w:type="dxa" w:w="8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w:t>
            </w:r>
          </w:p>
        </w:tc>
      </w:tr>
      <w:tr>
        <w:trPr>
          <w:cantSplit/>
        </w:trPr>
        <w:tc>
          <w:tcPr>
            <w:tcW w:type="dxa" w:w="600"/>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m26</w:t>
            </w:r>
          </w:p>
        </w:tc>
        <w:tc>
          <w:tcPr>
            <w:tcW w:type="dxa" w:w="2300"/>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Commentaires du source</w:t>
            </w:r>
          </w:p>
        </w:tc>
        <w:tc>
          <w:tcPr>
            <w:tcW w:type="dxa" w:w="5938"/>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Retirer les commentaires LaTeX en anglais et la note « mise en forme reprise du tableau de Mme Ferchichi » (ligne 250).</w:t>
            </w:r>
          </w:p>
        </w:tc>
        <w:tc>
          <w:tcPr>
            <w:tcW w:type="dxa" w:w="800"/>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w:t>
            </w:r>
          </w:p>
        </w:tc>
      </w:tr>
      <w:tr>
        <w:trPr>
          <w:cantSplit/>
        </w:trPr>
        <w:tc>
          <w:tcPr>
            <w:tcW w:type="dxa" w:w="6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m27</w:t>
            </w:r>
          </w:p>
        </w:tc>
        <w:tc>
          <w:tcPr>
            <w:tcW w:type="dxa" w:w="23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Auteur correspondant</w:t>
            </w:r>
          </w:p>
        </w:tc>
        <w:tc>
          <w:tcPr>
            <w:tcW w:type="dxa" w:w="5938"/>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L'identifier explicitement.</w:t>
            </w:r>
          </w:p>
        </w:tc>
        <w:tc>
          <w:tcPr>
            <w:tcW w:type="dxa" w:w="8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w:t>
            </w:r>
          </w:p>
        </w:tc>
      </w:tr>
      <w:tr>
        <w:trPr>
          <w:cantSplit/>
        </w:trPr>
        <w:tc>
          <w:tcPr>
            <w:tcW w:type="dxa" w:w="600"/>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m28</w:t>
            </w:r>
          </w:p>
        </w:tc>
        <w:tc>
          <w:tcPr>
            <w:tcW w:type="dxa" w:w="2300"/>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Introduction</w:t>
            </w:r>
          </w:p>
        </w:tc>
        <w:tc>
          <w:tcPr>
            <w:tcW w:type="dxa" w:w="5938"/>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Réduire de 15 à 20 % les sous-sections 1.2 à 1.5 qui répètent le schéma problème → lacune → positionnement → contribution. (GPT)</w:t>
            </w:r>
          </w:p>
        </w:tc>
        <w:tc>
          <w:tcPr>
            <w:tcW w:type="dxa" w:w="800"/>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w:t>
            </w:r>
          </w:p>
        </w:tc>
      </w:tr>
    </w:tbl>
    <w:p>
      <w:pPr>
        <w:spacing w:after="120"/>
      </w:pPr>
    </w:p>
    <w:p>
      <w:pPr>
        <w:pStyle w:val="Heading2"/>
      </w:pPr>
      <w:r>
        <w:t xml:space="preserve">5.4 Fichier RL_references.bib</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4038"/>
      </w:tblGrid>
      <w:tr>
        <w:trPr>
          <w:tblHeader/>
        </w:trPr>
        <w:tc>
          <w:tcPr>
            <w:tcW w:type="dxa" w:w="2600"/>
            <w:tcBorders>
              <w:top w:val="single" w:color="BFC9D9" w:sz="4"/>
              <w:left w:val="single" w:color="BFC9D9" w:sz="4"/>
              <w:bottom w:val="single" w:color="BFC9D9" w:sz="4"/>
              <w:right w:val="single" w:color="BFC9D9" w:sz="4"/>
            </w:tcBorders>
            <w:shd w:fill="1F3864" w:color="auto" w:val="clear"/>
            <w:tcMar>
              <w:top w:type="dxa" w:w="70"/>
              <w:left w:type="dxa" w:w="110"/>
              <w:bottom w:type="dxa" w:w="70"/>
              <w:right w:type="dxa" w:w="110"/>
            </w:tcMar>
            <w:vAlign w:val="top"/>
          </w:tcPr>
          <w:p>
            <w:pPr>
              <w:keepNext w:val="false"/>
              <w:keepLines/>
              <w:spacing w:after="40" w:line="252"/>
              <w:jc w:val="left"/>
            </w:pPr>
            <w:r>
              <w:rPr>
                <w:b/>
                <w:bCs/>
                <w:color w:val="FFFFFF"/>
                <w:sz w:val="19"/>
                <w:szCs w:val="19"/>
              </w:rPr>
              <w:t xml:space="preserve">Entrée</w:t>
            </w:r>
          </w:p>
        </w:tc>
        <w:tc>
          <w:tcPr>
            <w:tcW w:type="dxa" w:w="3000"/>
            <w:tcBorders>
              <w:top w:val="single" w:color="BFC9D9" w:sz="4"/>
              <w:left w:val="single" w:color="BFC9D9" w:sz="4"/>
              <w:bottom w:val="single" w:color="BFC9D9" w:sz="4"/>
              <w:right w:val="single" w:color="BFC9D9" w:sz="4"/>
            </w:tcBorders>
            <w:shd w:fill="1F3864" w:color="auto" w:val="clear"/>
            <w:tcMar>
              <w:top w:type="dxa" w:w="70"/>
              <w:left w:type="dxa" w:w="110"/>
              <w:bottom w:type="dxa" w:w="70"/>
              <w:right w:type="dxa" w:w="110"/>
            </w:tcMar>
            <w:vAlign w:val="top"/>
          </w:tcPr>
          <w:p>
            <w:pPr>
              <w:keepNext w:val="false"/>
              <w:keepLines/>
              <w:spacing w:after="40" w:line="252"/>
              <w:jc w:val="left"/>
            </w:pPr>
            <w:r>
              <w:rPr>
                <w:b/>
                <w:bCs/>
                <w:color w:val="FFFFFF"/>
                <w:sz w:val="19"/>
                <w:szCs w:val="19"/>
              </w:rPr>
              <w:t xml:space="preserve">Problème</w:t>
            </w:r>
          </w:p>
        </w:tc>
        <w:tc>
          <w:tcPr>
            <w:tcW w:type="dxa" w:w="4038"/>
            <w:tcBorders>
              <w:top w:val="single" w:color="BFC9D9" w:sz="4"/>
              <w:left w:val="single" w:color="BFC9D9" w:sz="4"/>
              <w:bottom w:val="single" w:color="BFC9D9" w:sz="4"/>
              <w:right w:val="single" w:color="BFC9D9" w:sz="4"/>
            </w:tcBorders>
            <w:shd w:fill="1F3864" w:color="auto" w:val="clear"/>
            <w:tcMar>
              <w:top w:type="dxa" w:w="70"/>
              <w:left w:type="dxa" w:w="110"/>
              <w:bottom w:type="dxa" w:w="70"/>
              <w:right w:type="dxa" w:w="110"/>
            </w:tcMar>
            <w:vAlign w:val="top"/>
          </w:tcPr>
          <w:p>
            <w:pPr>
              <w:keepNext w:val="false"/>
              <w:keepLines/>
              <w:spacing w:after="40" w:line="252"/>
              <w:jc w:val="left"/>
            </w:pPr>
            <w:r>
              <w:rPr>
                <w:b/>
                <w:bCs/>
                <w:color w:val="FFFFFF"/>
                <w:sz w:val="19"/>
                <w:szCs w:val="19"/>
              </w:rPr>
              <w:t xml:space="preserve">Correction</w:t>
            </w:r>
          </w:p>
        </w:tc>
      </w:tr>
      <w:tr>
        <w:trPr>
          <w:cantSplit/>
        </w:trPr>
        <w:tc>
          <w:tcPr>
            <w:tcW w:type="dxa" w:w="26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Zeng2022</w:t>
            </w:r>
          </w:p>
        </w:tc>
        <w:tc>
          <w:tcPr>
            <w:tcW w:type="dxa" w:w="30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Le champ journal contient une affiliation.</w:t>
            </w:r>
          </w:p>
        </w:tc>
        <w:tc>
          <w:tcPr>
            <w:tcW w:type="dxa" w:w="4038"/>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journal = {Journal of the Southern African Institute of Mining and Metallurgy}, volume 122.</w:t>
            </w:r>
          </w:p>
        </w:tc>
      </w:tr>
      <w:tr>
        <w:trPr>
          <w:cantSplit/>
        </w:trPr>
        <w:tc>
          <w:tcPr>
            <w:tcW w:type="dxa" w:w="2600"/>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AmandaSmith2020</w:t>
            </w:r>
          </w:p>
        </w:tc>
        <w:tc>
          <w:tcPr>
            <w:tcW w:type="dxa" w:w="3000"/>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journal = {Springer} est faux.</w:t>
            </w:r>
          </w:p>
        </w:tc>
        <w:tc>
          <w:tcPr>
            <w:tcW w:type="dxa" w:w="4038"/>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Retrouver la revue réelle ; à défaut, citer la prépublication.</w:t>
            </w:r>
          </w:p>
        </w:tc>
      </w:tr>
      <w:tr>
        <w:trPr>
          <w:cantSplit/>
        </w:trPr>
        <w:tc>
          <w:tcPr>
            <w:tcW w:type="dxa" w:w="26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RichardSutton2018</w:t>
            </w:r>
          </w:p>
        </w:tc>
        <w:tc>
          <w:tcPr>
            <w:tcW w:type="dxa" w:w="30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journal = {MIT Press} dans un @book.</w:t>
            </w:r>
          </w:p>
        </w:tc>
        <w:tc>
          <w:tcPr>
            <w:tcW w:type="dxa" w:w="4038"/>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Remplacer par publisher = {MIT Press}, ajouter edition = {2}.</w:t>
            </w:r>
          </w:p>
        </w:tc>
      </w:tr>
      <w:tr>
        <w:trPr>
          <w:cantSplit/>
        </w:trPr>
        <w:tc>
          <w:tcPr>
            <w:tcW w:type="dxa" w:w="2600"/>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Subtil2011</w:t>
            </w:r>
          </w:p>
        </w:tc>
        <w:tc>
          <w:tcPr>
            <w:tcW w:type="dxa" w:w="3000"/>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Type @article pour un acte de conférence.</w:t>
            </w:r>
          </w:p>
        </w:tc>
        <w:tc>
          <w:tcPr>
            <w:tcW w:type="dxa" w:w="4038"/>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Passer en @inproceedings avec booktitle.</w:t>
            </w:r>
          </w:p>
        </w:tc>
      </w:tr>
      <w:tr>
        <w:trPr>
          <w:cantSplit/>
        </w:trPr>
        <w:tc>
          <w:tcPr>
            <w:tcW w:type="dxa" w:w="26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AlexandraNewman2010</w:t>
            </w:r>
          </w:p>
        </w:tc>
        <w:tc>
          <w:tcPr>
            <w:tcW w:type="dxa" w:w="30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 Andrés Weintraub Rodrigo Caro » : un « and » manque.</w:t>
            </w:r>
          </w:p>
        </w:tc>
        <w:tc>
          <w:tcPr>
            <w:tcW w:type="dxa" w:w="4038"/>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 Andrés Weintraub and Rodrigo Caro ».</w:t>
            </w:r>
          </w:p>
        </w:tc>
      </w:tr>
      <w:tr>
        <w:trPr>
          <w:cantSplit/>
        </w:trPr>
        <w:tc>
          <w:tcPr>
            <w:tcW w:type="dxa" w:w="2600"/>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Afrapoli2017</w:t>
            </w:r>
          </w:p>
        </w:tc>
        <w:tc>
          <w:tcPr>
            <w:tcW w:type="dxa" w:w="3000"/>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Nom de l'auteur.</w:t>
            </w:r>
          </w:p>
        </w:tc>
        <w:tc>
          <w:tcPr>
            <w:tcW w:type="dxa" w:w="4038"/>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 Moradi Afrapoli, A. » (vérifier aussi le volume).</w:t>
            </w:r>
          </w:p>
        </w:tc>
      </w:tr>
      <w:tr>
        <w:trPr>
          <w:cantSplit/>
        </w:trPr>
        <w:tc>
          <w:tcPr>
            <w:tcW w:type="dxa" w:w="26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MohammadrezaNazari2018</w:t>
            </w:r>
          </w:p>
        </w:tc>
        <w:tc>
          <w:tcPr>
            <w:tcW w:type="dxa" w:w="30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Encodage « Takáˇc » corrompu ; NeurIPS en @article.</w:t>
            </w:r>
          </w:p>
        </w:tc>
        <w:tc>
          <w:tcPr>
            <w:tcW w:type="dxa" w:w="4038"/>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 Tak{\'a}{\v{c}} » ; passer en @inproceedings.</w:t>
            </w:r>
          </w:p>
        </w:tc>
      </w:tr>
      <w:tr>
        <w:trPr>
          <w:cantSplit/>
        </w:trPr>
        <w:tc>
          <w:tcPr>
            <w:tcW w:type="dxa" w:w="2600"/>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CongZhang2020, MarkTowers2025</w:t>
            </w:r>
          </w:p>
        </w:tc>
        <w:tc>
          <w:tcPr>
            <w:tcW w:type="dxa" w:w="3000"/>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NeurIPS déclarés en @article.</w:t>
            </w:r>
          </w:p>
        </w:tc>
        <w:tc>
          <w:tcPr>
            <w:tcW w:type="dxa" w:w="4038"/>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Passer en @inproceedings.</w:t>
            </w:r>
          </w:p>
        </w:tc>
      </w:tr>
      <w:tr>
        <w:trPr>
          <w:cantSplit/>
        </w:trPr>
        <w:tc>
          <w:tcPr>
            <w:tcW w:type="dxa" w:w="26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Hazrathosseini2024, Banerjee2025, MoezKrichen2022, Zhao2025, deCarvalho2023, Pei2025, FranciscoRosales2025</w:t>
            </w:r>
          </w:p>
        </w:tc>
        <w:tc>
          <w:tcPr>
            <w:tcW w:type="dxa" w:w="30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Volume, pages, DOI ou identifiant arXiv manquants.</w:t>
            </w:r>
          </w:p>
        </w:tc>
        <w:tc>
          <w:tcPr>
            <w:tcW w:type="dxa" w:w="4038"/>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Compléter (Banerjee2025 : identifiant arXiv ; MoezKrichen2022 : type et éditeur).</w:t>
            </w:r>
          </w:p>
        </w:tc>
      </w:tr>
      <w:tr>
        <w:trPr>
          <w:cantSplit/>
        </w:trPr>
        <w:tc>
          <w:tcPr>
            <w:tcW w:type="dxa" w:w="2600"/>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MohanMunirathinam1994, Alarie2002, Souza2010, ChungTa2013</w:t>
            </w:r>
          </w:p>
        </w:tc>
        <w:tc>
          <w:tcPr>
            <w:tcW w:type="dxa" w:w="3000"/>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Volume, numéro ou pages incomplets.</w:t>
            </w:r>
          </w:p>
        </w:tc>
        <w:tc>
          <w:tcPr>
            <w:tcW w:type="dxa" w:w="4038"/>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Compléter à partir des pages éditeur.</w:t>
            </w:r>
          </w:p>
        </w:tc>
      </w:tr>
      <w:tr>
        <w:trPr>
          <w:cantSplit/>
        </w:trPr>
        <w:tc>
          <w:tcPr>
            <w:tcW w:type="dxa" w:w="26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Style</w:t>
            </w:r>
          </w:p>
        </w:tc>
        <w:tc>
          <w:tcPr>
            <w:tcW w:type="dxa" w:w="30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Style plain.</w:t>
            </w:r>
          </w:p>
        </w:tc>
        <w:tc>
          <w:tcPr>
            <w:tcW w:type="dxa" w:w="4038"/>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Utiliser le style de la revue cible (sn-jnl pour Springer).</w:t>
            </w:r>
          </w:p>
        </w:tc>
      </w:tr>
    </w:tbl>
    <w:p>
      <w:pPr>
        <w:pStyle w:val="Heading1"/>
        <w:pageBreakBefore/>
      </w:pPr>
      <w:r>
        <w:t xml:space="preserve">6. Plan de travail proposé</w:t>
      </w:r>
    </w:p>
    <w:p>
      <w:pPr>
        <w:spacing w:after="120" w:before="0" w:line="276"/>
        <w:jc w:val="both"/>
      </w:pPr>
      <w:r>
        <w:t xml:space="preserve">L'ordre compte : les phases 1 et 2 peuvent modifier des chiffres qui apparaissent partout dans le texte. Les durées sont indicatives.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4600"/>
        <w:gridCol w:w="1700"/>
        <w:gridCol w:w="1138"/>
      </w:tblGrid>
      <w:tr>
        <w:trPr>
          <w:tblHeader/>
        </w:trPr>
        <w:tc>
          <w:tcPr>
            <w:tcW w:type="dxa" w:w="2200"/>
            <w:tcBorders>
              <w:top w:val="single" w:color="BFC9D9" w:sz="4"/>
              <w:left w:val="single" w:color="BFC9D9" w:sz="4"/>
              <w:bottom w:val="single" w:color="BFC9D9" w:sz="4"/>
              <w:right w:val="single" w:color="BFC9D9" w:sz="4"/>
            </w:tcBorders>
            <w:shd w:fill="1F3864" w:color="auto" w:val="clear"/>
            <w:tcMar>
              <w:top w:type="dxa" w:w="70"/>
              <w:left w:type="dxa" w:w="110"/>
              <w:bottom w:type="dxa" w:w="70"/>
              <w:right w:type="dxa" w:w="110"/>
            </w:tcMar>
            <w:vAlign w:val="top"/>
          </w:tcPr>
          <w:p>
            <w:pPr>
              <w:keepNext w:val="false"/>
              <w:keepLines/>
              <w:spacing w:after="40" w:line="252"/>
              <w:jc w:val="left"/>
            </w:pPr>
            <w:r>
              <w:rPr>
                <w:b/>
                <w:bCs/>
                <w:color w:val="FFFFFF"/>
                <w:sz w:val="19"/>
                <w:szCs w:val="19"/>
              </w:rPr>
              <w:t xml:space="preserve">Phase</w:t>
            </w:r>
          </w:p>
        </w:tc>
        <w:tc>
          <w:tcPr>
            <w:tcW w:type="dxa" w:w="4600"/>
            <w:tcBorders>
              <w:top w:val="single" w:color="BFC9D9" w:sz="4"/>
              <w:left w:val="single" w:color="BFC9D9" w:sz="4"/>
              <w:bottom w:val="single" w:color="BFC9D9" w:sz="4"/>
              <w:right w:val="single" w:color="BFC9D9" w:sz="4"/>
            </w:tcBorders>
            <w:shd w:fill="1F3864" w:color="auto" w:val="clear"/>
            <w:tcMar>
              <w:top w:type="dxa" w:w="70"/>
              <w:left w:type="dxa" w:w="110"/>
              <w:bottom w:type="dxa" w:w="70"/>
              <w:right w:type="dxa" w:w="110"/>
            </w:tcMar>
            <w:vAlign w:val="top"/>
          </w:tcPr>
          <w:p>
            <w:pPr>
              <w:keepNext w:val="false"/>
              <w:keepLines/>
              <w:spacing w:after="40" w:line="252"/>
              <w:jc w:val="left"/>
            </w:pPr>
            <w:r>
              <w:rPr>
                <w:b/>
                <w:bCs/>
                <w:color w:val="FFFFFF"/>
                <w:sz w:val="19"/>
                <w:szCs w:val="19"/>
              </w:rPr>
              <w:t xml:space="preserve">Tâches</w:t>
            </w:r>
          </w:p>
        </w:tc>
        <w:tc>
          <w:tcPr>
            <w:tcW w:type="dxa" w:w="1700"/>
            <w:tcBorders>
              <w:top w:val="single" w:color="BFC9D9" w:sz="4"/>
              <w:left w:val="single" w:color="BFC9D9" w:sz="4"/>
              <w:bottom w:val="single" w:color="BFC9D9" w:sz="4"/>
              <w:right w:val="single" w:color="BFC9D9" w:sz="4"/>
            </w:tcBorders>
            <w:shd w:fill="1F3864" w:color="auto" w:val="clear"/>
            <w:tcMar>
              <w:top w:type="dxa" w:w="70"/>
              <w:left w:type="dxa" w:w="110"/>
              <w:bottom w:type="dxa" w:w="70"/>
              <w:right w:type="dxa" w:w="110"/>
            </w:tcMar>
            <w:vAlign w:val="top"/>
          </w:tcPr>
          <w:p>
            <w:pPr>
              <w:keepNext w:val="false"/>
              <w:keepLines/>
              <w:spacing w:after="40" w:line="252"/>
              <w:jc w:val="left"/>
            </w:pPr>
            <w:r>
              <w:rPr>
                <w:b/>
                <w:bCs/>
                <w:color w:val="FFFFFF"/>
                <w:sz w:val="19"/>
                <w:szCs w:val="19"/>
              </w:rPr>
              <w:t xml:space="preserve">Fiches</w:t>
            </w:r>
          </w:p>
        </w:tc>
        <w:tc>
          <w:tcPr>
            <w:tcW w:type="dxa" w:w="1138"/>
            <w:tcBorders>
              <w:top w:val="single" w:color="BFC9D9" w:sz="4"/>
              <w:left w:val="single" w:color="BFC9D9" w:sz="4"/>
              <w:bottom w:val="single" w:color="BFC9D9" w:sz="4"/>
              <w:right w:val="single" w:color="BFC9D9" w:sz="4"/>
            </w:tcBorders>
            <w:shd w:fill="1F3864" w:color="auto" w:val="clear"/>
            <w:tcMar>
              <w:top w:type="dxa" w:w="70"/>
              <w:left w:type="dxa" w:w="110"/>
              <w:bottom w:type="dxa" w:w="70"/>
              <w:right w:type="dxa" w:w="110"/>
            </w:tcMar>
            <w:vAlign w:val="top"/>
          </w:tcPr>
          <w:p>
            <w:pPr>
              <w:keepNext w:val="false"/>
              <w:keepLines/>
              <w:spacing w:after="40" w:line="252"/>
              <w:jc w:val="left"/>
            </w:pPr>
            <w:r>
              <w:rPr>
                <w:b/>
                <w:bCs/>
                <w:color w:val="FFFFFF"/>
                <w:sz w:val="19"/>
                <w:szCs w:val="19"/>
              </w:rPr>
              <w:t xml:space="preserve">Durée</w:t>
            </w:r>
          </w:p>
        </w:tc>
      </w:tr>
      <w:tr>
        <w:trPr>
          <w:cantSplit/>
        </w:trPr>
        <w:tc>
          <w:tcPr>
            <w:tcW w:type="dxa" w:w="22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1. Audit du code</w:t>
            </w:r>
          </w:p>
        </w:tc>
        <w:tc>
          <w:tcPr>
            <w:tcW w:type="dxa" w:w="46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Taille réelle de l'observation à N = 18 ; définition du temps d'attente et de l'utilisation ; unité statistique des tests ; nature des « ± » ; implémentation des flux aléatoires ; Q-table et états non visités.</w:t>
            </w:r>
          </w:p>
        </w:tc>
        <w:tc>
          <w:tcPr>
            <w:tcW w:type="dxa" w:w="17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M1, M2, M3, M4, M8</w:t>
            </w:r>
          </w:p>
        </w:tc>
        <w:tc>
          <w:tcPr>
            <w:tcW w:type="dxa" w:w="1138"/>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½ à 1 jour</w:t>
            </w:r>
          </w:p>
        </w:tc>
      </w:tr>
      <w:tr>
        <w:trPr>
          <w:cantSplit/>
        </w:trPr>
        <w:tc>
          <w:tcPr>
            <w:tcW w:type="dxa" w:w="2200"/>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2. Nouvelles expériences</w:t>
            </w:r>
          </w:p>
        </w:tc>
        <w:tc>
          <w:tcPr>
            <w:tcW w:type="dxa" w:w="4600"/>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5 graines d'entraînement pour PPO et DQN ; règle MTWT ou MSPR et politique par programme linéaire ; facteur d'appariement ; éventuellement 3 graines par valeur de w₄.</w:t>
            </w:r>
          </w:p>
        </w:tc>
        <w:tc>
          <w:tcPr>
            <w:tcW w:type="dxa" w:w="1700"/>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M7, M13, M15, M25</w:t>
            </w:r>
          </w:p>
        </w:tc>
        <w:tc>
          <w:tcPr>
            <w:tcW w:type="dxa" w:w="1138"/>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3 à 5 jours</w:t>
            </w:r>
          </w:p>
        </w:tc>
      </w:tr>
      <w:tr>
        <w:trPr>
          <w:cantSplit/>
        </w:trPr>
        <w:tc>
          <w:tcPr>
            <w:tcW w:type="dxa" w:w="22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3. Statistiques</w:t>
            </w:r>
          </w:p>
        </w:tc>
        <w:tc>
          <w:tcPr>
            <w:tcW w:type="dxa" w:w="46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Friedman, Wilcoxon signé-rang, Holm ; modèle mixte avec interaction politique × régime ; intervalles bootstrap appariés ; IQM ; productivité par camion ; tailles d'effet annoncées.</w:t>
            </w:r>
          </w:p>
        </w:tc>
        <w:tc>
          <w:tcPr>
            <w:tcW w:type="dxa" w:w="17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M3, M4, M5, M6, M15, M22</w:t>
            </w:r>
          </w:p>
        </w:tc>
        <w:tc>
          <w:tcPr>
            <w:tcW w:type="dxa" w:w="1138"/>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1 à 2 jours</w:t>
            </w:r>
          </w:p>
        </w:tc>
      </w:tr>
      <w:tr>
        <w:trPr>
          <w:cantSplit/>
        </w:trPr>
        <w:tc>
          <w:tcPr>
            <w:tcW w:type="dxa" w:w="2200"/>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4. Restructuration</w:t>
            </w:r>
          </w:p>
        </w:tc>
        <w:tc>
          <w:tcPr>
            <w:tcW w:type="dxa" w:w="4600"/>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Valider la nouvelle structure avec la directrice ; fusion §2.4, §3 et problématique ; processus markovien dans l'approche ; figure du cadre méthodologique ; renommer la section 5.</w:t>
            </w:r>
          </w:p>
        </w:tc>
        <w:tc>
          <w:tcPr>
            <w:tcW w:type="dxa" w:w="1700"/>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M23, M24</w:t>
            </w:r>
          </w:p>
        </w:tc>
        <w:tc>
          <w:tcPr>
            <w:tcW w:type="dxa" w:w="1138"/>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1 à 2 jours</w:t>
            </w:r>
          </w:p>
        </w:tc>
      </w:tr>
      <w:tr>
        <w:trPr>
          <w:cantSplit/>
        </w:trPr>
        <w:tc>
          <w:tcPr>
            <w:tcW w:type="dxa" w:w="22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5. Compléments méthodologiques</w:t>
            </w:r>
          </w:p>
        </w:tc>
        <w:tc>
          <w:tcPr>
            <w:tcW w:type="dxa" w:w="46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Formules de récompense ; paramètres du simulateur ; tableau de réglage ; entropie ; définition de la résilience ; justification semi-markovienne ; section calcul pour Cluster Computing.</w:t>
            </w:r>
          </w:p>
        </w:tc>
        <w:tc>
          <w:tcPr>
            <w:tcW w:type="dxa" w:w="17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M9 à M12, M16, M21, M28</w:t>
            </w:r>
          </w:p>
        </w:tc>
        <w:tc>
          <w:tcPr>
            <w:tcW w:type="dxa" w:w="1138"/>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1 à 2 jours</w:t>
            </w:r>
          </w:p>
        </w:tc>
      </w:tr>
      <w:tr>
        <w:trPr>
          <w:cantSplit/>
        </w:trPr>
        <w:tc>
          <w:tcPr>
            <w:tcW w:type="dxa" w:w="2200"/>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6. Réécriture des résultats et de la discussion</w:t>
            </w:r>
          </w:p>
        </w:tc>
        <w:tc>
          <w:tcPr>
            <w:tcW w:type="dxa" w:w="4600"/>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Aligner chaque phrase sur les nouveaux chiffres ; corriger les affirmations de M18 ; Pareto par scénario ; une seule mention du tampon de rejeu ; réduire durabilité et grandes flottes.</w:t>
            </w:r>
          </w:p>
        </w:tc>
        <w:tc>
          <w:tcPr>
            <w:tcW w:type="dxa" w:w="1700"/>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M14, M17 à M20, M26, M27</w:t>
            </w:r>
          </w:p>
        </w:tc>
        <w:tc>
          <w:tcPr>
            <w:tcW w:type="dxa" w:w="1138"/>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1 à 2 jours</w:t>
            </w:r>
          </w:p>
        </w:tc>
      </w:tr>
      <w:tr>
        <w:trPr>
          <w:cantSplit/>
        </w:trPr>
        <w:tc>
          <w:tcPr>
            <w:tcW w:type="dxa" w:w="22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7. Forme et bibliographie</w:t>
            </w:r>
          </w:p>
        </w:tc>
        <w:tc>
          <w:tcPr>
            <w:tcW w:type="dxa" w:w="46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Abstract, italiques, abréviations, noms de fichiers, figures en anglais, .bib, renvois croisés, nouvelles références.</w:t>
            </w:r>
          </w:p>
        </w:tc>
        <w:tc>
          <w:tcPr>
            <w:tcW w:type="dxa" w:w="17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m1 à m28, .bib</w:t>
            </w:r>
          </w:p>
        </w:tc>
        <w:tc>
          <w:tcPr>
            <w:tcW w:type="dxa" w:w="1138"/>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1 jour</w:t>
            </w:r>
          </w:p>
        </w:tc>
      </w:tr>
      <w:tr>
        <w:trPr>
          <w:cantSplit/>
        </w:trPr>
        <w:tc>
          <w:tcPr>
            <w:tcW w:type="dxa" w:w="2200"/>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8. Vérification finale</w:t>
            </w:r>
          </w:p>
        </w:tc>
        <w:tc>
          <w:tcPr>
            <w:tcW w:type="dxa" w:w="4600"/>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Compiler, relire le PDF, vérifier la longueur, synchroniser les versions française et anglaise, envoyer à la directrice.</w:t>
            </w:r>
          </w:p>
        </w:tc>
        <w:tc>
          <w:tcPr>
            <w:tcW w:type="dxa" w:w="1700"/>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Liste ci-dessous</w:t>
            </w:r>
          </w:p>
        </w:tc>
        <w:tc>
          <w:tcPr>
            <w:tcW w:type="dxa" w:w="1138"/>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½ jour</w:t>
            </w:r>
          </w:p>
        </w:tc>
      </w:tr>
    </w:tbl>
    <w:p>
      <w:pPr>
        <w:spacing w:after="120"/>
      </w:pPr>
    </w:p>
    <w:p>
      <w:pPr>
        <w:pStyle w:val="Heading2"/>
      </w:pPr>
      <w:r>
        <w:t xml:space="preserve">Liste de contrôle avant envoi à la directrice</w:t>
      </w:r>
    </w:p>
    <w:p>
      <w:pPr>
        <w:spacing w:after="60"/>
      </w:pPr>
      <w:r>
        <w:t xml:space="preserve">☐  Chaque chiffre de l'abstract et de la conclusion se retrouve à l'identique dans un tableau.</w:t>
      </w:r>
    </w:p>
    <w:p>
      <w:pPr>
        <w:spacing w:after="60"/>
      </w:pPr>
      <w:r>
        <w:t xml:space="preserve">☐  Le temps de cycle reconstitué (trajet + chargement + déversement + attente) est cohérent avec le nombre de cycles.</w:t>
      </w:r>
    </w:p>
    <w:p>
      <w:pPr>
        <w:spacing w:after="60"/>
      </w:pPr>
      <w:r>
        <w:t xml:space="preserve">☐  Toutes les valeurs p sont recalculées à partir d'une valeur par réplication, avec des tests appariés.</w:t>
      </w:r>
    </w:p>
    <w:p>
      <w:pPr>
        <w:spacing w:after="60"/>
      </w:pPr>
      <w:r>
        <w:t xml:space="preserve">☐  Le transfert à 18 camions est décrit précisément, ou le terme « zero-shot » est retiré pour la forte charge.</w:t>
      </w:r>
    </w:p>
    <w:p>
      <w:pPr>
        <w:spacing w:after="60"/>
      </w:pPr>
      <w:r>
        <w:t xml:space="preserve">☐  Aucune comparaison au niveau de l'algorithme sans plusieurs graines d'entraînement.</w:t>
      </w:r>
    </w:p>
    <w:p>
      <w:pPr>
        <w:spacing w:after="60"/>
      </w:pPr>
      <w:r>
        <w:t xml:space="preserve">☐  L'abstract fait 200 à 250 mots, sans abréviation, sans italique, sans trait d'union inutile.</w:t>
      </w:r>
    </w:p>
    <w:p>
      <w:pPr>
        <w:spacing w:after="60"/>
      </w:pPr>
      <w:r>
        <w:t xml:space="preserve">☐  Plus aucun \textit ni \emph dans le texte courant ; plus aucune image dont le nom contient un espace.</w:t>
      </w:r>
    </w:p>
    <w:p>
      <w:pPr>
        <w:spacing w:after="60"/>
      </w:pPr>
      <w:r>
        <w:t xml:space="preserve">☐  Aucun renvoi « ?? » dans le PDF compilé ; longueur ≤ 40 pages.</w:t>
      </w:r>
    </w:p>
    <w:p>
      <w:pPr>
        <w:spacing w:after="60"/>
      </w:pPr>
      <w:r>
        <w:t xml:space="preserve">☐  Les versions française et anglaise sont synchronisées.</w:t>
      </w:r>
    </w:p>
    <w:p>
      <w:pPr>
        <w:pStyle w:val="Heading1"/>
        <w:pageBreakBefore/>
      </w:pPr>
      <w:r>
        <w:t xml:space="preserve">Annexe A. Détail des calculs de vérification</w:t>
      </w:r>
    </w:p>
    <w:p>
      <w:pPr>
        <w:spacing w:after="120" w:before="0" w:line="276"/>
        <w:jc w:val="both"/>
      </w:pPr>
      <w:r>
        <w:t xml:space="preserve">Ces calculs reposent sur les valeurs publiées dans le manuscrit. Ils supposent que les « ± » sont des écarts-types sur 30 réplications ; si ce n'est pas le cas, c'est précisément ce qu'il faut clarifier.</w:t>
      </w:r>
    </w:p>
    <w:p>
      <w:pPr>
        <w:pStyle w:val="Heading2"/>
      </w:pPr>
      <w:r>
        <w:t xml:space="preserve">A.1 Temps de cycle et temps d'attente (M2)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3000"/>
        <w:gridCol w:w="2400"/>
        <w:gridCol w:w="1938"/>
      </w:tblGrid>
      <w:tr>
        <w:trPr>
          <w:tblHeader/>
        </w:trPr>
        <w:tc>
          <w:tcPr>
            <w:tcW w:type="dxa" w:w="2300"/>
            <w:tcBorders>
              <w:top w:val="single" w:color="BFC9D9" w:sz="4"/>
              <w:left w:val="single" w:color="BFC9D9" w:sz="4"/>
              <w:bottom w:val="single" w:color="BFC9D9" w:sz="4"/>
              <w:right w:val="single" w:color="BFC9D9" w:sz="4"/>
            </w:tcBorders>
            <w:shd w:fill="1F3864" w:color="auto" w:val="clear"/>
            <w:tcMar>
              <w:top w:type="dxa" w:w="70"/>
              <w:left w:type="dxa" w:w="110"/>
              <w:bottom w:type="dxa" w:w="70"/>
              <w:right w:type="dxa" w:w="110"/>
            </w:tcMar>
            <w:vAlign w:val="top"/>
          </w:tcPr>
          <w:p>
            <w:pPr>
              <w:keepNext w:val="false"/>
              <w:keepLines/>
              <w:spacing w:after="40" w:line="252"/>
              <w:jc w:val="left"/>
            </w:pPr>
            <w:r>
              <w:rPr>
                <w:b/>
                <w:bCs/>
                <w:color w:val="FFFFFF"/>
                <w:sz w:val="19"/>
                <w:szCs w:val="19"/>
              </w:rPr>
              <w:t xml:space="preserve">Cas</w:t>
            </w:r>
          </w:p>
        </w:tc>
        <w:tc>
          <w:tcPr>
            <w:tcW w:type="dxa" w:w="3000"/>
            <w:tcBorders>
              <w:top w:val="single" w:color="BFC9D9" w:sz="4"/>
              <w:left w:val="single" w:color="BFC9D9" w:sz="4"/>
              <w:bottom w:val="single" w:color="BFC9D9" w:sz="4"/>
              <w:right w:val="single" w:color="BFC9D9" w:sz="4"/>
            </w:tcBorders>
            <w:shd w:fill="1F3864" w:color="auto" w:val="clear"/>
            <w:tcMar>
              <w:top w:type="dxa" w:w="70"/>
              <w:left w:type="dxa" w:w="110"/>
              <w:bottom w:type="dxa" w:w="70"/>
              <w:right w:type="dxa" w:w="110"/>
            </w:tcMar>
            <w:vAlign w:val="top"/>
          </w:tcPr>
          <w:p>
            <w:pPr>
              <w:keepNext w:val="false"/>
              <w:keepLines/>
              <w:spacing w:after="40" w:line="252"/>
              <w:jc w:val="left"/>
            </w:pPr>
            <w:r>
              <w:rPr>
                <w:b/>
                <w:bCs/>
                <w:color w:val="FFFFFF"/>
                <w:sz w:val="19"/>
                <w:szCs w:val="19"/>
              </w:rPr>
              <w:t xml:space="preserve">Calcul</w:t>
            </w:r>
          </w:p>
        </w:tc>
        <w:tc>
          <w:tcPr>
            <w:tcW w:type="dxa" w:w="2400"/>
            <w:tcBorders>
              <w:top w:val="single" w:color="BFC9D9" w:sz="4"/>
              <w:left w:val="single" w:color="BFC9D9" w:sz="4"/>
              <w:bottom w:val="single" w:color="BFC9D9" w:sz="4"/>
              <w:right w:val="single" w:color="BFC9D9" w:sz="4"/>
            </w:tcBorders>
            <w:shd w:fill="1F3864" w:color="auto" w:val="clear"/>
            <w:tcMar>
              <w:top w:type="dxa" w:w="70"/>
              <w:left w:type="dxa" w:w="110"/>
              <w:bottom w:type="dxa" w:w="70"/>
              <w:right w:type="dxa" w:w="110"/>
            </w:tcMar>
            <w:vAlign w:val="top"/>
          </w:tcPr>
          <w:p>
            <w:pPr>
              <w:keepNext w:val="false"/>
              <w:keepLines/>
              <w:spacing w:after="40" w:line="252"/>
              <w:jc w:val="left"/>
            </w:pPr>
            <w:r>
              <w:rPr>
                <w:b/>
                <w:bCs/>
                <w:color w:val="FFFFFF"/>
                <w:sz w:val="19"/>
                <w:szCs w:val="19"/>
              </w:rPr>
              <w:t xml:space="preserve">Résultat</w:t>
            </w:r>
          </w:p>
        </w:tc>
        <w:tc>
          <w:tcPr>
            <w:tcW w:type="dxa" w:w="1938"/>
            <w:tcBorders>
              <w:top w:val="single" w:color="BFC9D9" w:sz="4"/>
              <w:left w:val="single" w:color="BFC9D9" w:sz="4"/>
              <w:bottom w:val="single" w:color="BFC9D9" w:sz="4"/>
              <w:right w:val="single" w:color="BFC9D9" w:sz="4"/>
            </w:tcBorders>
            <w:shd w:fill="1F3864" w:color="auto" w:val="clear"/>
            <w:tcMar>
              <w:top w:type="dxa" w:w="70"/>
              <w:left w:type="dxa" w:w="110"/>
              <w:bottom w:type="dxa" w:w="70"/>
              <w:right w:type="dxa" w:w="110"/>
            </w:tcMar>
            <w:vAlign w:val="top"/>
          </w:tcPr>
          <w:p>
            <w:pPr>
              <w:keepNext w:val="false"/>
              <w:keepLines/>
              <w:spacing w:after="40" w:line="252"/>
              <w:jc w:val="left"/>
            </w:pPr>
            <w:r>
              <w:rPr>
                <w:b/>
                <w:bCs/>
                <w:color w:val="FFFFFF"/>
                <w:sz w:val="19"/>
                <w:szCs w:val="19"/>
              </w:rPr>
              <w:t xml:space="preserve">Valeur rapportée</w:t>
            </w:r>
          </w:p>
        </w:tc>
      </w:tr>
      <w:tr>
        <w:trPr>
          <w:cantSplit/>
        </w:trPr>
        <w:tc>
          <w:tcPr>
            <w:tcW w:type="dxa" w:w="23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PPO, nominal</w:t>
            </w:r>
          </w:p>
        </w:tc>
        <w:tc>
          <w:tcPr>
            <w:tcW w:type="dxa" w:w="30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238,7 cycles × 140 t ÷ 8 h</w:t>
            </w:r>
          </w:p>
        </w:tc>
        <w:tc>
          <w:tcPr>
            <w:tcW w:type="dxa" w:w="24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4 177 t/h (cohérent)</w:t>
            </w:r>
          </w:p>
        </w:tc>
        <w:tc>
          <w:tcPr>
            <w:tcW w:type="dxa" w:w="1938"/>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4 176,7 t/h</w:t>
            </w:r>
          </w:p>
        </w:tc>
      </w:tr>
      <w:tr>
        <w:trPr>
          <w:cantSplit/>
        </w:trPr>
        <w:tc>
          <w:tcPr>
            <w:tcW w:type="dxa" w:w="2300"/>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PPO, nominal</w:t>
            </w:r>
          </w:p>
        </w:tc>
        <w:tc>
          <w:tcPr>
            <w:tcW w:type="dxa" w:w="3000"/>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238,7 cycles ÷ 12 camions ; 480 min ÷ 19,9</w:t>
            </w:r>
          </w:p>
        </w:tc>
        <w:tc>
          <w:tcPr>
            <w:tcW w:type="dxa" w:w="2400"/>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 19,9 cycles par camion ; cycle ≈ 24 min</w:t>
            </w:r>
          </w:p>
        </w:tc>
        <w:tc>
          <w:tcPr>
            <w:tcW w:type="dxa" w:w="1938"/>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Attente 33,5 min par cycle</w:t>
            </w:r>
          </w:p>
        </w:tc>
      </w:tr>
      <w:tr>
        <w:trPr>
          <w:cantSplit/>
        </w:trPr>
        <w:tc>
          <w:tcPr>
            <w:tcW w:type="dxa" w:w="23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Pelle la plus proche, forte charge</w:t>
            </w:r>
          </w:p>
        </w:tc>
        <w:tc>
          <w:tcPr>
            <w:tcW w:type="dxa" w:w="30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225,6 cycles ÷ 18 camions ; 480 ÷ 12,5</w:t>
            </w:r>
          </w:p>
        </w:tc>
        <w:tc>
          <w:tcPr>
            <w:tcW w:type="dxa" w:w="24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 12,5 cycles par camion ; cycle ≈ 38 min</w:t>
            </w:r>
          </w:p>
        </w:tc>
        <w:tc>
          <w:tcPr>
            <w:tcW w:type="dxa" w:w="1938"/>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Attente 199,6 min par cycle</w:t>
            </w:r>
          </w:p>
        </w:tc>
      </w:tr>
      <w:tr>
        <w:trPr>
          <w:cantSplit/>
        </w:trPr>
        <w:tc>
          <w:tcPr>
            <w:tcW w:type="dxa" w:w="2300"/>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Affectation fixe, nominal</w:t>
            </w:r>
          </w:p>
        </w:tc>
        <w:tc>
          <w:tcPr>
            <w:tcW w:type="dxa" w:w="3000"/>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Attente &gt; 29 min sur un cycle ≈ 24 min</w:t>
            </w:r>
          </w:p>
        </w:tc>
        <w:tc>
          <w:tcPr>
            <w:tcW w:type="dxa" w:w="2400"/>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Utilisation nécessairement faible</w:t>
            </w:r>
          </w:p>
        </w:tc>
        <w:tc>
          <w:tcPr>
            <w:tcW w:type="dxa" w:w="1938"/>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Utilisation 96,4 %</w:t>
            </w:r>
          </w:p>
        </w:tc>
      </w:tr>
    </w:tbl>
    <w:p>
      <w:pPr>
        <w:spacing w:after="120"/>
      </w:pPr>
    </w:p>
    <w:p>
      <w:pPr>
        <w:pStyle w:val="Heading2"/>
      </w:pPr>
      <w:r>
        <w:t xml:space="preserve">A.2 Valeurs p (M3)</w:t>
      </w:r>
    </w:p>
    <w:p>
      <w:pPr>
        <w:spacing w:after="120" w:before="0" w:line="276"/>
        <w:jc w:val="both"/>
      </w:pPr>
      <w:r>
        <w:t xml:space="preserve">Formule utilisée : erreur-type SE = √(s₁²/n + s₂²/n), t = différence ÷ SE, avec n = 30 par groupe (environ 50 degrés de liberté pour Welch).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2300"/>
        <w:gridCol w:w="900"/>
        <w:gridCol w:w="1700"/>
        <w:gridCol w:w="2138"/>
      </w:tblGrid>
      <w:tr>
        <w:trPr>
          <w:tblHeader/>
        </w:trPr>
        <w:tc>
          <w:tcPr>
            <w:tcW w:type="dxa" w:w="2600"/>
            <w:tcBorders>
              <w:top w:val="single" w:color="BFC9D9" w:sz="4"/>
              <w:left w:val="single" w:color="BFC9D9" w:sz="4"/>
              <w:bottom w:val="single" w:color="BFC9D9" w:sz="4"/>
              <w:right w:val="single" w:color="BFC9D9" w:sz="4"/>
            </w:tcBorders>
            <w:shd w:fill="1F3864" w:color="auto" w:val="clear"/>
            <w:tcMar>
              <w:top w:type="dxa" w:w="70"/>
              <w:left w:type="dxa" w:w="110"/>
              <w:bottom w:type="dxa" w:w="70"/>
              <w:right w:type="dxa" w:w="110"/>
            </w:tcMar>
            <w:vAlign w:val="top"/>
          </w:tcPr>
          <w:p>
            <w:pPr>
              <w:keepNext w:val="false"/>
              <w:keepLines/>
              <w:spacing w:after="40" w:line="252"/>
              <w:jc w:val="left"/>
            </w:pPr>
            <w:r>
              <w:rPr>
                <w:b/>
                <w:bCs/>
                <w:color w:val="FFFFFF"/>
                <w:sz w:val="19"/>
                <w:szCs w:val="19"/>
              </w:rPr>
              <w:t xml:space="preserve">Comparaison</w:t>
            </w:r>
          </w:p>
        </w:tc>
        <w:tc>
          <w:tcPr>
            <w:tcW w:type="dxa" w:w="2300"/>
            <w:tcBorders>
              <w:top w:val="single" w:color="BFC9D9" w:sz="4"/>
              <w:left w:val="single" w:color="BFC9D9" w:sz="4"/>
              <w:bottom w:val="single" w:color="BFC9D9" w:sz="4"/>
              <w:right w:val="single" w:color="BFC9D9" w:sz="4"/>
            </w:tcBorders>
            <w:shd w:fill="1F3864" w:color="auto" w:val="clear"/>
            <w:tcMar>
              <w:top w:type="dxa" w:w="70"/>
              <w:left w:type="dxa" w:w="110"/>
              <w:bottom w:type="dxa" w:w="70"/>
              <w:right w:type="dxa" w:w="110"/>
            </w:tcMar>
            <w:vAlign w:val="top"/>
          </w:tcPr>
          <w:p>
            <w:pPr>
              <w:keepNext w:val="false"/>
              <w:keepLines/>
              <w:spacing w:after="40" w:line="252"/>
              <w:jc w:val="left"/>
            </w:pPr>
            <w:r>
              <w:rPr>
                <w:b/>
                <w:bCs/>
                <w:color w:val="FFFFFF"/>
                <w:sz w:val="19"/>
                <w:szCs w:val="19"/>
              </w:rPr>
              <w:t xml:space="preserve">Données</w:t>
            </w:r>
          </w:p>
        </w:tc>
        <w:tc>
          <w:tcPr>
            <w:tcW w:type="dxa" w:w="900"/>
            <w:tcBorders>
              <w:top w:val="single" w:color="BFC9D9" w:sz="4"/>
              <w:left w:val="single" w:color="BFC9D9" w:sz="4"/>
              <w:bottom w:val="single" w:color="BFC9D9" w:sz="4"/>
              <w:right w:val="single" w:color="BFC9D9" w:sz="4"/>
            </w:tcBorders>
            <w:shd w:fill="1F3864" w:color="auto" w:val="clear"/>
            <w:tcMar>
              <w:top w:type="dxa" w:w="70"/>
              <w:left w:type="dxa" w:w="110"/>
              <w:bottom w:type="dxa" w:w="70"/>
              <w:right w:type="dxa" w:w="110"/>
            </w:tcMar>
            <w:vAlign w:val="top"/>
          </w:tcPr>
          <w:p>
            <w:pPr>
              <w:keepNext w:val="false"/>
              <w:keepLines/>
              <w:spacing w:after="40" w:line="252"/>
              <w:jc w:val="left"/>
            </w:pPr>
            <w:r>
              <w:rPr>
                <w:b/>
                <w:bCs/>
                <w:color w:val="FFFFFF"/>
                <w:sz w:val="19"/>
                <w:szCs w:val="19"/>
              </w:rPr>
              <w:t xml:space="preserve">t</w:t>
            </w:r>
          </w:p>
        </w:tc>
        <w:tc>
          <w:tcPr>
            <w:tcW w:type="dxa" w:w="1700"/>
            <w:tcBorders>
              <w:top w:val="single" w:color="BFC9D9" w:sz="4"/>
              <w:left w:val="single" w:color="BFC9D9" w:sz="4"/>
              <w:bottom w:val="single" w:color="BFC9D9" w:sz="4"/>
              <w:right w:val="single" w:color="BFC9D9" w:sz="4"/>
            </w:tcBorders>
            <w:shd w:fill="1F3864" w:color="auto" w:val="clear"/>
            <w:tcMar>
              <w:top w:type="dxa" w:w="70"/>
              <w:left w:type="dxa" w:w="110"/>
              <w:bottom w:type="dxa" w:w="70"/>
              <w:right w:type="dxa" w:w="110"/>
            </w:tcMar>
            <w:vAlign w:val="top"/>
          </w:tcPr>
          <w:p>
            <w:pPr>
              <w:keepNext w:val="false"/>
              <w:keepLines/>
              <w:spacing w:after="40" w:line="252"/>
              <w:jc w:val="left"/>
            </w:pPr>
            <w:r>
              <w:rPr>
                <w:b/>
                <w:bCs/>
                <w:color w:val="FFFFFF"/>
                <w:sz w:val="19"/>
                <w:szCs w:val="19"/>
              </w:rPr>
              <w:t xml:space="preserve">p attendu</w:t>
            </w:r>
          </w:p>
        </w:tc>
        <w:tc>
          <w:tcPr>
            <w:tcW w:type="dxa" w:w="2138"/>
            <w:tcBorders>
              <w:top w:val="single" w:color="BFC9D9" w:sz="4"/>
              <w:left w:val="single" w:color="BFC9D9" w:sz="4"/>
              <w:bottom w:val="single" w:color="BFC9D9" w:sz="4"/>
              <w:right w:val="single" w:color="BFC9D9" w:sz="4"/>
            </w:tcBorders>
            <w:shd w:fill="1F3864" w:color="auto" w:val="clear"/>
            <w:tcMar>
              <w:top w:type="dxa" w:w="70"/>
              <w:left w:type="dxa" w:w="110"/>
              <w:bottom w:type="dxa" w:w="70"/>
              <w:right w:type="dxa" w:w="110"/>
            </w:tcMar>
            <w:vAlign w:val="top"/>
          </w:tcPr>
          <w:p>
            <w:pPr>
              <w:keepNext w:val="false"/>
              <w:keepLines/>
              <w:spacing w:after="40" w:line="252"/>
              <w:jc w:val="left"/>
            </w:pPr>
            <w:r>
              <w:rPr>
                <w:b/>
                <w:bCs/>
                <w:color w:val="FFFFFF"/>
                <w:sz w:val="19"/>
                <w:szCs w:val="19"/>
              </w:rPr>
              <w:t xml:space="preserve">p rapporté</w:t>
            </w:r>
          </w:p>
        </w:tc>
      </w:tr>
      <w:tr>
        <w:trPr>
          <w:cantSplit/>
        </w:trPr>
        <w:tc>
          <w:tcPr>
            <w:tcW w:type="dxa" w:w="26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PPO vs Aff. fixe, nominal</w:t>
            </w:r>
          </w:p>
        </w:tc>
        <w:tc>
          <w:tcPr>
            <w:tcW w:type="dxa" w:w="23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Δ = 105 ; s = 64 et 43</w:t>
            </w:r>
          </w:p>
        </w:tc>
        <w:tc>
          <w:tcPr>
            <w:tcW w:type="dxa" w:w="9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 7,5</w:t>
            </w:r>
          </w:p>
        </w:tc>
        <w:tc>
          <w:tcPr>
            <w:tcW w:type="dxa" w:w="17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 10⁻⁹</w:t>
            </w:r>
          </w:p>
        </w:tc>
        <w:tc>
          <w:tcPr>
            <w:tcW w:type="dxa" w:w="2138"/>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4,0 × 10⁻¹⁸</w:t>
            </w:r>
          </w:p>
        </w:tc>
      </w:tr>
      <w:tr>
        <w:trPr>
          <w:cantSplit/>
        </w:trPr>
        <w:tc>
          <w:tcPr>
            <w:tcW w:type="dxa" w:w="2600"/>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Carburant, d = 3,5</w:t>
            </w:r>
          </w:p>
        </w:tc>
        <w:tc>
          <w:tcPr>
            <w:tcW w:type="dxa" w:w="2300"/>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t = d × √(n/2)</w:t>
            </w:r>
          </w:p>
        </w:tc>
        <w:tc>
          <w:tcPr>
            <w:tcW w:type="dxa" w:w="900"/>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 13,6</w:t>
            </w:r>
          </w:p>
        </w:tc>
        <w:tc>
          <w:tcPr>
            <w:tcW w:type="dxa" w:w="1700"/>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 10⁻¹⁹</w:t>
            </w:r>
          </w:p>
        </w:tc>
        <w:tc>
          <w:tcPr>
            <w:tcW w:type="dxa" w:w="2138"/>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3 × 10⁻⁴⁶</w:t>
            </w:r>
          </w:p>
        </w:tc>
      </w:tr>
      <w:tr>
        <w:trPr>
          <w:cantSplit/>
        </w:trPr>
        <w:tc>
          <w:tcPr>
            <w:tcW w:type="dxa" w:w="26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PPO vs Aff. fixe, fortes pannes</w:t>
            </w:r>
          </w:p>
        </w:tc>
        <w:tc>
          <w:tcPr>
            <w:tcW w:type="dxa" w:w="23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d = 1,065</w:t>
            </w:r>
          </w:p>
        </w:tc>
        <w:tc>
          <w:tcPr>
            <w:tcW w:type="dxa" w:w="9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 4,1</w:t>
            </w:r>
          </w:p>
        </w:tc>
        <w:tc>
          <w:tcPr>
            <w:tcW w:type="dxa" w:w="17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 10⁻⁴</w:t>
            </w:r>
          </w:p>
        </w:tc>
        <w:tc>
          <w:tcPr>
            <w:tcW w:type="dxa" w:w="2138"/>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2,7 × 10⁻⁸</w:t>
            </w:r>
          </w:p>
        </w:tc>
      </w:tr>
      <w:tr>
        <w:trPr>
          <w:cantSplit/>
        </w:trPr>
        <w:tc>
          <w:tcPr>
            <w:tcW w:type="dxa" w:w="2600"/>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DQN vs PPO, fortes pannes</w:t>
            </w:r>
          </w:p>
        </w:tc>
        <w:tc>
          <w:tcPr>
            <w:tcW w:type="dxa" w:w="2300"/>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d = 0,636</w:t>
            </w:r>
          </w:p>
        </w:tc>
        <w:tc>
          <w:tcPr>
            <w:tcW w:type="dxa" w:w="900"/>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 2,4</w:t>
            </w:r>
          </w:p>
        </w:tc>
        <w:tc>
          <w:tcPr>
            <w:tcW w:type="dxa" w:w="1700"/>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 0,02</w:t>
            </w:r>
          </w:p>
        </w:tc>
        <w:tc>
          <w:tcPr>
            <w:tcW w:type="dxa" w:w="2138"/>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5,4 × 10⁻⁴</w:t>
            </w:r>
          </w:p>
        </w:tc>
      </w:tr>
      <w:tr>
        <w:trPr>
          <w:cantSplit/>
        </w:trPr>
        <w:tc>
          <w:tcPr>
            <w:tcW w:type="dxa" w:w="26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IC de DQN vs Aff. fixe, nominal</w:t>
            </w:r>
          </w:p>
        </w:tc>
        <w:tc>
          <w:tcPr>
            <w:tcW w:type="dxa" w:w="23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demi-largeur Welch</w:t>
            </w:r>
          </w:p>
        </w:tc>
        <w:tc>
          <w:tcPr>
            <w:tcW w:type="dxa" w:w="9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s.o.</w:t>
            </w:r>
          </w:p>
        </w:tc>
        <w:tc>
          <w:tcPr>
            <w:tcW w:type="dxa" w:w="17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 29,6</w:t>
            </w:r>
          </w:p>
        </w:tc>
        <w:tc>
          <w:tcPr>
            <w:tcW w:type="dxa" w:w="2138"/>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 20,5</w:t>
            </w:r>
          </w:p>
        </w:tc>
      </w:tr>
    </w:tbl>
    <w:p>
      <w:pPr>
        <w:spacing w:after="120"/>
      </w:pPr>
    </w:p>
    <w:p>
      <w:pPr>
        <w:pStyle w:val="Heading2"/>
      </w:pPr>
      <w:r>
        <w:t xml:space="preserve">A.3 Productivité par camion (M15)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2600"/>
        <w:gridCol w:w="2038"/>
      </w:tblGrid>
      <w:tr>
        <w:trPr>
          <w:tblHeader/>
        </w:trPr>
        <w:tc>
          <w:tcPr>
            <w:tcW w:type="dxa" w:w="2600"/>
            <w:tcBorders>
              <w:top w:val="single" w:color="BFC9D9" w:sz="4"/>
              <w:left w:val="single" w:color="BFC9D9" w:sz="4"/>
              <w:bottom w:val="single" w:color="BFC9D9" w:sz="4"/>
              <w:right w:val="single" w:color="BFC9D9" w:sz="4"/>
            </w:tcBorders>
            <w:shd w:fill="1F3864" w:color="auto" w:val="clear"/>
            <w:tcMar>
              <w:top w:type="dxa" w:w="70"/>
              <w:left w:type="dxa" w:w="110"/>
              <w:bottom w:type="dxa" w:w="70"/>
              <w:right w:type="dxa" w:w="110"/>
            </w:tcMar>
            <w:vAlign w:val="top"/>
          </w:tcPr>
          <w:p>
            <w:pPr>
              <w:keepNext w:val="false"/>
              <w:keepLines/>
              <w:spacing w:after="40" w:line="252"/>
              <w:jc w:val="left"/>
            </w:pPr>
            <w:r>
              <w:rPr>
                <w:b/>
                <w:bCs/>
                <w:color w:val="FFFFFF"/>
                <w:sz w:val="19"/>
                <w:szCs w:val="19"/>
              </w:rPr>
              <w:t xml:space="preserve">Politique</w:t>
            </w:r>
          </w:p>
        </w:tc>
        <w:tc>
          <w:tcPr>
            <w:tcW w:type="dxa" w:w="2400"/>
            <w:tcBorders>
              <w:top w:val="single" w:color="BFC9D9" w:sz="4"/>
              <w:left w:val="single" w:color="BFC9D9" w:sz="4"/>
              <w:bottom w:val="single" w:color="BFC9D9" w:sz="4"/>
              <w:right w:val="single" w:color="BFC9D9" w:sz="4"/>
            </w:tcBorders>
            <w:shd w:fill="1F3864" w:color="auto" w:val="clear"/>
            <w:tcMar>
              <w:top w:type="dxa" w:w="70"/>
              <w:left w:type="dxa" w:w="110"/>
              <w:bottom w:type="dxa" w:w="70"/>
              <w:right w:type="dxa" w:w="110"/>
            </w:tcMar>
            <w:vAlign w:val="top"/>
          </w:tcPr>
          <w:p>
            <w:pPr>
              <w:keepNext w:val="false"/>
              <w:keepLines/>
              <w:spacing w:after="40" w:line="252"/>
              <w:jc w:val="left"/>
            </w:pPr>
            <w:r>
              <w:rPr>
                <w:b/>
                <w:bCs/>
                <w:color w:val="FFFFFF"/>
                <w:sz w:val="19"/>
                <w:szCs w:val="19"/>
              </w:rPr>
              <w:t xml:space="preserve">Nominal (12 camions)</w:t>
            </w:r>
          </w:p>
        </w:tc>
        <w:tc>
          <w:tcPr>
            <w:tcW w:type="dxa" w:w="2600"/>
            <w:tcBorders>
              <w:top w:val="single" w:color="BFC9D9" w:sz="4"/>
              <w:left w:val="single" w:color="BFC9D9" w:sz="4"/>
              <w:bottom w:val="single" w:color="BFC9D9" w:sz="4"/>
              <w:right w:val="single" w:color="BFC9D9" w:sz="4"/>
            </w:tcBorders>
            <w:shd w:fill="1F3864" w:color="auto" w:val="clear"/>
            <w:tcMar>
              <w:top w:type="dxa" w:w="70"/>
              <w:left w:type="dxa" w:w="110"/>
              <w:bottom w:type="dxa" w:w="70"/>
              <w:right w:type="dxa" w:w="110"/>
            </w:tcMar>
            <w:vAlign w:val="top"/>
          </w:tcPr>
          <w:p>
            <w:pPr>
              <w:keepNext w:val="false"/>
              <w:keepLines/>
              <w:spacing w:after="40" w:line="252"/>
              <w:jc w:val="left"/>
            </w:pPr>
            <w:r>
              <w:rPr>
                <w:b/>
                <w:bCs/>
                <w:color w:val="FFFFFF"/>
                <w:sz w:val="19"/>
                <w:szCs w:val="19"/>
              </w:rPr>
              <w:t xml:space="preserve">Forte charge (18 camions)</w:t>
            </w:r>
          </w:p>
        </w:tc>
        <w:tc>
          <w:tcPr>
            <w:tcW w:type="dxa" w:w="2038"/>
            <w:tcBorders>
              <w:top w:val="single" w:color="BFC9D9" w:sz="4"/>
              <w:left w:val="single" w:color="BFC9D9" w:sz="4"/>
              <w:bottom w:val="single" w:color="BFC9D9" w:sz="4"/>
              <w:right w:val="single" w:color="BFC9D9" w:sz="4"/>
            </w:tcBorders>
            <w:shd w:fill="1F3864" w:color="auto" w:val="clear"/>
            <w:tcMar>
              <w:top w:type="dxa" w:w="70"/>
              <w:left w:type="dxa" w:w="110"/>
              <w:bottom w:type="dxa" w:w="70"/>
              <w:right w:type="dxa" w:w="110"/>
            </w:tcMar>
            <w:vAlign w:val="top"/>
          </w:tcPr>
          <w:p>
            <w:pPr>
              <w:keepNext w:val="false"/>
              <w:keepLines/>
              <w:spacing w:after="40" w:line="252"/>
              <w:jc w:val="left"/>
            </w:pPr>
            <w:r>
              <w:rPr>
                <w:b/>
                <w:bCs/>
                <w:color w:val="FFFFFF"/>
                <w:sz w:val="19"/>
                <w:szCs w:val="19"/>
              </w:rPr>
              <w:t xml:space="preserve">Variation</w:t>
            </w:r>
          </w:p>
        </w:tc>
      </w:tr>
      <w:tr>
        <w:trPr>
          <w:cantSplit/>
        </w:trPr>
        <w:tc>
          <w:tcPr>
            <w:tcW w:type="dxa" w:w="26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Affectation fixe</w:t>
            </w:r>
          </w:p>
        </w:tc>
        <w:tc>
          <w:tcPr>
            <w:tcW w:type="dxa" w:w="24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 339 t/h/camion</w:t>
            </w:r>
          </w:p>
        </w:tc>
        <w:tc>
          <w:tcPr>
            <w:tcW w:type="dxa" w:w="26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 326 t/h/camion</w:t>
            </w:r>
          </w:p>
        </w:tc>
        <w:tc>
          <w:tcPr>
            <w:tcW w:type="dxa" w:w="2038"/>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 −4 %</w:t>
            </w:r>
          </w:p>
        </w:tc>
      </w:tr>
      <w:tr>
        <w:trPr>
          <w:cantSplit/>
        </w:trPr>
        <w:tc>
          <w:tcPr>
            <w:tcW w:type="dxa" w:w="2600"/>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PPO</w:t>
            </w:r>
          </w:p>
        </w:tc>
        <w:tc>
          <w:tcPr>
            <w:tcW w:type="dxa" w:w="2400"/>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 348 t/h/camion</w:t>
            </w:r>
          </w:p>
        </w:tc>
        <w:tc>
          <w:tcPr>
            <w:tcW w:type="dxa" w:w="2600"/>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 286 t/h/camion</w:t>
            </w:r>
          </w:p>
        </w:tc>
        <w:tc>
          <w:tcPr>
            <w:tcW w:type="dxa" w:w="2038"/>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 −18 %</w:t>
            </w:r>
          </w:p>
        </w:tc>
      </w:tr>
    </w:tbl>
    <w:p>
      <w:pPr>
        <w:spacing w:after="120"/>
      </w:pPr>
    </w:p>
    <w:p>
      <w:pPr>
        <w:pStyle w:val="Heading2"/>
      </w:pPr>
      <w:r>
        <w:t xml:space="preserve">A.4 Économie de carburant (M18)</w:t>
      </w:r>
    </w:p>
    <w:p>
      <w:pPr>
        <w:spacing w:after="120" w:before="0" w:line="276"/>
        <w:jc w:val="both"/>
      </w:pPr>
      <w:r>
        <w:t xml:space="preserve">Écart de consommation spécifique : 0,0023 L/t. Pour 1 000 t : 0,0023 × 1 000 = 2,3 L, et non 53 L.</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Rapport de relecture — Beyond Static Dispatching Heuristics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2E5597"/>
      <w:sz w:val="26"/>
      <w:szCs w:val="26"/>
    </w:rPr>
  </w:style>
  <w:style w:type="paragraph" w:styleId="Heading3">
    <w:name w:val="Heading 3"/>
    <w:basedOn w:val="Normal"/>
    <w:next w:val="Normal"/>
    <w:qFormat/>
    <w:pPr>
      <w:spacing w:after="80" w:before="180"/>
      <w:outlineLvl w:val="2"/>
    </w:pPr>
    <w:rPr>
      <w:rFonts w:ascii="Calibri" w:cs="Calibri" w:eastAsia="Calibri" w:hAnsi="Calibri"/>
      <w:b/>
      <w:bCs/>
      <w:color w:val="595959"/>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de relecture et plan de correction</dc:title>
  <dc:creator>Claude</dc:creator>
  <cp:lastModifiedBy>Un-named</cp:lastModifiedBy>
  <cp:revision>1</cp:revision>
  <dcterms:created xsi:type="dcterms:W3CDTF">2026-10-07T09:19:46.196Z</dcterms:created>
  <dcterms:modified xsi:type="dcterms:W3CDTF">2026-10-07T09:19:46.197Z</dcterms:modified>
</cp:coreProperties>
</file>

<file path=docProps/custom.xml><?xml version="1.0" encoding="utf-8"?>
<Properties xmlns="http://schemas.openxmlformats.org/officeDocument/2006/custom-properties" xmlns:vt="http://schemas.openxmlformats.org/officeDocument/2006/docPropsVTypes"/>
</file>