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Area: Mr XXX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 Teachers: Mr XXX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Examination Board: OCR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Specification: J277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 information:All pupils will sit two examinations and complete a practical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programming task.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you will study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you will be assessed:Component 1: Computer systems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component introduces pupils to the central processing unit (CPU),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computer memory and storage, data representation, wired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wireless networks, network topologies, system security and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software. It also looks at ethical, legal, cultural and environmental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concerns associated with computer science. Assessed by a written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examination.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2: Computational thinking, algorithms,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Pupils apply knowledge and understanding gained in component 01.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They develop skills and understanding in computational thinking: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algorithms, programming techniques, producing robust programs,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computational logic and translators. Assessed by a written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examination.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Practical 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Pupils are given the opportunity to undertake a programming task(s)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during their course of study which allows them to develop their skills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design, write, test and refine programs using a high-level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programming language. Pupils will be assessed on these skills during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written examinations, in particular component 02.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Parental support:All resources will be available on Google Classroom.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will include lesson resources, revision materials and help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sheets/videos.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