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Systems Architecture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Memory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Storage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Wired and wireless networks Network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topologies, protocols and layers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System security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System software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Ethical, legal, cultural and environmental concerns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Examination: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hour and 30 mins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(no calculators)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50% of the GCSE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Computational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thinking, algorithms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programming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Algorithms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Programming techniques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Producing robust programs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Computational logic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Translators and facilities of languages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Data representation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Examination: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hour and 30 mins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(no calculators)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50% of the GCSE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Progra• Programming techniques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Analysis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Design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Development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Testing and evaluation and conclusions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Non-Examined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(NEA):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 hours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qualification will build on the knowledge, understanding and skills established through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Computer Science elements of the Key Stage 3 programme of study. The content has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been designed not only to allow for a solid basis of understanding but to engage learners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get them thinking about real world application.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Who is this course suitable for?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course is suitable for young people who want to investigate how computers work,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they are used. You are most likely to enjoy the subject if you have an interest in how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computers work, you are a logical thinker; you enjoy problem solving and have good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mathematical skills.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Post 16 opportunities and Careers: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Students can progress from this qualification to: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Further studies, for example AS and A-levels.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Employment, where further training may be available.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Computer programming and software development.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Apprenticeship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Subject leader: Mr XXX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