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“Technology is not an event. It is just part of everyday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understand that everyone’s technical experiences and interests vary whilst in transition of KS3 and as well as the level of understanding in year 9. With this in mind, we ensure that every student having made a choice to do Computer Science at KS4 is then supported fully with the intention of being technically confident and independent by the end of GSCE. You will be developing a deeper understanding of computational thinking concepts, tools and practices. We will give you real life challenges (projects) to help advance your knowledge and computer programming skills using Python. You will cover in depth some theory of computer architecture, computer networks, software development, logic and data representation.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Technology is everywhere and is almost a guarantee use within our everyday lives. We appreciate not every student will have access to a computer at home, therefore lessons also focus on other tech devices such as consoles, tablets and smart phones. It enables students to have a greater understanding if technology outside of the classroom. The computer suites are available most lunch times and after school for students to use. We also suggest online courses and interactive websites students can use outside of lessons to help challenge them even further.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