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title of this course?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 Computer Science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50% of your final mark will be based on an exam that looks at computational thinking, algorithms and programming techniques. 50% of your final mark will be based on an exam that looks at the theoretical aspects of Computer Science.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level of qualification will I gain at the end of the course?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GCSE Level 1-9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are the main topics I will be taught?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course is a mixture of Computer Science theory and practical programming and computational thinking. During the course of Years 10 and 11 students will study, the fundamentals of algorithms; computational thinking and programming techniques; aspects of software development; data representation; computer systems, computer networks, cyber security; ethical legal and environmental impacts of digital technology on wider society, including issues of privacy.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are the possible progression routes once I have this qualification?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majority of all new jobs are created out of developing technologies. As such, Computer Science is hugely relevant to a wide range of career paths. Students might typically progress to A-Level Computer Science or a wide range of vocational computing and ICT courses at level 3. Careers may include: Programmer, Games Developer, Application Developer, Web Designer, Database Administrator, Network Manager, Data Scientist, Cyber Security Analyst.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type of learning activities will I undertake?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course offers you the opportunity to focus on developing higher-level problem solving skills and to complete a wide range of practical programming tasks based on real-world scenarios. You will also learn how data is stored and represented in computers and how different computer systems operate.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