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Why choose OCR GCSE Computer Science?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• This course gives students a real, in-depth understanding of how computer technology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works. It will give them an insight into what goes on ‘behind the scenes’, including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computer programming, which many students find absorbing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• It’s a great way to develop critical thinking, analysis and problem-solving skills, which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can be transferred to further learning, the workplace and everyday life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• Students who want to go on to higher study and employment in the field of commercial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information technology will find it provides a superb stepping stone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Through this course students will: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• Develop their understanding of current and emerging technologies and how they work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• Look at the use of algorithms in computer programmes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• Become independent and discerning users of IT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• Acquire and apply creative and technical skills, knowledge and understanding of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Computing in a range of contexts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• Develop computer programmes to solve problems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• Evaluate the effectiveness of computer programmes/solutions and the impact of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computer technology in society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These skills will be the best preparation for learners who want to go on to study Computer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Science A Level and beyond. The qualification will also provide a good grounding for other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subject areas that require computational thinking and analytical skills.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Component 01 -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Computer systems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(1 hour 30 minutes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examination)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50%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J277/01: Computer systems This component will assess: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• 1.1 Systems architecture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• 1.2 Memory and storage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• 1.3 Computer networks, connections and protocols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• 1.4 Network security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• 1.5 Systems software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• 1.6 Ethical, legal, cultural and environmental impacts of digital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technology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Component 02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(1 hour 30 minutes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examination)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50%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J277/02: Computational thinking, algorithms and programming This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component will assess: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• 2.1 Algorithms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• 2.2 Programming fundamentals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• 2.3 Producing robust programs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• 2.4 Boolean logic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• 2.5 Programming languages and Integrated Development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Environments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