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today’s technological society ICT and Computing skills are an essential part of everyday life at home and 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world of business. At Upper Batley High School we intend to equip learners with a range of creative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media skills and provide opportunities to develop, transferable skills such as research, planning, and review,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working with others and communicating effectively. Through the use of these skills, learners will ultimately be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creating fit-for-purpose creative media products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Outline of Course Content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Learners will study one of the following Computing qualifications: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GCSE Computer Science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course gives learners a real, in-depth understanding of how computer technology works. It offers an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insight into what goes on ‘behind the scenes’, including computer programming. This qualification 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assessed through 2 exams at the end of Year 11, each worth 50%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Through this qualification learners will: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Develop an understanding and be able to apply the fundamental principles and concepts of Computer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Science, including abstraction, decomposition, logic, algorithms, and data representation.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Analyse problems in computational terms through practical experience of solving such problems,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including designing, writing and debugging programs.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Think creatively, innovatively, analytically, logically and critically.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Develop an understanding of the impacts of digital technology to the individual and to wider society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BTEC Creative iMedia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Creative iMedia course provides learners with the opportunity to develop creative and digital media skills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which have become an essential part of everyday life. Learners will use research, planning, designing and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reviewing skills to develop creative media products for a given purpose. The course is 75% internally assessed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via three separate exam board set scenarios which take up approximately 30 hours in total and an externally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assessed 1 hour and 15 minute written examination worth 25% of the overall grade.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Extracurricular and Enrichment Opportunities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Learners can enhance their learning and access all resources/materials via Google Classroom. They also have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opportunity to further their learning through after school coaching sessions. Gaming club and homework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activity support is available to all learners at lunch time. After school programming sessions are delivered by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