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carefully planned course gives students a real, in depth understanding of how computer technology works. It offers an insight into what goes on ‘behind the scenes’, including computer programming, which many students find absorbing.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will: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develop an understanding of current and emerging technologies and how they 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look at the use of algorithms in computer programs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become independent and discerning users of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acquire and apply creative and technical skills, knowledge and understanding of IT in a range of contexts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develop computer programs to solve problems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evaluate the effectiveness of computer programs/solutions and the impact of computer technology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society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Who should I talk to? Mr Dhaled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Previous results: 2020-21: 17.9% 9-7; 57.1% 9-5; 89.3% 9-4 2019-20: 17.6% 9-7; 64.7% 9-5; 82.4% 9-4 2018-19: 5.3% 9-7; 47.4% 9-5; 78.9% 9-4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Post-16 Opportunities: Candidates who are awarded Grades 9 to 5 at GCSE would be well prepared for study at Level 3 within the National Qualifications Framework (A levels or their vocational equivalents).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Beyond Level 3 qualifications, students can complete undergraduate programmes, such as BSc degrees in Computing or Computer Science.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Careers: Programmer, software engineer Systems analyst, consultant Computer sales support Database analyst/designer Computer help desk/user support Network administrator Internet of Everything Cloud Computing Forensic computing/computer security Computer Games Computing researcher Business Intelligence Technical author Cybersecurity Big Data Analyst/programmer Systems designer Systems engineer Patent work IT Sales and Marketing Computer manager/data processing manager Artificial Intelligence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