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OCR GCSE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offer the latest GCSE Computer Science specification incorporating new improvements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the specification. This course builds on the Third Form curriculum, where computer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programming and robotics were introduced, alongside ICT skills.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aims of this course are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Give a real, in-depth understanding of how computer technology works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Provide excellent preparation for higher study and employment in Computer Science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Develop critical thinking, analysis and practical problem-solving skills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course is not about using Microsoft Office; it is about understanding the principles 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Computer Science. It is a challenging, engaging and focused course.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OCR Computer Science course structure: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Unit 1: Computer systems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will learn about the important components that make up a computer system. You will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discover how these parts work together under software control. You will study how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computers deal with different types of data including an understanding of binary numbers. You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will learn about different types of computer networks and how the Internet works. You will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look at threats to computer security and how to guard against those threats. We will discuss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ethical and legal issues that arise from the use of computers.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Written paper - 1 hour 30 minutes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80 marks (50% of the final grade)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Unit 2: Computational thinking, algorithms and programming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will learn how to define and solve problems using computational methods. You will learn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techniques to write your own algorithms and you will study a variety of standard algorithms.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will study the way programming languages work and you will turn your algorithms into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working code. You will learn how to test and refine your code. This unit also includes the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study of Boolean logic and the logic circuits that are fundamental to the operation of digital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computers.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Written paper - 1 hour 30 minutes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80 marks (50% of the final grade)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Practical Programming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will develop practical skills to design, write, test and refine programs using a high-level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programming language. Programming is a creative process where there are many solutions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given problem. Once you have a basic ‘toolkit’ of techniques you will have the power 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all sorts of possibilities.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you are fascinated by how computers work and want to learn how to program, then this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course is for you.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