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Year8 into 9 options -CS &amp; IT - Watch 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EXAMINING BODY: OCR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EXAMINATION REQUIREMENTS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Examination 100% of total qualification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Paper 1: Computer systems 50%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Paper 2: Computational thinking, algorithms and programming 50%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COURSE DESCRIPTION AND AIMS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 of Computer systems (J277/01)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component will introduce you to the fundamental aspects of Computer Science - how the central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processing unit (CPU), memory and storage work together to form a functioning computer. The internet and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it works through wired and wireless networks and the protocols associated with it. The unit also covers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system security and system software along with the ethical, legal, cultural and environmental concerns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associated with digital devices.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Content of Computational thinking, algorithms and programming (J277/02)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this component you will be introduced to computational thinking - a form of logical problem approach and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problem solving which is key to solving problems through programming.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algorithms you will learn some of the standard sorting and searching algorithms (such as bubble sort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binary search) at a conceptual level and be taught how to create flow-charts and pseudocode in order 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your own algorithms.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You will be taught about how all data on a computer is stored as binary digits (1’s and 0’s) and how from this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can create images, sound, motion and everything else that digital devices are able to represent.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 will also be introduced to the fundamental programming techniques (sequence, selection, iteration) and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procedural programming and be given programming tasks to complete throughout the course.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topics covered will be: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· Algorithms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· Programming fundamentals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· Producing robust programs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· Boolean logic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· Programming languages and Integrated Development Environments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PROGRESSION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This qualification supports progress to further study, including A Levels, BTECs and Diplomas in Computing,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Computer Science, IT and related subjects, and on to degree level in the areas of computing, engineering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and science.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 progress to A Level Computer Science, you will be required to obtain at least a grade 6 at GCSE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Computer Science. (with evidence of confident programming in Python) and a grade 6 in Maths.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