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 of Faculty: Mrs T Foster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Examination Board: OCR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Computer Science GCSE will help you to gain an understanding of key computing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concepts and the fundamentals of programming, such as computer structures,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networking, Python programming skills and application testing. You will develop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creativity, logical thinking, independent learning and self-evaluation.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will I learn on this course?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GCSE in Computer Science is engaging and practical, encouraging creativity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problem solving. Students develop their understanding and application of the core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concepts in Computer Science. Students also analyse problems in computational terms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devise creative solutions by designing, writing, testing and evaluating programs.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Computer Science will encourage students to: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Understand and apply the fundament principles and concept of Computer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Science, including abstraction, decomposition, logic, algorithms and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representation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Analyse problems in computational terms through practical experience of solving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such problems, including designing, writing and debugging programs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Think creatively, innovatively, analytically, logically and critically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Understand the components that make up digital systems, and how they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communicate with one another and with other systems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Understand the impacts of digital technology to the individual and to wider society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Apply mathematics skills relevant to Computer Science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are the mandatory modules or units - what will I have to study?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Component 1: Computer systems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Introduces students to the central processing unit (CPU), computer memory and storage,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data representation, wired and wireless networks, network topologies, system security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system software. It also looks at ethical, legal, cultural and environmental concerns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associated with computer science. 1 hour 30 minutes, 50% of GCSE.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Component 2: Computational thinking, algorithms and programming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Students apply knowledge and understanding gained in component 1. They develop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skills and understanding in computational thinking: algorithms, programming techniques,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producing robust programs, computational logic and translators. 1 hour 30 minutes, 50%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of GCSE.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