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Computer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demanding AQA course is aimed at students who have an interest in a career in computing, engineering or science. Students need to have a keen interest in problem solving and programming and have attained at least a grade 4- in both Mathematics and Computing by February half term in order to be considered for this course.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By studying this course, you will: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an understanding of current and emerging technologies;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acquire a knowledge of algorithms in programming and programming skills;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informed decisions about the use of Computing devices;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about Cyber Security and the issues involved in keeping data and computer systems secure.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course has two components: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‘Computational Thinking and Programming’ assessed through a written paper.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(50% of the GCSE grade).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‘Computing Concepts’ assessed through a written paper.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(50% of the GCSE grade).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Post 16 Progression: This course will allow progression to courses such as A-level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Computer Science. This in turn can lead to a range of careers such as games developer, systems analyst and web developer.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Contact: Mr Mulford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