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ICT/Computer Science Key Stage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can students do to develop their skills in this subject area?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 could extend understanding through reading texts such as Computer Weekly.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Students could download free creative packages such as GIMP and Inkscape to help them develop their bitmap and vector images skills.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Download 'python' and other programs to help develop programming and understand logic.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Investigate apps to support learning – for example appshed which is a free subscription.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Investigate and use Java script.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wider reading can be completed to support the curriculum?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Beginning Java – Ivan Horton.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Teach Yourself Java – Roger Cadenhead.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Python Programming for Absolute Beginners – Michael Dawson.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websites could students visit to support the curriculum?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www.computerweekly.com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www.youtube.com - (programming tutorials).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www.codeschool.com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www.udacity.com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Can television assist with supporting the curriculum?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Students could watch BBC Click Gadget show www.bbc.co.uk/programmes for interesting insights into advancement in technology.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How can parents/carers help and what can be done at home?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Encourage your son or daughter to teach you or a sibling/other relative the skills they have learnt in the Academy (even if you think you know how to do the skill already).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Encourage your son or daughter to learn to touch-type; there are many free programs and apps available.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Discuss the IT controls you have in use in the home and why you consider it vital to monitor certain access to computers and mobile devices.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