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 Board: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 Codes: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8525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Contacts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Mr J Adey (Subject Leader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Grading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Paper 1: Computational Thinking and Programming Skills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Computational thinking, code tracing, problem solving, programming concepts including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 of effective algorithms and the designing, writing, testing and refining of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Written exam set in practically based scenarios: 2 hours.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A mix of multiple choice, short-answer and longer-answer questions assessing programming,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practical problem solving and computational thinking skills.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90 marks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50% of GCSE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2: Computing Concepts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Theoretical knowledge from Subject content 3–8.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Written exam: 1 hour 45 minutes.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A mix of multiple choice, short-answer, longer-answer and extended response questions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assessing SQL programming skills theoretical knowledge.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90 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50% of GCSE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course recognises the well established methodologies 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computing, alongside the technological advances which make it such a dynamic subject. GCSE Computer Science has been designed as a stepping stone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further A level study.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Students will complete this course equipped with the logical and computational skills necessary to succeed at A Level, the workplace or beyond.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Fundamentals of algorithms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Fundamentals of data representation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Computer systems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Fundamentals of computer networks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Cyber security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Relational databases and structured query language (SQL)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Ethical, legal and environmental impacts of digital technology on wider society, including issues of privacy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Programming Languages: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AQA supports the following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programming languages (In paper 1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students will be required to design,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write, test and refine program code):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· C#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· Python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· VB.Net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IDE used throughout the course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(students are welcome to use other 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software, installed on to their own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machines):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· Visual Studio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· PyScripter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Find out by logging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into Unifrog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going 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ICT Support club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- 8.00am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1.00pm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(Monday-Friday)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