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course that has real relevance in our modern world. While students will already have some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knowledge of computers and related areas, the course will give them an in-depth understanding of how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computer technology works and a look at what goes on 'behind the scenes'. As part of this, they will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investigate computer programming, which many learners find interesting. Computer Science counts towards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EBacc science measure.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Course Structure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course is divided into three units: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Component 1 Principles of Computer Science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Component 2 Application of Computational Thinking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Component 3 Computer Science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will study: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Component 1 Principles of Computer Science and Component 2 Application of Computational Thinking will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cover:-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Understanding of what algorithms are, what they are used for and how they work; ability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interpret, amend and create algorithms.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Understanding how to develop program codes and constructs, data types, structures, input /output,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operators and subprograms.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component may also draw 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Understanding of binary representation, data representation, data storage and compression,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encryption and databases.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Understanding of components of computer systems; ability to construct truth tables, produce logic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statements and read and interpret pseudo-code.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Understanding of computer networks, the internet and the worldwide web.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Awareness of emerging trends in computing technologies, the impact of computing on individuals,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society and the environment, including ethical, legal and ownership issues.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 3 Computer Science Project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Students will develop a computer program. The content for this component will draw 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Algorithms, decomposition and abstraction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Design, write, test and refine a program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Assessment is via two written examinations and a controlled assessment.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Board Qualification Module Mode of Assessment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Edexcel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Principles of Computer Science Written Examination (50%)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hour 40 minutes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Application of Computational Thinking Written Examination (50%)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 hours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