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AWARDING BODY: OCR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Computer Science GCSE will enable students to develop a real,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in-depth understanding of how computer technology works, giving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them an insight into what goes on ‘under the lid’ of a computer.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 will need to think creatively, innovatively and logically 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design and program solutions to real-world problems.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Students will investigate the components that make up digital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systems and how they communicate with one another and with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other systems. They will also develop an understanding of the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impacts of digital technology to the individual and to wider society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Unit 1 – Computer Systems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unit covers knowledge of computer systems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Systems architecture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Memory and storage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Computer networks, connections and protocols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Network security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Systems software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Ethical, legal, cultural and environmental impacts of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digital technology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Unit 2 – Computational thinking, algorithms and programming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This unit covers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Algorithms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Programming fundamentals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Producing robust programs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Boolean logic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Programming languages and Integrated Development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Environments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Practical Programming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All students will be given the opportunity to undertake 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programming task(s), either to a specification or to solve a problem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(or problems), during their course of study. Students may draw 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some of the content in both components when engaged 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Practical Programming. Practical Programming skills will be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assessed in part of the second exam paper.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Assessment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course will be assessed by two written exams. Each exam is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1hr 30mins long and both are worth 80 marks each. Each exam 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worth 50% of the total GCSE.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Career Relevance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Careers in this industry include software development, computer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programming, network manager, web developer, computer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forensics, data administrator, project manager and database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developer.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